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Model Selection &amp; Architecture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 July 2026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Voice-Based Concept Understanding Analyzer (VBCUA)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Model Selection &amp; Architecture Design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section describes the models selected for the Voice-Based Concept Understanding Analyzer (VBCUA), the reasoning behind their selection, the system architecture, and the associated integration, context-handling, tooling, and scalability considerations.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Model Selection &amp; Architecture Design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Selected model(s):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VBCUA does not use a generative or chat-based large language model such as Gemini Pro/Flash or Vertex AI. It uses two pre-trained, task-specific models: OpenAI Whisper (“base” size) for automatic speech-to-text transcription, and Sentence Transformers (all-MiniLM-L6-v2) for generating text embeddings used in semantic similarity comparison.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Reason for model selection: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Whisper “base” was selected as a lightweight, open-source speech recognition model that runs locally without an external API dependency or associated usage cost, making it suitable for an academic prototype with modest hardware requirements.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all-MiniLM-L6-v2 was selected because it is a compact, fast Sentence Transformer model well-suited to short-to-medium length text (such as a spoken concept explanation), offering a good balance between semantic accuracy and inference speed on CPU-only machines.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 architecture diagram:</w:t>
            </w:r>
          </w:p>
          <w:p>
            <w:pPr>
              <w:spacing w:after="60" w:before="80"/>
              <w:jc w:val="center"/>
            </w:pPr>
            <w:r>
              <w:drawing>
                <wp:inline distT="0" distB="0" distL="0" distR="0">
                  <wp:extent cx="3397568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7568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Figure 1: VBCUA System Architecture (Local, Single-Process Deployment)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Workflow design: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VBCUA does not follow a prompt-based generative workflow (User → Prompt → Model → Output), since neither Whisper nor Sentence Transformers is prompted with instructions. The actual workflow is: User → Audio Upload → Transcription (Whisper) → Semantic Comparison against the reference answer (Sentence Transformers) → Scoring &amp; Grading → Output (on-screen results and downloadable PDF report).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 integration architecture: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 models run locally within the same Python process as the Streamlit application; there is no integration with an external, cloud-hosted model API (such as Gemini or Vertex AI) in the current version. Model classes are loaded directly from the openai-whisper and sentence-transformers Python packages and cached in memory for reuse across a session.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Token / context handling: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Whisper processes raw audio directly and is not subject to a text token limit at the input stage. The Sentence Transformer model (all-MiniLM-L6-v2) has a maximum input sequence length (typically 256 word-pieces); text beyond this length is truncated internally by the model during encoding.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Future enhancement: the current implementation does not explicitly chunk or summarise very long transcripts before similarity scoring. For substantially longer spoken responses, adding explicit chunking or truncation-aware handling is identified as a necessary improvement to avoid silently dropping content beyond the model's context window.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Libraries &amp; tools used: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openai-whisper (speech-to-text), sentence-transformers and torch (semantic embeddings and similarity), streamlit (web interface), reportlab (PDF report generation), and python-dotenv, numpy, and related supporting packages listed in requirements.txt.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Scalability considerations: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current architecture loads both models once per process and caches them in memory (module-level singleton pattern), which avoids reloading overhead within a session but is designed for single-user, single-session use rather than concurrent multi-user access.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Future enhancement: scaling to multiple concurrent users would require moving model inference behind a dedicated backend service (rather than within the Streamlit process directly), introducing a request queue, and deploying to a cloud environment with sufficient compute — none of which is implemented in the current version.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4e7b04d87873709cb18391a9f37d89a350043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2026-07-13T08:53:07.521Z</dcterms:created>
  <dcterms:modified xsi:type="dcterms:W3CDTF">2026-07-13T08:53:07.534Z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