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5AE6" w14:textId="77777777" w:rsidR="007667AC" w:rsidRDefault="00000000">
      <w:pPr>
        <w:spacing w:after="80"/>
        <w:jc w:val="center"/>
      </w:pPr>
      <w:r>
        <w:rPr>
          <w:b/>
          <w:bCs/>
          <w:sz w:val="40"/>
          <w:szCs w:val="40"/>
        </w:rPr>
        <w:t>Business Analyst — Technical Assessment</w:t>
      </w:r>
    </w:p>
    <w:p w14:paraId="3E180EDC" w14:textId="77777777" w:rsidR="007667AC" w:rsidRDefault="00000000">
      <w:pPr>
        <w:spacing w:after="40"/>
        <w:jc w:val="center"/>
      </w:pPr>
      <w:r>
        <w:rPr>
          <w:color w:val="555555"/>
          <w:sz w:val="28"/>
          <w:szCs w:val="28"/>
        </w:rPr>
        <w:t>Question Set C — Answer Document</w:t>
      </w:r>
    </w:p>
    <w:p w14:paraId="3BFED794" w14:textId="77777777" w:rsidR="007667AC" w:rsidRDefault="00000000">
      <w:pPr>
        <w:spacing w:after="400"/>
        <w:jc w:val="center"/>
      </w:pPr>
      <w:r>
        <w:rPr>
          <w:i/>
          <w:iCs/>
          <w:color w:val="777777"/>
        </w:rPr>
        <w:t>Dataset: hotel_bookings.csv (12,000 records, 28 columns)</w:t>
      </w:r>
    </w:p>
    <w:p w14:paraId="3AA11172" w14:textId="77777777" w:rsidR="007667AC" w:rsidRDefault="00000000">
      <w:pPr>
        <w:pStyle w:val="Heading1"/>
        <w:spacing w:before="360" w:after="160"/>
      </w:pPr>
      <w:r>
        <w:t>Section 1 — Data Forensics</w:t>
      </w:r>
    </w:p>
    <w:p w14:paraId="50272398" w14:textId="77777777" w:rsidR="007667AC" w:rsidRDefault="00000000">
      <w:pPr>
        <w:pStyle w:val="Heading2"/>
        <w:spacing w:before="280" w:after="120"/>
      </w:pPr>
      <w:r>
        <w:t>DQ1 — Bookings with num_rooms = 0</w:t>
      </w:r>
    </w:p>
    <w:p w14:paraId="088D6E9D" w14:textId="77777777" w:rsidR="007667AC" w:rsidRDefault="00000000">
      <w:pPr>
        <w:spacing w:after="160"/>
      </w:pPr>
      <w:r>
        <w:t>Answer: 60 bookings (0.50%) have num_rooms = 0, and all of them correctly carry total_amount = 0, confirming this is not a downstream calculation error.</w:t>
      </w:r>
    </w:p>
    <w:p w14:paraId="34D94232" w14:textId="77777777" w:rsidR="007667AC" w:rsidRDefault="00000000">
      <w:pPr>
        <w:spacing w:after="160"/>
      </w:pPr>
      <w:r>
        <w:t>Implication: the upstream booking pipeline does not enforce a num_rooms ≥ 1 constraint at the point of entry — a validation gap, not a pricing-engine bug.</w:t>
      </w:r>
    </w:p>
    <w:p w14:paraId="0DCD44BF" w14:textId="77777777" w:rsidR="007667AC" w:rsidRDefault="00000000">
      <w:pPr>
        <w:pStyle w:val="Heading2"/>
        <w:spacing w:before="280" w:after="120"/>
      </w:pPr>
      <w:r>
        <w:t>DQ2 — Bookings before customer signup</w:t>
      </w:r>
    </w:p>
    <w:p w14:paraId="16D2F8EE" w14:textId="77777777" w:rsidR="007667AC" w:rsidRDefault="00000000">
      <w:pPr>
        <w:spacing w:after="160"/>
      </w:pPr>
      <w:r>
        <w:t>Answer: 364 bookings (3.03%) have a booking_date earlier than customer_signup_date.</w:t>
      </w:r>
    </w:p>
    <w:p w14:paraId="36A47603" w14:textId="77777777" w:rsidR="007667AC" w:rsidRDefault="00000000">
      <w:pPr>
        <w:spacing w:after="160"/>
      </w:pPr>
      <w:r>
        <w:rPr>
          <w:b/>
          <w:bCs/>
        </w:rPr>
        <w:t>Two plausible explanations (not necessarily data corruption):</w:t>
      </w:r>
    </w:p>
    <w:p w14:paraId="5E5029BA" w14:textId="77777777" w:rsidR="007667AC" w:rsidRDefault="00000000">
      <w:pPr>
        <w:pStyle w:val="ListParagraph"/>
        <w:numPr>
          <w:ilvl w:val="0"/>
          <w:numId w:val="1"/>
        </w:numPr>
        <w:spacing w:after="80"/>
      </w:pPr>
      <w:r>
        <w:t>System migration: customers migrated from a legacy system may show customer_signup_date as when their profile was created in the current system, not their true original signup — so genuine older bookings can appear to precede it.</w:t>
      </w:r>
    </w:p>
    <w:p w14:paraId="445DC034" w14:textId="77777777" w:rsidR="007667AC" w:rsidRDefault="00000000">
      <w:pPr>
        <w:pStyle w:val="ListParagraph"/>
        <w:numPr>
          <w:ilvl w:val="0"/>
          <w:numId w:val="1"/>
        </w:numPr>
        <w:spacing w:after="80"/>
      </w:pPr>
      <w:r>
        <w:t>Timezone / batch-load timing: if booking_date and customer_signup_date are written by different services running on different clocks or batch schedules, a same-day signup-then-book sequence can register in reverse order without real corruption.</w:t>
      </w:r>
    </w:p>
    <w:p w14:paraId="5BA3597D" w14:textId="77777777" w:rsidR="007667AC" w:rsidRDefault="00000000">
      <w:pPr>
        <w:pStyle w:val="Heading2"/>
        <w:spacing w:before="280" w:after="120"/>
      </w:pPr>
      <w:r>
        <w:t>DQ3 — Bookings with no review, by status</w:t>
      </w:r>
    </w:p>
    <w:p w14:paraId="24ACFF02" w14:textId="77777777" w:rsidR="007667AC" w:rsidRDefault="00000000">
      <w:pPr>
        <w:spacing w:after="160"/>
      </w:pPr>
      <w:r>
        <w:t>Answer: 57.70% of all bookings have no review.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4032"/>
        <w:gridCol w:w="2016"/>
      </w:tblGrid>
      <w:tr w:rsidR="007667AC" w14:paraId="37C85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32" w:type="dxa"/>
            <w:shd w:val="clear" w:color="auto" w:fill="2E4053"/>
          </w:tcPr>
          <w:p w14:paraId="1BBFA71A" w14:textId="77777777" w:rsidR="007667AC" w:rsidRDefault="00000000">
            <w:r>
              <w:rPr>
                <w:b/>
                <w:bCs/>
                <w:color w:val="FFFFFF"/>
              </w:rPr>
              <w:t>booking_status</w:t>
            </w:r>
          </w:p>
        </w:tc>
        <w:tc>
          <w:tcPr>
            <w:tcW w:w="4032" w:type="dxa"/>
            <w:shd w:val="clear" w:color="auto" w:fill="2E4053"/>
          </w:tcPr>
          <w:p w14:paraId="227A4CD7" w14:textId="77777777" w:rsidR="007667AC" w:rsidRDefault="00000000">
            <w:r>
              <w:rPr>
                <w:b/>
                <w:bCs/>
                <w:color w:val="FFFFFF"/>
              </w:rPr>
              <w:t>% with no review</w:t>
            </w:r>
          </w:p>
        </w:tc>
        <w:tc>
          <w:tcPr>
            <w:tcW w:w="2016" w:type="dxa"/>
            <w:shd w:val="clear" w:color="auto" w:fill="2E4053"/>
          </w:tcPr>
          <w:p w14:paraId="48E29704" w14:textId="77777777" w:rsidR="007667AC" w:rsidRDefault="00000000">
            <w:r>
              <w:rPr>
                <w:b/>
                <w:bCs/>
                <w:color w:val="FFFFFF"/>
              </w:rPr>
              <w:t>volume</w:t>
            </w:r>
          </w:p>
        </w:tc>
      </w:tr>
      <w:tr w:rsidR="007667AC" w14:paraId="7134BCAC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FFFFF"/>
          </w:tcPr>
          <w:p w14:paraId="1B9E3757" w14:textId="77777777" w:rsidR="007667AC" w:rsidRDefault="00000000">
            <w:r>
              <w:t>Completed</w:t>
            </w:r>
          </w:p>
        </w:tc>
        <w:tc>
          <w:tcPr>
            <w:tcW w:w="4032" w:type="dxa"/>
            <w:shd w:val="clear" w:color="auto" w:fill="FFFFFF"/>
          </w:tcPr>
          <w:p w14:paraId="1FBDD348" w14:textId="77777777" w:rsidR="007667AC" w:rsidRDefault="00000000">
            <w:r>
              <w:t>45.83%</w:t>
            </w:r>
          </w:p>
        </w:tc>
        <w:tc>
          <w:tcPr>
            <w:tcW w:w="2016" w:type="dxa"/>
            <w:shd w:val="clear" w:color="auto" w:fill="FFFFFF"/>
          </w:tcPr>
          <w:p w14:paraId="505F405B" w14:textId="77777777" w:rsidR="007667AC" w:rsidRDefault="00000000">
            <w:r>
              <w:t>9,279</w:t>
            </w:r>
          </w:p>
        </w:tc>
      </w:tr>
      <w:tr w:rsidR="007667AC" w14:paraId="3E86F441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5F7FA"/>
          </w:tcPr>
          <w:p w14:paraId="0F36F59E" w14:textId="77777777" w:rsidR="007667AC" w:rsidRDefault="00000000">
            <w:r>
              <w:t>Cancelled</w:t>
            </w:r>
          </w:p>
        </w:tc>
        <w:tc>
          <w:tcPr>
            <w:tcW w:w="4032" w:type="dxa"/>
            <w:shd w:val="clear" w:color="auto" w:fill="F5F7FA"/>
          </w:tcPr>
          <w:p w14:paraId="4A796DDD" w14:textId="77777777" w:rsidR="007667AC" w:rsidRDefault="00000000">
            <w:r>
              <w:t>97.88%</w:t>
            </w:r>
          </w:p>
        </w:tc>
        <w:tc>
          <w:tcPr>
            <w:tcW w:w="2016" w:type="dxa"/>
            <w:shd w:val="clear" w:color="auto" w:fill="F5F7FA"/>
          </w:tcPr>
          <w:p w14:paraId="2F788B5B" w14:textId="77777777" w:rsidR="007667AC" w:rsidRDefault="00000000">
            <w:r>
              <w:t>2,360</w:t>
            </w:r>
          </w:p>
        </w:tc>
      </w:tr>
      <w:tr w:rsidR="007667AC" w14:paraId="578BAFD5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FFFFF"/>
          </w:tcPr>
          <w:p w14:paraId="5A55456B" w14:textId="77777777" w:rsidR="007667AC" w:rsidRDefault="00000000">
            <w:r>
              <w:t>No-Show</w:t>
            </w:r>
          </w:p>
        </w:tc>
        <w:tc>
          <w:tcPr>
            <w:tcW w:w="4032" w:type="dxa"/>
            <w:shd w:val="clear" w:color="auto" w:fill="FFFFFF"/>
          </w:tcPr>
          <w:p w14:paraId="1454F19D" w14:textId="77777777" w:rsidR="007667AC" w:rsidRDefault="00000000">
            <w:r>
              <w:t>100.00%</w:t>
            </w:r>
          </w:p>
        </w:tc>
        <w:tc>
          <w:tcPr>
            <w:tcW w:w="2016" w:type="dxa"/>
            <w:shd w:val="clear" w:color="auto" w:fill="FFFFFF"/>
          </w:tcPr>
          <w:p w14:paraId="19C5E26A" w14:textId="77777777" w:rsidR="007667AC" w:rsidRDefault="00000000">
            <w:r>
              <w:t>361</w:t>
            </w:r>
          </w:p>
        </w:tc>
      </w:tr>
    </w:tbl>
    <w:p w14:paraId="24E5687B" w14:textId="77777777" w:rsidR="007667AC" w:rsidRDefault="00000000">
      <w:pPr>
        <w:spacing w:after="160"/>
      </w:pPr>
      <w:r>
        <w:t>Does the pattern make sense? Yes — a guest can only review a stay, so No-Show is 100% blank and Cancelled is nearly all blank. Completed still shows 45.83% blank, unsurprising since review submission is voluntary.</w:t>
      </w:r>
    </w:p>
    <w:p w14:paraId="0FE5F1F5" w14:textId="77777777" w:rsidR="007667AC" w:rsidRDefault="00000000">
      <w:pPr>
        <w:pStyle w:val="Heading2"/>
        <w:spacing w:before="280" w:after="120"/>
      </w:pPr>
      <w:r>
        <w:t>DQ4 — Undocumented data-integrity issue (discovery)</w:t>
      </w:r>
    </w:p>
    <w:p w14:paraId="037FEB1F" w14:textId="77777777" w:rsidR="007667AC" w:rsidRDefault="00000000">
      <w:pPr>
        <w:spacing w:after="160"/>
      </w:pPr>
      <w:r>
        <w:t>Issue found: total_amount formula violation. Recomputing the stated formula (adr × nights × num_rooms − discount_amount) and comparing it to the stored total_amount shows 35 bookings (0.29%) that disagree by more than Re 1 — split across Completed (26) and Cancelled (9) bookings, not concentrated in any one coupon code.</w:t>
      </w:r>
    </w:p>
    <w:p w14:paraId="5D6BB0B1" w14:textId="77777777" w:rsidR="007667AC" w:rsidRDefault="00000000">
      <w:pPr>
        <w:spacing w:after="160"/>
      </w:pPr>
      <w:r>
        <w:t>Why it matters: this is a pricing-integrity issue distinct from every footnote (which cover dates, IDs, encodings, and review scales — not the pricing formula itself).</w:t>
      </w:r>
    </w:p>
    <w:p w14:paraId="07666B7E" w14:textId="77777777" w:rsidR="007667AC" w:rsidRDefault="00000000">
      <w:pPr>
        <w:spacing w:after="160"/>
      </w:pPr>
      <w:r>
        <w:t>Proposed handling rule: flag any row where |total_amount − expected_total| &gt; Re 1 as a pricing-discrepancy record. Do not auto-correct total_amount; route these 35 rows to source-system reconciliation and exclude them from analyses that assume the stated pricing formula holds exactly.</w:t>
      </w:r>
    </w:p>
    <w:p w14:paraId="7F36778B" w14:textId="77777777" w:rsidR="007667AC" w:rsidRDefault="00000000">
      <w:pPr>
        <w:pStyle w:val="Heading1"/>
        <w:spacing w:before="360" w:after="160"/>
      </w:pPr>
      <w:r>
        <w:t>Section 2 — Case Study: The VIP-vs-Volume Strategy</w:t>
      </w:r>
    </w:p>
    <w:p w14:paraId="6795073B" w14:textId="77777777" w:rsidR="007667AC" w:rsidRDefault="00000000">
      <w:pPr>
        <w:spacing w:after="160"/>
      </w:pPr>
      <w:r>
        <w:t>Briefing: the Head of Growth has Rs 50 lakh of incremental budget and must split it between acquiring new customers (Rs 3,000 CAC) and retaining at-risk existing customers (Rs 500/customer/year). This section defines VIP rigorously, characterizes VIP behaviour, and derives a budget split from the math.</w:t>
      </w:r>
    </w:p>
    <w:p w14:paraId="5B434676" w14:textId="77777777" w:rsidR="007667AC" w:rsidRDefault="00000000">
      <w:pPr>
        <w:pStyle w:val="Heading2"/>
        <w:spacing w:before="280" w:after="120"/>
      </w:pPr>
      <w:r>
        <w:lastRenderedPageBreak/>
        <w:t>CS1 — Define VIP Three Ways</w:t>
      </w:r>
    </w:p>
    <w:p w14:paraId="3EF30983" w14:textId="77777777" w:rsidR="007667AC" w:rsidRDefault="00000000">
      <w:pPr>
        <w:spacing w:after="160"/>
      </w:pPr>
      <w:r>
        <w:t>Computed only over Completed bookings. Top 10% of 4,719 customers = 472 customers per definition: (i) total spend, (ii) booking count, (iii) LTV rate (spend ÷ months since signup, floored at 1 month).</w:t>
      </w:r>
    </w:p>
    <w:p w14:paraId="0CC0CEF8" w14:textId="77777777" w:rsidR="007667A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1F9096F" wp14:editId="29EBD612">
            <wp:extent cx="5905500" cy="590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8"/>
        <w:gridCol w:w="1833"/>
        <w:gridCol w:w="2749"/>
      </w:tblGrid>
      <w:tr w:rsidR="007667AC" w14:paraId="31C0E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98" w:type="dxa"/>
            <w:shd w:val="clear" w:color="auto" w:fill="2E4053"/>
          </w:tcPr>
          <w:p w14:paraId="5BD0B48B" w14:textId="77777777" w:rsidR="007667AC" w:rsidRDefault="00000000">
            <w:r>
              <w:rPr>
                <w:b/>
                <w:bCs/>
                <w:color w:val="FFFFFF"/>
              </w:rPr>
              <w:t>Overlap</w:t>
            </w:r>
          </w:p>
        </w:tc>
        <w:tc>
          <w:tcPr>
            <w:tcW w:w="1833" w:type="dxa"/>
            <w:shd w:val="clear" w:color="auto" w:fill="2E4053"/>
          </w:tcPr>
          <w:p w14:paraId="70AB1807" w14:textId="77777777" w:rsidR="007667AC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2749" w:type="dxa"/>
            <w:shd w:val="clear" w:color="auto" w:fill="2E4053"/>
          </w:tcPr>
          <w:p w14:paraId="6EC5B515" w14:textId="77777777" w:rsidR="007667AC" w:rsidRDefault="00000000">
            <w:r>
              <w:rPr>
                <w:b/>
                <w:bCs/>
                <w:color w:val="FFFFFF"/>
              </w:rPr>
              <w:t>% of union (761)</w:t>
            </w:r>
          </w:p>
        </w:tc>
      </w:tr>
      <w:tr w:rsidR="007667AC" w14:paraId="54D2BD53" w14:textId="77777777">
        <w:tblPrEx>
          <w:tblCellMar>
            <w:top w:w="0" w:type="dxa"/>
            <w:bottom w:w="0" w:type="dxa"/>
          </w:tblCellMar>
        </w:tblPrEx>
        <w:tc>
          <w:tcPr>
            <w:tcW w:w="5498" w:type="dxa"/>
            <w:shd w:val="clear" w:color="auto" w:fill="FFFFFF"/>
          </w:tcPr>
          <w:p w14:paraId="4F675681" w14:textId="77777777" w:rsidR="007667AC" w:rsidRDefault="00000000">
            <w:r>
              <w:t>All 3 definitions (true VIPs)</w:t>
            </w:r>
          </w:p>
        </w:tc>
        <w:tc>
          <w:tcPr>
            <w:tcW w:w="1833" w:type="dxa"/>
            <w:shd w:val="clear" w:color="auto" w:fill="FFFFFF"/>
          </w:tcPr>
          <w:p w14:paraId="4A6E849B" w14:textId="77777777" w:rsidR="007667AC" w:rsidRDefault="00000000">
            <w:r>
              <w:t>208</w:t>
            </w:r>
          </w:p>
        </w:tc>
        <w:tc>
          <w:tcPr>
            <w:tcW w:w="2749" w:type="dxa"/>
            <w:shd w:val="clear" w:color="auto" w:fill="FFFFFF"/>
          </w:tcPr>
          <w:p w14:paraId="0CE1FDD0" w14:textId="77777777" w:rsidR="007667AC" w:rsidRDefault="00000000">
            <w:r>
              <w:t>27.3%</w:t>
            </w:r>
          </w:p>
        </w:tc>
      </w:tr>
      <w:tr w:rsidR="007667AC" w14:paraId="714D5718" w14:textId="77777777">
        <w:tblPrEx>
          <w:tblCellMar>
            <w:top w:w="0" w:type="dxa"/>
            <w:bottom w:w="0" w:type="dxa"/>
          </w:tblCellMar>
        </w:tblPrEx>
        <w:tc>
          <w:tcPr>
            <w:tcW w:w="5498" w:type="dxa"/>
            <w:shd w:val="clear" w:color="auto" w:fill="F5F7FA"/>
          </w:tcPr>
          <w:p w14:paraId="33B5EBCD" w14:textId="77777777" w:rsidR="007667AC" w:rsidRDefault="00000000">
            <w:r>
              <w:t>Exactly 2 definitions</w:t>
            </w:r>
          </w:p>
        </w:tc>
        <w:tc>
          <w:tcPr>
            <w:tcW w:w="1833" w:type="dxa"/>
            <w:shd w:val="clear" w:color="auto" w:fill="F5F7FA"/>
          </w:tcPr>
          <w:p w14:paraId="6523D85C" w14:textId="77777777" w:rsidR="007667AC" w:rsidRDefault="00000000">
            <w:r>
              <w:t>239</w:t>
            </w:r>
          </w:p>
        </w:tc>
        <w:tc>
          <w:tcPr>
            <w:tcW w:w="2749" w:type="dxa"/>
            <w:shd w:val="clear" w:color="auto" w:fill="F5F7FA"/>
          </w:tcPr>
          <w:p w14:paraId="2B3026CD" w14:textId="77777777" w:rsidR="007667AC" w:rsidRDefault="00000000">
            <w:r>
              <w:t>31.4%</w:t>
            </w:r>
          </w:p>
        </w:tc>
      </w:tr>
      <w:tr w:rsidR="007667AC" w14:paraId="333F0F84" w14:textId="77777777">
        <w:tblPrEx>
          <w:tblCellMar>
            <w:top w:w="0" w:type="dxa"/>
            <w:bottom w:w="0" w:type="dxa"/>
          </w:tblCellMar>
        </w:tblPrEx>
        <w:tc>
          <w:tcPr>
            <w:tcW w:w="5498" w:type="dxa"/>
            <w:shd w:val="clear" w:color="auto" w:fill="FFFFFF"/>
          </w:tcPr>
          <w:p w14:paraId="3F131EA4" w14:textId="77777777" w:rsidR="007667AC" w:rsidRDefault="00000000">
            <w:r>
              <w:t>Only 1 definition</w:t>
            </w:r>
          </w:p>
        </w:tc>
        <w:tc>
          <w:tcPr>
            <w:tcW w:w="1833" w:type="dxa"/>
            <w:shd w:val="clear" w:color="auto" w:fill="FFFFFF"/>
          </w:tcPr>
          <w:p w14:paraId="5B8B5B35" w14:textId="77777777" w:rsidR="007667AC" w:rsidRDefault="00000000">
            <w:r>
              <w:t>314</w:t>
            </w:r>
          </w:p>
        </w:tc>
        <w:tc>
          <w:tcPr>
            <w:tcW w:w="2749" w:type="dxa"/>
            <w:shd w:val="clear" w:color="auto" w:fill="FFFFFF"/>
          </w:tcPr>
          <w:p w14:paraId="0C36F419" w14:textId="77777777" w:rsidR="007667AC" w:rsidRDefault="00000000">
            <w:r>
              <w:t>41.3%</w:t>
            </w:r>
          </w:p>
        </w:tc>
      </w:tr>
    </w:tbl>
    <w:p w14:paraId="154309C8" w14:textId="77777777" w:rsidR="007667AC" w:rsidRDefault="00000000">
      <w:pPr>
        <w:spacing w:after="160"/>
      </w:pPr>
      <w:r>
        <w:t>Interpretation: only 208 customers qualify as VIP under all three definitions. Total Spend and LTV Rate overlap the most (362 shared) — big spenders tend to also spend fast. Booking Count is the outlier: 179 customers qualify only by frequency — frequent, low-value bookers, not high-revenue customers. This is exactly the ambiguity Operations flagged.</w:t>
      </w:r>
    </w:p>
    <w:p w14:paraId="47DAF46E" w14:textId="77777777" w:rsidR="007667AC" w:rsidRDefault="00000000">
      <w:pPr>
        <w:pStyle w:val="Heading2"/>
        <w:spacing w:before="280" w:after="120"/>
      </w:pPr>
      <w:r>
        <w:t>CS2 — VIP Risk Profile</w:t>
      </w:r>
    </w:p>
    <w:p w14:paraId="35DFF156" w14:textId="77777777" w:rsidR="007667AC" w:rsidRDefault="00000000">
      <w:pPr>
        <w:spacing w:after="160"/>
      </w:pPr>
      <w:r>
        <w:t>Definition selected: Top 10% by Total Spend — most directly tied to revenue (the business objective), and already captures most of the LTV Rate group. Booking Count is excluded since it isolates low-value, high-frequency customers.</w:t>
      </w:r>
    </w:p>
    <w:p w14:paraId="6B3A2DC2" w14:textId="6BF8E09D" w:rsidR="007667AC" w:rsidRDefault="00CE302A">
      <w:pPr>
        <w:spacing w:before="120" w:after="120"/>
        <w:jc w:val="center"/>
      </w:pPr>
      <w:r w:rsidRPr="00CE302A">
        <w:lastRenderedPageBreak/>
        <w:drawing>
          <wp:inline distT="0" distB="0" distL="0" distR="0" wp14:anchorId="45CDC692" wp14:editId="172B30F0">
            <wp:extent cx="6400800" cy="2212975"/>
            <wp:effectExtent l="0" t="0" r="0" b="0"/>
            <wp:docPr id="123763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32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2"/>
        <w:gridCol w:w="2749"/>
        <w:gridCol w:w="2749"/>
      </w:tblGrid>
      <w:tr w:rsidR="007667AC" w14:paraId="1A5B3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82" w:type="dxa"/>
            <w:shd w:val="clear" w:color="auto" w:fill="2E4053"/>
          </w:tcPr>
          <w:p w14:paraId="31FA4A30" w14:textId="77777777" w:rsidR="007667AC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749" w:type="dxa"/>
            <w:shd w:val="clear" w:color="auto" w:fill="2E4053"/>
          </w:tcPr>
          <w:p w14:paraId="69FCDDB0" w14:textId="77777777" w:rsidR="007667AC" w:rsidRDefault="00000000">
            <w:r>
              <w:rPr>
                <w:b/>
                <w:bCs/>
                <w:color w:val="FFFFFF"/>
              </w:rPr>
              <w:t>VIP (top 10%)</w:t>
            </w:r>
          </w:p>
        </w:tc>
        <w:tc>
          <w:tcPr>
            <w:tcW w:w="2749" w:type="dxa"/>
            <w:shd w:val="clear" w:color="auto" w:fill="2E4053"/>
          </w:tcPr>
          <w:p w14:paraId="24D1A95E" w14:textId="77777777" w:rsidR="007667AC" w:rsidRDefault="00000000">
            <w:r>
              <w:rPr>
                <w:b/>
                <w:bCs/>
                <w:color w:val="FFFFFF"/>
              </w:rPr>
              <w:t>Non-VIP</w:t>
            </w:r>
          </w:p>
        </w:tc>
      </w:tr>
      <w:tr w:rsidR="007667AC" w14:paraId="5F56C433" w14:textId="77777777">
        <w:tblPrEx>
          <w:tblCellMar>
            <w:top w:w="0" w:type="dxa"/>
            <w:bottom w:w="0" w:type="dxa"/>
          </w:tblCellMar>
        </w:tblPrEx>
        <w:tc>
          <w:tcPr>
            <w:tcW w:w="4582" w:type="dxa"/>
            <w:shd w:val="clear" w:color="auto" w:fill="FFFFFF"/>
          </w:tcPr>
          <w:p w14:paraId="39012BD0" w14:textId="77777777" w:rsidR="007667AC" w:rsidRDefault="00000000">
            <w:r>
              <w:t>Share of realized revenue</w:t>
            </w:r>
          </w:p>
        </w:tc>
        <w:tc>
          <w:tcPr>
            <w:tcW w:w="2749" w:type="dxa"/>
            <w:shd w:val="clear" w:color="auto" w:fill="FFFFFF"/>
          </w:tcPr>
          <w:p w14:paraId="7CFA99E8" w14:textId="77777777" w:rsidR="007667AC" w:rsidRDefault="00000000">
            <w:r>
              <w:t>44.1%</w:t>
            </w:r>
          </w:p>
        </w:tc>
        <w:tc>
          <w:tcPr>
            <w:tcW w:w="2749" w:type="dxa"/>
            <w:shd w:val="clear" w:color="auto" w:fill="FFFFFF"/>
          </w:tcPr>
          <w:p w14:paraId="34EF6732" w14:textId="77777777" w:rsidR="007667AC" w:rsidRDefault="00000000">
            <w:r>
              <w:t>55.9%</w:t>
            </w:r>
          </w:p>
        </w:tc>
      </w:tr>
      <w:tr w:rsidR="007667AC" w14:paraId="414C5F6B" w14:textId="77777777">
        <w:tblPrEx>
          <w:tblCellMar>
            <w:top w:w="0" w:type="dxa"/>
            <w:bottom w:w="0" w:type="dxa"/>
          </w:tblCellMar>
        </w:tblPrEx>
        <w:tc>
          <w:tcPr>
            <w:tcW w:w="4582" w:type="dxa"/>
            <w:shd w:val="clear" w:color="auto" w:fill="F5F7FA"/>
          </w:tcPr>
          <w:p w14:paraId="1EB1CCF8" w14:textId="77777777" w:rsidR="007667AC" w:rsidRDefault="00000000">
            <w:r>
              <w:t>Cancellation rate</w:t>
            </w:r>
          </w:p>
        </w:tc>
        <w:tc>
          <w:tcPr>
            <w:tcW w:w="2749" w:type="dxa"/>
            <w:shd w:val="clear" w:color="auto" w:fill="F5F7FA"/>
          </w:tcPr>
          <w:p w14:paraId="261103E9" w14:textId="77777777" w:rsidR="007667AC" w:rsidRDefault="00000000">
            <w:r>
              <w:t>15.4%</w:t>
            </w:r>
          </w:p>
        </w:tc>
        <w:tc>
          <w:tcPr>
            <w:tcW w:w="2749" w:type="dxa"/>
            <w:shd w:val="clear" w:color="auto" w:fill="F5F7FA"/>
          </w:tcPr>
          <w:p w14:paraId="75CFD5DC" w14:textId="77777777" w:rsidR="007667AC" w:rsidRDefault="00000000">
            <w:r>
              <w:t>21.1%</w:t>
            </w:r>
          </w:p>
        </w:tc>
      </w:tr>
      <w:tr w:rsidR="007667AC" w14:paraId="0B97ED06" w14:textId="77777777">
        <w:tblPrEx>
          <w:tblCellMar>
            <w:top w:w="0" w:type="dxa"/>
            <w:bottom w:w="0" w:type="dxa"/>
          </w:tblCellMar>
        </w:tblPrEx>
        <w:tc>
          <w:tcPr>
            <w:tcW w:w="4582" w:type="dxa"/>
            <w:shd w:val="clear" w:color="auto" w:fill="FFFFFF"/>
          </w:tcPr>
          <w:p w14:paraId="29F56783" w14:textId="77777777" w:rsidR="007667AC" w:rsidRDefault="00000000">
            <w:r>
              <w:t>Avg discount per booking</w:t>
            </w:r>
          </w:p>
        </w:tc>
        <w:tc>
          <w:tcPr>
            <w:tcW w:w="2749" w:type="dxa"/>
            <w:shd w:val="clear" w:color="auto" w:fill="FFFFFF"/>
          </w:tcPr>
          <w:p w14:paraId="4690C5AF" w14:textId="77777777" w:rsidR="007667AC" w:rsidRDefault="00000000">
            <w:r>
              <w:t>Rs 2,684</w:t>
            </w:r>
          </w:p>
        </w:tc>
        <w:tc>
          <w:tcPr>
            <w:tcW w:w="2749" w:type="dxa"/>
            <w:shd w:val="clear" w:color="auto" w:fill="FFFFFF"/>
          </w:tcPr>
          <w:p w14:paraId="3AFCB426" w14:textId="77777777" w:rsidR="007667AC" w:rsidRDefault="00000000">
            <w:r>
              <w:t>Rs 1,390</w:t>
            </w:r>
          </w:p>
        </w:tc>
      </w:tr>
    </w:tbl>
    <w:p w14:paraId="5E6CC323" w14:textId="77777777" w:rsidR="007667AC" w:rsidRDefault="00000000">
      <w:pPr>
        <w:spacing w:after="160"/>
      </w:pPr>
      <w:r>
        <w:t>Verdict: VIPs are lower-risk — cancellation rate is 15.4% vs 21.1% for non-VIP (~27% relative reduction). The platform currently gives VIPs more discount, not fewer, in absolute rupee terms (Rs 2,684 vs Rs 1,390 per booking) — though as a % of gross booking value the gap nearly disappears (5.2% vs 5.5%), meaning the larger absolute discount mostly reflects VIPs booking bigger-ticket stays.</w:t>
      </w:r>
    </w:p>
    <w:p w14:paraId="0D870C41" w14:textId="77777777" w:rsidR="007667AC" w:rsidRDefault="00000000">
      <w:pPr>
        <w:spacing w:after="160"/>
      </w:pPr>
      <w:r>
        <w:t>Combined picture: a segment that is only 8.6% of customers drives 44.1% of realized revenue and churns less — exactly the profile that makes the retention argument in CS3 worth running the numbers on.</w:t>
      </w:r>
    </w:p>
    <w:p w14:paraId="10EDDABB" w14:textId="77777777" w:rsidR="007667AC" w:rsidRDefault="00000000">
      <w:pPr>
        <w:pStyle w:val="Heading2"/>
        <w:spacing w:before="280" w:after="120"/>
      </w:pPr>
      <w:r>
        <w:t>CS3 — Acquisition vs Retention Math</w:t>
      </w:r>
    </w:p>
    <w:p w14:paraId="0FECE57E" w14:textId="77777777" w:rsidR="007667AC" w:rsidRDefault="00000000">
      <w:pPr>
        <w:pStyle w:val="Heading3"/>
        <w:spacing w:before="200" w:after="100"/>
      </w:pPr>
      <w:r>
        <w:t>(a) Acquisition</w:t>
      </w:r>
    </w:p>
    <w:p w14:paraId="0E2CD709" w14:textId="77777777" w:rsidR="007667AC" w:rsidRDefault="00000000">
      <w:pPr>
        <w:spacing w:after="160"/>
      </w:pPr>
      <w:r>
        <w:t>New customers acquirable: Rs 50,00,000 ÷ Rs 3,000 = 1,667</w:t>
      </w:r>
    </w:p>
    <w:p w14:paraId="694239F3" w14:textId="77777777" w:rsidR="007667AC" w:rsidRDefault="00000000">
      <w:pPr>
        <w:spacing w:after="160"/>
      </w:pPr>
      <w:r>
        <w:t>Average customer lifetime spend (Completed bookings): Rs 58,598</w:t>
      </w:r>
    </w:p>
    <w:p w14:paraId="2CB61CA2" w14:textId="77777777" w:rsidR="007667AC" w:rsidRDefault="00000000">
      <w:pPr>
        <w:spacing w:after="160"/>
      </w:pPr>
      <w:r>
        <w:t>Year-1 revenue from acquisition spend = 1,667 × Rs 58,598 × 20% = Rs 1,95,32,790 (~3.9x return)</w:t>
      </w:r>
    </w:p>
    <w:p w14:paraId="61754845" w14:textId="77777777" w:rsidR="007667AC" w:rsidRDefault="00000000">
      <w:pPr>
        <w:pStyle w:val="Heading3"/>
        <w:spacing w:before="200" w:after="100"/>
      </w:pPr>
      <w:r>
        <w:t>(b) Retention</w:t>
      </w:r>
    </w:p>
    <w:p w14:paraId="6B625B9A" w14:textId="77777777" w:rsidR="007667AC" w:rsidRDefault="00000000">
      <w:pPr>
        <w:spacing w:after="160"/>
      </w:pPr>
      <w:r>
        <w:t>Theoretically retainable customers: Rs 50,00,000 ÷ Rs 500 = 10,000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0"/>
        <w:gridCol w:w="3360"/>
      </w:tblGrid>
      <w:tr w:rsidR="007667AC" w14:paraId="62873F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20" w:type="dxa"/>
            <w:shd w:val="clear" w:color="auto" w:fill="2E4053"/>
          </w:tcPr>
          <w:p w14:paraId="3761094C" w14:textId="77777777" w:rsidR="007667AC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360" w:type="dxa"/>
            <w:shd w:val="clear" w:color="auto" w:fill="2E4053"/>
          </w:tcPr>
          <w:p w14:paraId="20AE873F" w14:textId="77777777" w:rsidR="007667A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7667AC" w14:paraId="7D5EEB32" w14:textId="77777777">
        <w:tblPrEx>
          <w:tblCellMar>
            <w:top w:w="0" w:type="dxa"/>
            <w:bottom w:w="0" w:type="dxa"/>
          </w:tblCellMar>
        </w:tblPrEx>
        <w:tc>
          <w:tcPr>
            <w:tcW w:w="6720" w:type="dxa"/>
            <w:shd w:val="clear" w:color="auto" w:fill="FFFFFF"/>
          </w:tcPr>
          <w:p w14:paraId="798F592B" w14:textId="77777777" w:rsidR="007667AC" w:rsidRDefault="00000000">
            <w:r>
              <w:t>Theoretical retainable customers</w:t>
            </w:r>
          </w:p>
        </w:tc>
        <w:tc>
          <w:tcPr>
            <w:tcW w:w="3360" w:type="dxa"/>
            <w:shd w:val="clear" w:color="auto" w:fill="FFFFFF"/>
          </w:tcPr>
          <w:p w14:paraId="0B5CACD4" w14:textId="77777777" w:rsidR="007667AC" w:rsidRDefault="00000000">
            <w:r>
              <w:t>10,000</w:t>
            </w:r>
          </w:p>
        </w:tc>
      </w:tr>
      <w:tr w:rsidR="007667AC" w14:paraId="4AF358A9" w14:textId="77777777">
        <w:tblPrEx>
          <w:tblCellMar>
            <w:top w:w="0" w:type="dxa"/>
            <w:bottom w:w="0" w:type="dxa"/>
          </w:tblCellMar>
        </w:tblPrEx>
        <w:tc>
          <w:tcPr>
            <w:tcW w:w="6720" w:type="dxa"/>
            <w:shd w:val="clear" w:color="auto" w:fill="F5F7FA"/>
          </w:tcPr>
          <w:p w14:paraId="3D71E77B" w14:textId="77777777" w:rsidR="007667AC" w:rsidRDefault="00000000">
            <w:r>
              <w:t>Total customers in the entire dataset</w:t>
            </w:r>
          </w:p>
        </w:tc>
        <w:tc>
          <w:tcPr>
            <w:tcW w:w="3360" w:type="dxa"/>
            <w:shd w:val="clear" w:color="auto" w:fill="F5F7FA"/>
          </w:tcPr>
          <w:p w14:paraId="55CA3F83" w14:textId="77777777" w:rsidR="007667AC" w:rsidRDefault="00000000">
            <w:r>
              <w:t>5,464</w:t>
            </w:r>
          </w:p>
        </w:tc>
      </w:tr>
      <w:tr w:rsidR="007667AC" w14:paraId="6D69E422" w14:textId="77777777">
        <w:tblPrEx>
          <w:tblCellMar>
            <w:top w:w="0" w:type="dxa"/>
            <w:bottom w:w="0" w:type="dxa"/>
          </w:tblCellMar>
        </w:tblPrEx>
        <w:tc>
          <w:tcPr>
            <w:tcW w:w="6720" w:type="dxa"/>
            <w:shd w:val="clear" w:color="auto" w:fill="FFFFFF"/>
          </w:tcPr>
          <w:p w14:paraId="749D1D97" w14:textId="77777777" w:rsidR="007667AC" w:rsidRDefault="00000000">
            <w:r>
              <w:t>Actual VIP (high-value) customers</w:t>
            </w:r>
          </w:p>
        </w:tc>
        <w:tc>
          <w:tcPr>
            <w:tcW w:w="3360" w:type="dxa"/>
            <w:shd w:val="clear" w:color="auto" w:fill="FFFFFF"/>
          </w:tcPr>
          <w:p w14:paraId="4A850DA9" w14:textId="77777777" w:rsidR="007667AC" w:rsidRDefault="00000000">
            <w:r>
              <w:t>472</w:t>
            </w:r>
          </w:p>
        </w:tc>
      </w:tr>
      <w:tr w:rsidR="007667AC" w14:paraId="6C3E94D5" w14:textId="77777777">
        <w:tblPrEx>
          <w:tblCellMar>
            <w:top w:w="0" w:type="dxa"/>
            <w:bottom w:w="0" w:type="dxa"/>
          </w:tblCellMar>
        </w:tblPrEx>
        <w:tc>
          <w:tcPr>
            <w:tcW w:w="6720" w:type="dxa"/>
            <w:shd w:val="clear" w:color="auto" w:fill="F5F7FA"/>
          </w:tcPr>
          <w:p w14:paraId="1261E118" w14:textId="77777777" w:rsidR="007667AC" w:rsidRDefault="00000000">
            <w:r>
              <w:t>Retainable budget as multiple of real VIP pool</w:t>
            </w:r>
          </w:p>
        </w:tc>
        <w:tc>
          <w:tcPr>
            <w:tcW w:w="3360" w:type="dxa"/>
            <w:shd w:val="clear" w:color="auto" w:fill="F5F7FA"/>
          </w:tcPr>
          <w:p w14:paraId="50050932" w14:textId="77777777" w:rsidR="007667AC" w:rsidRDefault="00000000">
            <w:r>
              <w:t>21.2x</w:t>
            </w:r>
          </w:p>
        </w:tc>
      </w:tr>
    </w:tbl>
    <w:p w14:paraId="37E0AF22" w14:textId="77777777" w:rsidR="007667AC" w:rsidRDefault="00000000">
      <w:pPr>
        <w:spacing w:after="160"/>
      </w:pPr>
      <w:r>
        <w:t>What this tells us: spending the full Rs 50L on retention is not realistic — theoretical capacity (10,000) exceeds the entire customer base by 83%, and the real VIP pool by 21x. Retention budget should be capped at the size of the actual VIP pool, not the arithmetic ceiling.</w:t>
      </w:r>
    </w:p>
    <w:p w14:paraId="41AB79A7" w14:textId="77777777" w:rsidR="007667AC" w:rsidRDefault="00000000">
      <w:pPr>
        <w:pStyle w:val="Heading2"/>
        <w:spacing w:before="280" w:after="120"/>
      </w:pPr>
      <w:r>
        <w:t>CS4 — Recommendation + Leading Indicator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5"/>
        <w:gridCol w:w="3024"/>
        <w:gridCol w:w="2621"/>
      </w:tblGrid>
      <w:tr w:rsidR="007667AC" w14:paraId="19D13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5" w:type="dxa"/>
            <w:shd w:val="clear" w:color="auto" w:fill="2E4053"/>
          </w:tcPr>
          <w:p w14:paraId="6A66CE63" w14:textId="77777777" w:rsidR="007667AC" w:rsidRDefault="007667AC"/>
        </w:tc>
        <w:tc>
          <w:tcPr>
            <w:tcW w:w="3024" w:type="dxa"/>
            <w:shd w:val="clear" w:color="auto" w:fill="2E4053"/>
          </w:tcPr>
          <w:p w14:paraId="05089A30" w14:textId="77777777" w:rsidR="007667AC" w:rsidRDefault="00000000"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2621" w:type="dxa"/>
            <w:shd w:val="clear" w:color="auto" w:fill="2E4053"/>
          </w:tcPr>
          <w:p w14:paraId="360FDE55" w14:textId="77777777" w:rsidR="007667AC" w:rsidRDefault="00000000">
            <w:r>
              <w:rPr>
                <w:b/>
                <w:bCs/>
                <w:color w:val="FFFFFF"/>
              </w:rPr>
              <w:t>% of Rs 50L</w:t>
            </w:r>
          </w:p>
        </w:tc>
      </w:tr>
      <w:tr w:rsidR="007667AC" w14:paraId="0871A361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shd w:val="clear" w:color="auto" w:fill="FFFFFF"/>
          </w:tcPr>
          <w:p w14:paraId="09BFFFC8" w14:textId="77777777" w:rsidR="007667AC" w:rsidRDefault="00000000">
            <w:r>
              <w:t>Retention (covers all 472 VIPs @ Rs 500)</w:t>
            </w:r>
          </w:p>
        </w:tc>
        <w:tc>
          <w:tcPr>
            <w:tcW w:w="3024" w:type="dxa"/>
            <w:shd w:val="clear" w:color="auto" w:fill="FFFFFF"/>
          </w:tcPr>
          <w:p w14:paraId="25C4423F" w14:textId="77777777" w:rsidR="007667AC" w:rsidRDefault="00000000">
            <w:r>
              <w:t>Rs 2,36,000</w:t>
            </w:r>
          </w:p>
        </w:tc>
        <w:tc>
          <w:tcPr>
            <w:tcW w:w="2621" w:type="dxa"/>
            <w:shd w:val="clear" w:color="auto" w:fill="FFFFFF"/>
          </w:tcPr>
          <w:p w14:paraId="752E3344" w14:textId="77777777" w:rsidR="007667AC" w:rsidRDefault="00000000">
            <w:r>
              <w:t>4.7%</w:t>
            </w:r>
          </w:p>
        </w:tc>
      </w:tr>
      <w:tr w:rsidR="007667AC" w14:paraId="624F9833" w14:textId="77777777">
        <w:tblPrEx>
          <w:tblCellMar>
            <w:top w:w="0" w:type="dxa"/>
            <w:bottom w:w="0" w:type="dxa"/>
          </w:tblCellMar>
        </w:tblPrEx>
        <w:tc>
          <w:tcPr>
            <w:tcW w:w="4435" w:type="dxa"/>
            <w:shd w:val="clear" w:color="auto" w:fill="F5F7FA"/>
          </w:tcPr>
          <w:p w14:paraId="0A957478" w14:textId="77777777" w:rsidR="007667AC" w:rsidRDefault="00000000">
            <w:r>
              <w:t>Acquisition (remainder)</w:t>
            </w:r>
          </w:p>
        </w:tc>
        <w:tc>
          <w:tcPr>
            <w:tcW w:w="3024" w:type="dxa"/>
            <w:shd w:val="clear" w:color="auto" w:fill="F5F7FA"/>
          </w:tcPr>
          <w:p w14:paraId="22A1C3DC" w14:textId="77777777" w:rsidR="007667AC" w:rsidRDefault="00000000">
            <w:r>
              <w:t>Rs 47,64,000</w:t>
            </w:r>
          </w:p>
        </w:tc>
        <w:tc>
          <w:tcPr>
            <w:tcW w:w="2621" w:type="dxa"/>
            <w:shd w:val="clear" w:color="auto" w:fill="F5F7FA"/>
          </w:tcPr>
          <w:p w14:paraId="32E3A577" w14:textId="77777777" w:rsidR="007667AC" w:rsidRDefault="00000000">
            <w:r>
              <w:t>95.3%</w:t>
            </w:r>
          </w:p>
        </w:tc>
      </w:tr>
    </w:tbl>
    <w:p w14:paraId="228ED1CB" w14:textId="77777777" w:rsidR="007667AC" w:rsidRDefault="00000000">
      <w:pPr>
        <w:spacing w:after="160"/>
      </w:pPr>
      <w:r>
        <w:t>Recommendation: Rs 2.36L to retention (100% VIP coverage), Rs 47.64L to acquisition — because the retention opportunity is capacity-constrained (only 472 real VIPs exist), while acquisition still has clear, uncapped ~3.9x year-1 ROI headroom. The Rs 47.64L acquires ~1,588 new customers, generating ~Rs 1.86 Cr year-1 revenue.</w:t>
      </w:r>
    </w:p>
    <w:p w14:paraId="5C13167C" w14:textId="77777777" w:rsidR="007667AC" w:rsidRDefault="00000000">
      <w:pPr>
        <w:spacing w:after="160"/>
      </w:pPr>
      <w:r>
        <w:lastRenderedPageBreak/>
        <w:t>Why retention still matters despite the small rupee amount: the 472 VIPs sit behind Rs 12.2 Cr of annual realized revenue (44.1% of platform total). Spending Rs 2.36L to protect that — just 0.19% of the revenue at stake — is extremely high-leverage.</w:t>
      </w:r>
    </w:p>
    <w:p w14:paraId="635286A9" w14:textId="77777777" w:rsidR="007667AC" w:rsidRDefault="00000000">
      <w:pPr>
        <w:spacing w:after="160"/>
      </w:pPr>
      <w:r>
        <w:t>Leading indicator (first 90 days): 90-day repeat-booking rate among VIPs who received the retention offer, vs. a held-out control group of VIPs who did not. Among VIPs with any subsequent visit, 85.3% already rebook within 90 days with no intervention — the natural baseline. Treat the program as reaching genuinely at-risk customers only if the treated group's rate is at least 8-10 points above this baseline (≥93-95%); if uplift over control is under ~5 points, review the targeting criteria before committing further retention budget.</w:t>
      </w:r>
    </w:p>
    <w:p w14:paraId="7004E5A5" w14:textId="77777777" w:rsidR="007667AC" w:rsidRDefault="00000000">
      <w:pPr>
        <w:pStyle w:val="Heading1"/>
        <w:spacing w:before="360" w:after="160"/>
      </w:pPr>
      <w:r>
        <w:t>Section 3 — SQL Challenge</w:t>
      </w:r>
    </w:p>
    <w:p w14:paraId="06EAEC7F" w14:textId="77777777" w:rsidR="007667AC" w:rsidRDefault="00000000">
      <w:pPr>
        <w:spacing w:after="160"/>
      </w:pPr>
      <w:r>
        <w:t>The dataset is denormalized. A normalized schema is designed below, and the required queries are written against it (verified by executing the equivalent SQL against the flat CSV loaded as a single table in SQLite).</w:t>
      </w:r>
    </w:p>
    <w:p w14:paraId="7D7F79DB" w14:textId="77777777" w:rsidR="007667AC" w:rsidRDefault="00000000">
      <w:pPr>
        <w:pStyle w:val="Heading2"/>
        <w:spacing w:before="280" w:after="120"/>
      </w:pPr>
      <w:r>
        <w:t>Schema Design</w:t>
      </w:r>
    </w:p>
    <w:p w14:paraId="1E72CFD4" w14:textId="77777777" w:rsidR="007667A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CREATE TABLE customers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customer_id             INTEGER       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customer_name           VARCHAR(100)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customer_segment        VARCHAR(20)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customer_signup_date    DATE      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customer_home_city      VARCHAR(50)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customer_loyalty_tier   VARCHAR(10)    NOT NULL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CREATE TABLE properties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property_id             INTEGER       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property_name           VARCHAR(100)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property_city           VARCHAR(50)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property_star_rating    SMALLINT       NOT NULL CHECK (property_star_rating BETWEEN 1 AND 5),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property_type           VARCHAR(30)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property_total_rooms    INTEGER        NOT NULL CHECK (property_total_rooms &gt;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UNIQUE (property_name, property_city)          -- Footnote 5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CREATE TABLE bookings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booking_id           INTEGER        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customer_id          INTEGER         NOT NULL REFERENCES customers(customer_id),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property_id          INTEGER         NOT NULL REFERENCES properties(property_id),</w:t>
      </w:r>
      <w:r>
        <w:rPr>
          <w:rFonts w:ascii="Consolas" w:eastAsia="Consolas" w:hAnsi="Consolas" w:cs="Consolas"/>
          <w:sz w:val="18"/>
          <w:szCs w:val="18"/>
        </w:rPr>
        <w:br/>
        <w:t xml:space="preserve">    booking_date         DATE       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checkin_date         DATE       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checkout_date        DATE       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room_type            VARCHAR(20)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num_rooms            SMALLINT        NOT NULL CHECK (num_rooms &gt; 0),   -- Footnote 3</w:t>
      </w:r>
      <w:r>
        <w:rPr>
          <w:rFonts w:ascii="Consolas" w:eastAsia="Consolas" w:hAnsi="Consolas" w:cs="Consolas"/>
          <w:sz w:val="18"/>
          <w:szCs w:val="18"/>
        </w:rPr>
        <w:br/>
        <w:t xml:space="preserve">    nights               SMALLINT        NOT NULL CHECK (nights &gt;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booking_channel      VARCHAR(20)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adr                  DECIMAL(10,2)   NOT NULL CHECK (adr &gt;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discount_amount      DECIMAL(10,2)   NOT NULL DEFAULT 0 CHECK (discount_amount &gt;=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coupon_code          VARCHAR(20),                -- NULL = no coupon (Footnote 4)</w:t>
      </w:r>
      <w:r>
        <w:rPr>
          <w:rFonts w:ascii="Consolas" w:eastAsia="Consolas" w:hAnsi="Consolas" w:cs="Consolas"/>
          <w:sz w:val="18"/>
          <w:szCs w:val="18"/>
        </w:rPr>
        <w:br/>
        <w:t xml:space="preserve">    total_amount         DECIMAL(12,2)   NOT NULL CHECK (total_amount &gt;=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payment_method       VARCHAR(20)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booking_status       VARCHAR(15)    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CHECK (checkout_date &gt; checkin_date)               -- Footnote 1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CREATE TABLE reviews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review_id       INTEGER        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booking_id      INTEGER         NOT NULL UNIQUE REFERENCES bookings(booking_id),</w:t>
      </w:r>
      <w:r>
        <w:rPr>
          <w:rFonts w:ascii="Consolas" w:eastAsia="Consolas" w:hAnsi="Consolas" w:cs="Consolas"/>
          <w:sz w:val="18"/>
          <w:szCs w:val="18"/>
        </w:rPr>
        <w:br/>
        <w:t xml:space="preserve">    review_rating   DECIMAL(3,1)    NOT NULL,          -- Footnote 7</w:t>
      </w:r>
      <w:r>
        <w:rPr>
          <w:rFonts w:ascii="Consolas" w:eastAsia="Consolas" w:hAnsi="Consolas" w:cs="Consolas"/>
          <w:sz w:val="18"/>
          <w:szCs w:val="18"/>
        </w:rPr>
        <w:br/>
        <w:t xml:space="preserve">    review_date     DATE            NOT NULL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CREATE INDEX idx_bookings_customer_checkin ON bookings (customer_id, checkin_date);</w:t>
      </w:r>
    </w:p>
    <w:p w14:paraId="359BC8DD" w14:textId="77777777" w:rsidR="007667AC" w:rsidRDefault="00000000">
      <w:pPr>
        <w:spacing w:after="160"/>
      </w:pPr>
      <w:r>
        <w:t>Design notes: booking_status / customer_segment use app-level validation instead of a DB-level CHECK IN (...) list, since new categories are a plausible business change. Reviews are a separate table so a review on a Cancelled booking (Footnote 6) is an explicit, checkable violation. All money columns use DECIMAL, never FLOAT, to avoid rounding drift.</w:t>
      </w:r>
    </w:p>
    <w:p w14:paraId="34759FC0" w14:textId="77777777" w:rsidR="007667AC" w:rsidRDefault="00000000">
      <w:pPr>
        <w:spacing w:after="160"/>
      </w:pPr>
      <w:r>
        <w:t>Index justification: C-Q1 partitions/orders by (customer_id, checkin_date) for every completed booking — this composite index turns that sort into an index scan.</w:t>
      </w:r>
    </w:p>
    <w:p w14:paraId="1F7E5DF2" w14:textId="77777777" w:rsidR="007667AC" w:rsidRDefault="00000000">
      <w:pPr>
        <w:pStyle w:val="Heading2"/>
        <w:spacing w:before="280" w:after="120"/>
      </w:pPr>
      <w:r>
        <w:t>C-Q1 — Average total_amount by booking sequence</w:t>
      </w:r>
    </w:p>
    <w:p w14:paraId="4DE6D48C" w14:textId="77777777" w:rsidR="007667A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WITH numbered 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customer_id, total_amount,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ROW_NUMBER() OVER (PARTITION BY customer_id ORDER BY checkin_date) AS seq</w:t>
      </w:r>
      <w:r>
        <w:rPr>
          <w:rFonts w:ascii="Consolas" w:eastAsia="Consolas" w:hAnsi="Consolas" w:cs="Consolas"/>
          <w:sz w:val="18"/>
          <w:szCs w:val="18"/>
        </w:rPr>
        <w:br/>
        <w:t xml:space="preserve">    FROM bookings</w:t>
      </w:r>
      <w:r>
        <w:rPr>
          <w:rFonts w:ascii="Consolas" w:eastAsia="Consolas" w:hAnsi="Consolas" w:cs="Consolas"/>
          <w:sz w:val="18"/>
          <w:szCs w:val="18"/>
        </w:rPr>
        <w:br/>
        <w:t xml:space="preserve">    WHERE booking_status = 'Completed'</w:t>
      </w:r>
      <w:r>
        <w:rPr>
          <w:rFonts w:ascii="Consolas" w:eastAsia="Consolas" w:hAnsi="Consolas" w:cs="Consolas"/>
          <w:sz w:val="18"/>
          <w:szCs w:val="18"/>
        </w:rPr>
        <w:br/>
        <w:t>),</w:t>
      </w:r>
      <w:r>
        <w:rPr>
          <w:rFonts w:ascii="Consolas" w:eastAsia="Consolas" w:hAnsi="Consolas" w:cs="Consolas"/>
          <w:sz w:val="18"/>
          <w:szCs w:val="18"/>
        </w:rPr>
        <w:br/>
        <w:t>labeled 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CASE WHEN seq = 1 THEN 'first'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WHEN seq = 2 THEN 'second'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ELSE '3-or-later' END AS sequence_label,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total_amount</w:t>
      </w:r>
      <w:r>
        <w:rPr>
          <w:rFonts w:ascii="Consolas" w:eastAsia="Consolas" w:hAnsi="Consolas" w:cs="Consolas"/>
          <w:sz w:val="18"/>
          <w:szCs w:val="18"/>
        </w:rPr>
        <w:br/>
        <w:t xml:space="preserve">    FROM numbered</w:t>
      </w:r>
      <w:r>
        <w:rPr>
          <w:rFonts w:ascii="Consolas" w:eastAsia="Consolas" w:hAnsi="Consolas" w:cs="Consolas"/>
          <w:sz w:val="18"/>
          <w:szCs w:val="18"/>
        </w:rPr>
        <w:br/>
        <w:t>)</w:t>
      </w:r>
      <w:r>
        <w:rPr>
          <w:rFonts w:ascii="Consolas" w:eastAsia="Consolas" w:hAnsi="Consolas" w:cs="Consolas"/>
          <w:sz w:val="18"/>
          <w:szCs w:val="18"/>
        </w:rPr>
        <w:br/>
        <w:t>SELECT sequence_label, ROUND(AVG(total_amount), 2) AS avg_total, COUNT(*) AS n</w:t>
      </w:r>
      <w:r>
        <w:rPr>
          <w:rFonts w:ascii="Consolas" w:eastAsia="Consolas" w:hAnsi="Consolas" w:cs="Consolas"/>
          <w:sz w:val="18"/>
          <w:szCs w:val="18"/>
        </w:rPr>
        <w:br/>
        <w:t>FROM labeled</w:t>
      </w:r>
      <w:r>
        <w:rPr>
          <w:rFonts w:ascii="Consolas" w:eastAsia="Consolas" w:hAnsi="Consolas" w:cs="Consolas"/>
          <w:sz w:val="18"/>
          <w:szCs w:val="18"/>
        </w:rPr>
        <w:br/>
        <w:t>GROUP BY sequence_label</w:t>
      </w:r>
      <w:r>
        <w:rPr>
          <w:rFonts w:ascii="Consolas" w:eastAsia="Consolas" w:hAnsi="Consolas" w:cs="Consolas"/>
          <w:sz w:val="18"/>
          <w:szCs w:val="18"/>
        </w:rPr>
        <w:br/>
        <w:t>ORDER BY CASE sequence_label WHEN 'first' THEN 1 WHEN 'second' THEN 2 ELSE 3 END;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3780"/>
        <w:gridCol w:w="2520"/>
      </w:tblGrid>
      <w:tr w:rsidR="007667AC" w14:paraId="26A1E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2E4053"/>
          </w:tcPr>
          <w:p w14:paraId="2B74CB36" w14:textId="77777777" w:rsidR="007667AC" w:rsidRDefault="00000000">
            <w:r>
              <w:rPr>
                <w:b/>
                <w:bCs/>
                <w:color w:val="FFFFFF"/>
              </w:rPr>
              <w:t>sequence_label</w:t>
            </w:r>
          </w:p>
        </w:tc>
        <w:tc>
          <w:tcPr>
            <w:tcW w:w="3780" w:type="dxa"/>
            <w:shd w:val="clear" w:color="auto" w:fill="2E4053"/>
          </w:tcPr>
          <w:p w14:paraId="3AA4B3FA" w14:textId="77777777" w:rsidR="007667AC" w:rsidRDefault="00000000">
            <w:r>
              <w:rPr>
                <w:b/>
                <w:bCs/>
                <w:color w:val="FFFFFF"/>
              </w:rPr>
              <w:t>avg_total</w:t>
            </w:r>
          </w:p>
        </w:tc>
        <w:tc>
          <w:tcPr>
            <w:tcW w:w="2520" w:type="dxa"/>
            <w:shd w:val="clear" w:color="auto" w:fill="2E4053"/>
          </w:tcPr>
          <w:p w14:paraId="5B996419" w14:textId="77777777" w:rsidR="007667AC" w:rsidRDefault="00000000">
            <w:r>
              <w:rPr>
                <w:b/>
                <w:bCs/>
                <w:color w:val="FFFFFF"/>
              </w:rPr>
              <w:t>n</w:t>
            </w:r>
          </w:p>
        </w:tc>
      </w:tr>
      <w:tr w:rsidR="007667AC" w14:paraId="36DF9AE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FFFFF"/>
          </w:tcPr>
          <w:p w14:paraId="2CB1CF6B" w14:textId="77777777" w:rsidR="007667AC" w:rsidRDefault="00000000">
            <w:r>
              <w:t>first</w:t>
            </w:r>
          </w:p>
        </w:tc>
        <w:tc>
          <w:tcPr>
            <w:tcW w:w="3780" w:type="dxa"/>
            <w:shd w:val="clear" w:color="auto" w:fill="FFFFFF"/>
          </w:tcPr>
          <w:p w14:paraId="3C6EFB90" w14:textId="77777777" w:rsidR="007667AC" w:rsidRDefault="00000000">
            <w:r>
              <w:t>29,765.24</w:t>
            </w:r>
          </w:p>
        </w:tc>
        <w:tc>
          <w:tcPr>
            <w:tcW w:w="2520" w:type="dxa"/>
            <w:shd w:val="clear" w:color="auto" w:fill="FFFFFF"/>
          </w:tcPr>
          <w:p w14:paraId="08B585ED" w14:textId="77777777" w:rsidR="007667AC" w:rsidRDefault="00000000">
            <w:r>
              <w:t>4,719</w:t>
            </w:r>
          </w:p>
        </w:tc>
      </w:tr>
      <w:tr w:rsidR="007667AC" w14:paraId="5894111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5F7FA"/>
          </w:tcPr>
          <w:p w14:paraId="3B478164" w14:textId="77777777" w:rsidR="007667AC" w:rsidRDefault="00000000">
            <w:r>
              <w:t>second</w:t>
            </w:r>
          </w:p>
        </w:tc>
        <w:tc>
          <w:tcPr>
            <w:tcW w:w="3780" w:type="dxa"/>
            <w:shd w:val="clear" w:color="auto" w:fill="F5F7FA"/>
          </w:tcPr>
          <w:p w14:paraId="413BA681" w14:textId="77777777" w:rsidR="007667AC" w:rsidRDefault="00000000">
            <w:r>
              <w:t>29,328.32</w:t>
            </w:r>
          </w:p>
        </w:tc>
        <w:tc>
          <w:tcPr>
            <w:tcW w:w="2520" w:type="dxa"/>
            <w:shd w:val="clear" w:color="auto" w:fill="F5F7FA"/>
          </w:tcPr>
          <w:p w14:paraId="286F8027" w14:textId="77777777" w:rsidR="007667AC" w:rsidRDefault="00000000">
            <w:r>
              <w:t>1,884</w:t>
            </w:r>
          </w:p>
        </w:tc>
      </w:tr>
      <w:tr w:rsidR="007667AC" w14:paraId="24DE9D5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FFFFF"/>
          </w:tcPr>
          <w:p w14:paraId="4361612C" w14:textId="77777777" w:rsidR="007667AC" w:rsidRDefault="00000000">
            <w:r>
              <w:t>3-or-later</w:t>
            </w:r>
          </w:p>
        </w:tc>
        <w:tc>
          <w:tcPr>
            <w:tcW w:w="3780" w:type="dxa"/>
            <w:shd w:val="clear" w:color="auto" w:fill="FFFFFF"/>
          </w:tcPr>
          <w:p w14:paraId="09D9B472" w14:textId="77777777" w:rsidR="007667AC" w:rsidRDefault="00000000">
            <w:r>
              <w:t>30,197.68</w:t>
            </w:r>
          </w:p>
        </w:tc>
        <w:tc>
          <w:tcPr>
            <w:tcW w:w="2520" w:type="dxa"/>
            <w:shd w:val="clear" w:color="auto" w:fill="FFFFFF"/>
          </w:tcPr>
          <w:p w14:paraId="7FEC3C9F" w14:textId="77777777" w:rsidR="007667AC" w:rsidRDefault="00000000">
            <w:r>
              <w:t>2,676</w:t>
            </w:r>
          </w:p>
        </w:tc>
      </w:tr>
    </w:tbl>
    <w:p w14:paraId="0B46FCEF" w14:textId="77777777" w:rsidR="007667AC" w:rsidRDefault="00000000">
      <w:pPr>
        <w:spacing w:after="160"/>
      </w:pPr>
      <w:r>
        <w:t>Answer: average spend is essentially flat across booking sequence — no strong pattern of spending more, or less, as a customer returns.</w:t>
      </w:r>
    </w:p>
    <w:p w14:paraId="3D6206A2" w14:textId="77777777" w:rsidR="007667AC" w:rsidRDefault="00000000">
      <w:pPr>
        <w:pStyle w:val="Heading2"/>
        <w:spacing w:before="280" w:after="120"/>
      </w:pPr>
      <w:r>
        <w:t>C-Q2 — Top 5 properties by normalized average review rating (≥20 reviews)</w:t>
      </w:r>
    </w:p>
    <w:p w14:paraId="74A55C53" w14:textId="77777777" w:rsidR="007667AC" w:rsidRDefault="00000000">
      <w:pPr>
        <w:spacing w:after="160"/>
      </w:pPr>
      <w:r>
        <w:t>Footnote 7: review_rating is on a 1-5 scale for Individual/Group customers but 1-10 for Corporate. Corporate ratings are divided by 2 before averaging.</w:t>
      </w:r>
    </w:p>
    <w:p w14:paraId="06D3D670" w14:textId="77777777" w:rsidR="007667A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WITH normalized_reviews 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SELECT b.property_id,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CASE WHEN c.customer_segment = 'Corporate' THEN r.review_rating / 2.0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ELSE r.review_rating END AS normalized_rating</w:t>
      </w:r>
      <w:r>
        <w:rPr>
          <w:rFonts w:ascii="Consolas" w:eastAsia="Consolas" w:hAnsi="Consolas" w:cs="Consolas"/>
          <w:sz w:val="18"/>
          <w:szCs w:val="18"/>
        </w:rPr>
        <w:br/>
        <w:t xml:space="preserve">    FROM reviews r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bookings  b ON b.booking_id  = r.booking_id</w:t>
      </w:r>
      <w:r>
        <w:rPr>
          <w:rFonts w:ascii="Consolas" w:eastAsia="Consolas" w:hAnsi="Consolas" w:cs="Consolas"/>
          <w:sz w:val="18"/>
          <w:szCs w:val="18"/>
        </w:rPr>
        <w:br/>
        <w:t xml:space="preserve">    JOIN customers c ON c.customer_id = b.customer_id</w:t>
      </w:r>
      <w:r>
        <w:rPr>
          <w:rFonts w:ascii="Consolas" w:eastAsia="Consolas" w:hAnsi="Consolas" w:cs="Consolas"/>
          <w:sz w:val="18"/>
          <w:szCs w:val="18"/>
        </w:rPr>
        <w:br/>
        <w:t>)</w:t>
      </w:r>
      <w:r>
        <w:rPr>
          <w:rFonts w:ascii="Consolas" w:eastAsia="Consolas" w:hAnsi="Consolas" w:cs="Consolas"/>
          <w:sz w:val="18"/>
          <w:szCs w:val="18"/>
        </w:rPr>
        <w:br/>
        <w:t>SELECT p.property_name, p.property_city, COUNT(*) AS num_reviews,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ROUND(AVG(nr.normalized_rating), 2) AS normalized_avg_rating</w:t>
      </w:r>
      <w:r>
        <w:rPr>
          <w:rFonts w:ascii="Consolas" w:eastAsia="Consolas" w:hAnsi="Consolas" w:cs="Consolas"/>
          <w:sz w:val="18"/>
          <w:szCs w:val="18"/>
        </w:rPr>
        <w:br/>
        <w:t>FROM normalized_reviews nr</w:t>
      </w:r>
      <w:r>
        <w:rPr>
          <w:rFonts w:ascii="Consolas" w:eastAsia="Consolas" w:hAnsi="Consolas" w:cs="Consolas"/>
          <w:sz w:val="18"/>
          <w:szCs w:val="18"/>
        </w:rPr>
        <w:br/>
        <w:t>JOIN properties p ON p.property_id = nr.property_id</w:t>
      </w:r>
      <w:r>
        <w:rPr>
          <w:rFonts w:ascii="Consolas" w:eastAsia="Consolas" w:hAnsi="Consolas" w:cs="Consolas"/>
          <w:sz w:val="18"/>
          <w:szCs w:val="18"/>
        </w:rPr>
        <w:br/>
        <w:t>GROUP BY p.property_id, p.property_name, p.property_city</w:t>
      </w:r>
      <w:r>
        <w:rPr>
          <w:rFonts w:ascii="Consolas" w:eastAsia="Consolas" w:hAnsi="Consolas" w:cs="Consolas"/>
          <w:sz w:val="18"/>
          <w:szCs w:val="18"/>
        </w:rPr>
        <w:br/>
        <w:t>HAVING COUNT(*) &gt;= 20</w:t>
      </w:r>
      <w:r>
        <w:rPr>
          <w:rFonts w:ascii="Consolas" w:eastAsia="Consolas" w:hAnsi="Consolas" w:cs="Consolas"/>
          <w:sz w:val="18"/>
          <w:szCs w:val="18"/>
        </w:rPr>
        <w:br/>
        <w:t>ORDER BY normalized_avg_rating DESC</w:t>
      </w:r>
      <w:r>
        <w:rPr>
          <w:rFonts w:ascii="Consolas" w:eastAsia="Consolas" w:hAnsi="Consolas" w:cs="Consolas"/>
          <w:sz w:val="18"/>
          <w:szCs w:val="18"/>
        </w:rPr>
        <w:br/>
        <w:t>LIMIT 5;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184"/>
        <w:gridCol w:w="2016"/>
        <w:gridCol w:w="2520"/>
      </w:tblGrid>
      <w:tr w:rsidR="007667AC" w14:paraId="4E9D2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E4053"/>
          </w:tcPr>
          <w:p w14:paraId="07D64AF3" w14:textId="77777777" w:rsidR="007667AC" w:rsidRDefault="00000000">
            <w:r>
              <w:rPr>
                <w:b/>
                <w:bCs/>
                <w:color w:val="FFFFFF"/>
              </w:rPr>
              <w:t>property_name</w:t>
            </w:r>
          </w:p>
        </w:tc>
        <w:tc>
          <w:tcPr>
            <w:tcW w:w="2184" w:type="dxa"/>
            <w:shd w:val="clear" w:color="auto" w:fill="2E4053"/>
          </w:tcPr>
          <w:p w14:paraId="430611F6" w14:textId="77777777" w:rsidR="007667AC" w:rsidRDefault="00000000">
            <w:r>
              <w:rPr>
                <w:b/>
                <w:bCs/>
                <w:color w:val="FFFFFF"/>
              </w:rPr>
              <w:t>property_city</w:t>
            </w:r>
          </w:p>
        </w:tc>
        <w:tc>
          <w:tcPr>
            <w:tcW w:w="2016" w:type="dxa"/>
            <w:shd w:val="clear" w:color="auto" w:fill="2E4053"/>
          </w:tcPr>
          <w:p w14:paraId="5AEBE15C" w14:textId="77777777" w:rsidR="007667AC" w:rsidRDefault="00000000">
            <w:r>
              <w:rPr>
                <w:b/>
                <w:bCs/>
                <w:color w:val="FFFFFF"/>
              </w:rPr>
              <w:t>num_reviews</w:t>
            </w:r>
          </w:p>
        </w:tc>
        <w:tc>
          <w:tcPr>
            <w:tcW w:w="2520" w:type="dxa"/>
            <w:shd w:val="clear" w:color="auto" w:fill="2E4053"/>
          </w:tcPr>
          <w:p w14:paraId="26315BD8" w14:textId="77777777" w:rsidR="007667AC" w:rsidRDefault="00000000">
            <w:r>
              <w:rPr>
                <w:b/>
                <w:bCs/>
                <w:color w:val="FFFFFF"/>
              </w:rPr>
              <w:t>normalized_avg_rating</w:t>
            </w:r>
          </w:p>
        </w:tc>
      </w:tr>
      <w:tr w:rsidR="007667AC" w14:paraId="7C28FF9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</w:tcPr>
          <w:p w14:paraId="7D6D30ED" w14:textId="77777777" w:rsidR="007667AC" w:rsidRDefault="00000000">
            <w:r>
              <w:t>Tusker Lodge</w:t>
            </w:r>
          </w:p>
        </w:tc>
        <w:tc>
          <w:tcPr>
            <w:tcW w:w="2184" w:type="dxa"/>
            <w:shd w:val="clear" w:color="auto" w:fill="FFFFFF"/>
          </w:tcPr>
          <w:p w14:paraId="60FAF8F2" w14:textId="77777777" w:rsidR="007667AC" w:rsidRDefault="00000000">
            <w:r>
              <w:t>Mumbai</w:t>
            </w:r>
          </w:p>
        </w:tc>
        <w:tc>
          <w:tcPr>
            <w:tcW w:w="2016" w:type="dxa"/>
            <w:shd w:val="clear" w:color="auto" w:fill="FFFFFF"/>
          </w:tcPr>
          <w:p w14:paraId="172D37B4" w14:textId="77777777" w:rsidR="007667AC" w:rsidRDefault="00000000">
            <w:r>
              <w:t>91</w:t>
            </w:r>
          </w:p>
        </w:tc>
        <w:tc>
          <w:tcPr>
            <w:tcW w:w="2520" w:type="dxa"/>
            <w:shd w:val="clear" w:color="auto" w:fill="FFFFFF"/>
          </w:tcPr>
          <w:p w14:paraId="3CBEBB6C" w14:textId="77777777" w:rsidR="007667AC" w:rsidRDefault="00000000">
            <w:r>
              <w:t>3.95</w:t>
            </w:r>
          </w:p>
        </w:tc>
      </w:tr>
      <w:tr w:rsidR="007667AC" w14:paraId="23EC55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</w:tcPr>
          <w:p w14:paraId="4BE135A4" w14:textId="77777777" w:rsidR="007667AC" w:rsidRDefault="00000000">
            <w:r>
              <w:t>Banyan Heights</w:t>
            </w:r>
          </w:p>
        </w:tc>
        <w:tc>
          <w:tcPr>
            <w:tcW w:w="2184" w:type="dxa"/>
            <w:shd w:val="clear" w:color="auto" w:fill="F5F7FA"/>
          </w:tcPr>
          <w:p w14:paraId="19D3B803" w14:textId="77777777" w:rsidR="007667AC" w:rsidRDefault="00000000">
            <w:r>
              <w:t>Mumbai</w:t>
            </w:r>
          </w:p>
        </w:tc>
        <w:tc>
          <w:tcPr>
            <w:tcW w:w="2016" w:type="dxa"/>
            <w:shd w:val="clear" w:color="auto" w:fill="F5F7FA"/>
          </w:tcPr>
          <w:p w14:paraId="6A46FFFD" w14:textId="77777777" w:rsidR="007667AC" w:rsidRDefault="00000000">
            <w:r>
              <w:t>78</w:t>
            </w:r>
          </w:p>
        </w:tc>
        <w:tc>
          <w:tcPr>
            <w:tcW w:w="2520" w:type="dxa"/>
            <w:shd w:val="clear" w:color="auto" w:fill="F5F7FA"/>
          </w:tcPr>
          <w:p w14:paraId="40D76FE4" w14:textId="77777777" w:rsidR="007667AC" w:rsidRDefault="00000000">
            <w:r>
              <w:t>3.92</w:t>
            </w:r>
          </w:p>
        </w:tc>
      </w:tr>
      <w:tr w:rsidR="007667AC" w14:paraId="0DFBA3D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</w:tcPr>
          <w:p w14:paraId="3C9E7049" w14:textId="77777777" w:rsidR="007667AC" w:rsidRDefault="00000000">
            <w:r>
              <w:lastRenderedPageBreak/>
              <w:t>Crimson Residency</w:t>
            </w:r>
          </w:p>
        </w:tc>
        <w:tc>
          <w:tcPr>
            <w:tcW w:w="2184" w:type="dxa"/>
            <w:shd w:val="clear" w:color="auto" w:fill="FFFFFF"/>
          </w:tcPr>
          <w:p w14:paraId="25467617" w14:textId="77777777" w:rsidR="007667AC" w:rsidRDefault="00000000">
            <w:r>
              <w:t>Chennai</w:t>
            </w:r>
          </w:p>
        </w:tc>
        <w:tc>
          <w:tcPr>
            <w:tcW w:w="2016" w:type="dxa"/>
            <w:shd w:val="clear" w:color="auto" w:fill="FFFFFF"/>
          </w:tcPr>
          <w:p w14:paraId="1B2D1478" w14:textId="77777777" w:rsidR="007667AC" w:rsidRDefault="00000000">
            <w:r>
              <w:t>97</w:t>
            </w:r>
          </w:p>
        </w:tc>
        <w:tc>
          <w:tcPr>
            <w:tcW w:w="2520" w:type="dxa"/>
            <w:shd w:val="clear" w:color="auto" w:fill="FFFFFF"/>
          </w:tcPr>
          <w:p w14:paraId="2B76F758" w14:textId="77777777" w:rsidR="007667AC" w:rsidRDefault="00000000">
            <w:r>
              <w:t>3.92</w:t>
            </w:r>
          </w:p>
        </w:tc>
      </w:tr>
      <w:tr w:rsidR="007667AC" w14:paraId="17E82D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</w:tcPr>
          <w:p w14:paraId="09C943C7" w14:textId="77777777" w:rsidR="007667AC" w:rsidRDefault="00000000">
            <w:r>
              <w:t>Mango Manor</w:t>
            </w:r>
          </w:p>
        </w:tc>
        <w:tc>
          <w:tcPr>
            <w:tcW w:w="2184" w:type="dxa"/>
            <w:shd w:val="clear" w:color="auto" w:fill="F5F7FA"/>
          </w:tcPr>
          <w:p w14:paraId="0939E683" w14:textId="77777777" w:rsidR="007667AC" w:rsidRDefault="00000000">
            <w:r>
              <w:t>Jaipur</w:t>
            </w:r>
          </w:p>
        </w:tc>
        <w:tc>
          <w:tcPr>
            <w:tcW w:w="2016" w:type="dxa"/>
            <w:shd w:val="clear" w:color="auto" w:fill="F5F7FA"/>
          </w:tcPr>
          <w:p w14:paraId="0D4CF26E" w14:textId="77777777" w:rsidR="007667AC" w:rsidRDefault="00000000">
            <w:r>
              <w:t>91</w:t>
            </w:r>
          </w:p>
        </w:tc>
        <w:tc>
          <w:tcPr>
            <w:tcW w:w="2520" w:type="dxa"/>
            <w:shd w:val="clear" w:color="auto" w:fill="F5F7FA"/>
          </w:tcPr>
          <w:p w14:paraId="5BFD1A56" w14:textId="77777777" w:rsidR="007667AC" w:rsidRDefault="00000000">
            <w:r>
              <w:t>3.91</w:t>
            </w:r>
          </w:p>
        </w:tc>
      </w:tr>
      <w:tr w:rsidR="007667AC" w14:paraId="085E860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</w:tcPr>
          <w:p w14:paraId="41322C80" w14:textId="77777777" w:rsidR="007667AC" w:rsidRDefault="00000000">
            <w:r>
              <w:t>Pearl Retreat</w:t>
            </w:r>
          </w:p>
        </w:tc>
        <w:tc>
          <w:tcPr>
            <w:tcW w:w="2184" w:type="dxa"/>
            <w:shd w:val="clear" w:color="auto" w:fill="FFFFFF"/>
          </w:tcPr>
          <w:p w14:paraId="3CE1FD39" w14:textId="77777777" w:rsidR="007667AC" w:rsidRDefault="00000000">
            <w:r>
              <w:t>Mumbai</w:t>
            </w:r>
          </w:p>
        </w:tc>
        <w:tc>
          <w:tcPr>
            <w:tcW w:w="2016" w:type="dxa"/>
            <w:shd w:val="clear" w:color="auto" w:fill="FFFFFF"/>
          </w:tcPr>
          <w:p w14:paraId="44BC3B90" w14:textId="77777777" w:rsidR="007667AC" w:rsidRDefault="00000000">
            <w:r>
              <w:t>76</w:t>
            </w:r>
          </w:p>
        </w:tc>
        <w:tc>
          <w:tcPr>
            <w:tcW w:w="2520" w:type="dxa"/>
            <w:shd w:val="clear" w:color="auto" w:fill="FFFFFF"/>
          </w:tcPr>
          <w:p w14:paraId="0445E493" w14:textId="77777777" w:rsidR="007667AC" w:rsidRDefault="00000000">
            <w:r>
              <w:t>3.89</w:t>
            </w:r>
          </w:p>
        </w:tc>
      </w:tr>
    </w:tbl>
    <w:p w14:paraId="2D48EEAC" w14:textId="77777777" w:rsidR="007667AC" w:rsidRDefault="00000000">
      <w:pPr>
        <w:spacing w:after="160"/>
      </w:pPr>
      <w:r>
        <w:t>Note: queries were run against the flat CSV loaded as a single table; they work unchanged against the normalized schema above since customers/properties/bookings/reviews map 1:1 onto the flat CSV's columns. Full standalone SQL is also delivered as schema.sql and queries.sql in the code/ folder.</w:t>
      </w:r>
    </w:p>
    <w:sectPr w:rsidR="007667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18AA"/>
    <w:multiLevelType w:val="hybridMultilevel"/>
    <w:tmpl w:val="4570702C"/>
    <w:lvl w:ilvl="0" w:tplc="C076193A">
      <w:start w:val="1"/>
      <w:numFmt w:val="bullet"/>
      <w:lvlText w:val="●"/>
      <w:lvlJc w:val="left"/>
      <w:pPr>
        <w:ind w:left="720" w:hanging="360"/>
      </w:pPr>
    </w:lvl>
    <w:lvl w:ilvl="1" w:tplc="279E4FA4">
      <w:start w:val="1"/>
      <w:numFmt w:val="bullet"/>
      <w:lvlText w:val="○"/>
      <w:lvlJc w:val="left"/>
      <w:pPr>
        <w:ind w:left="1440" w:hanging="360"/>
      </w:pPr>
    </w:lvl>
    <w:lvl w:ilvl="2" w:tplc="DD860D66">
      <w:start w:val="1"/>
      <w:numFmt w:val="bullet"/>
      <w:lvlText w:val="■"/>
      <w:lvlJc w:val="left"/>
      <w:pPr>
        <w:ind w:left="2160" w:hanging="360"/>
      </w:pPr>
    </w:lvl>
    <w:lvl w:ilvl="3" w:tplc="636CC1A6">
      <w:start w:val="1"/>
      <w:numFmt w:val="bullet"/>
      <w:lvlText w:val="●"/>
      <w:lvlJc w:val="left"/>
      <w:pPr>
        <w:ind w:left="2880" w:hanging="360"/>
      </w:pPr>
    </w:lvl>
    <w:lvl w:ilvl="4" w:tplc="A822D564">
      <w:start w:val="1"/>
      <w:numFmt w:val="bullet"/>
      <w:lvlText w:val="○"/>
      <w:lvlJc w:val="left"/>
      <w:pPr>
        <w:ind w:left="3600" w:hanging="360"/>
      </w:pPr>
    </w:lvl>
    <w:lvl w:ilvl="5" w:tplc="EC82F480">
      <w:start w:val="1"/>
      <w:numFmt w:val="bullet"/>
      <w:lvlText w:val="■"/>
      <w:lvlJc w:val="left"/>
      <w:pPr>
        <w:ind w:left="4320" w:hanging="360"/>
      </w:pPr>
    </w:lvl>
    <w:lvl w:ilvl="6" w:tplc="571E7A3C">
      <w:start w:val="1"/>
      <w:numFmt w:val="bullet"/>
      <w:lvlText w:val="●"/>
      <w:lvlJc w:val="left"/>
      <w:pPr>
        <w:ind w:left="5040" w:hanging="360"/>
      </w:pPr>
    </w:lvl>
    <w:lvl w:ilvl="7" w:tplc="F2121B6C">
      <w:start w:val="1"/>
      <w:numFmt w:val="bullet"/>
      <w:lvlText w:val="●"/>
      <w:lvlJc w:val="left"/>
      <w:pPr>
        <w:ind w:left="5760" w:hanging="360"/>
      </w:pPr>
    </w:lvl>
    <w:lvl w:ilvl="8" w:tplc="7EB4343A">
      <w:start w:val="1"/>
      <w:numFmt w:val="bullet"/>
      <w:lvlText w:val="●"/>
      <w:lvlJc w:val="left"/>
      <w:pPr>
        <w:ind w:left="6480" w:hanging="360"/>
      </w:pPr>
    </w:lvl>
  </w:abstractNum>
  <w:num w:numId="1" w16cid:durableId="1535850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C"/>
    <w:rsid w:val="005D2AE4"/>
    <w:rsid w:val="007667AC"/>
    <w:rsid w:val="00CE302A"/>
    <w:rsid w:val="00E0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DA55"/>
  <w15:docId w15:val="{AE2BEC12-C33E-42F6-B255-23CC14CB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Krishnaverma2919@gmail.com</cp:lastModifiedBy>
  <cp:revision>3</cp:revision>
  <dcterms:created xsi:type="dcterms:W3CDTF">2026-08-22T12:16:00Z</dcterms:created>
  <dcterms:modified xsi:type="dcterms:W3CDTF">2026-08-22T12:46:00Z</dcterms:modified>
</cp:coreProperties>
</file>