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BHARAT COKING COAL LIMITED -- JHARIA COALFIELD GEOLOGICAL SURVEY</w:t>
      </w:r>
    </w:p>
    <w:p>
      <w:r>
        <w:t>[SYNTHETIC DEMONSTRATION DATA -- NOT OFFICIAL CIL DATA]</w:t>
        <w:br/>
        <w:t>Subsidiary: BCCL | Mine: Moonidih &amp; Block-IV | Period: Q1 FY25-26</w:t>
      </w:r>
    </w:p>
    <w:p>
      <w:pPr>
        <w:pStyle w:val="Heading1"/>
      </w:pPr>
      <w:r>
        <w:t>1. Geological Exploration &amp; Seam Analysis</w:t>
      </w:r>
    </w:p>
    <w:p>
      <w:r>
        <w:t>Central Mine Planning and Design Institute (CMPDI) Regional Institute-II conducted deep exploratory drilling in the Jharia Coalfield across Borehole BH-JHR-108 and BH-JHR-112 reaching depths of 450 metres. The exploration verified significant reserves in Seam-XVIII, Seam-XVI, and Queen Seam with a composite thickness of 6.8 metres. The coal exhibits premium metallurgical properties with Coal Ash Content of 16.4% and Moisture of 1.2%, categorized as Prime Coking Coal Grade Steel-I.</w:t>
      </w:r>
    </w:p>
    <w:p>
      <w:pPr>
        <w:pStyle w:val="Heading1"/>
      </w:pPr>
      <w:r>
        <w:t>2. Operational Production &amp; Safety Status</w:t>
      </w:r>
    </w:p>
    <w:p>
      <w:r>
        <w:t>During Q1 FY25-26, BCCL achieved total Coal Production of 0.78 Million Tonnes from underground longwall and continuous miner operations. Safety compliance was strictly maintained with 0 Fatal Accidents and 0 Serious Accidents under DGMS supervision. Methane drainage systems operated at 99.4% efficiency.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