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PARLIAMENT OF INDIA -- LOK SABHA QUESTION NO. 142</w:t>
      </w:r>
    </w:p>
    <w:p>
      <w:r>
        <w:t>[SYNTHETIC DEMONSTRATION DATA -- NOT OFFICIAL CIL DATA]</w:t>
        <w:br/>
        <w:t>Ministry: Ministry of Coal | Subject: Coal Production Targets, Shortfalls and Safety Measures</w:t>
      </w:r>
    </w:p>
    <w:p>
      <w:r>
        <w:t>Will the Minister of COAL be pleased to state:</w:t>
        <w:br/>
        <w:t>(a) The subsidiary-wise details of coal production targets versus actual achievements in ECL, BCCL, and SECL during May 2025 and Q1 FY25-26;</w:t>
        <w:br/>
        <w:t>(b) Whether any discrepancies were detected in reported production figures between mine pithead and annual dispatch summaries;</w:t>
        <w:br/>
        <w:t>(c) The number of fatal and serious safety accidents recorded across CIL operational mines in the stated period; and</w:t>
        <w:br/>
        <w:t>(d) The concrete remedial steps taken by the government to enhance HEMM availability and enforce DGMS safety standards?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