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72"/>
          <w:szCs w:val="72"/>
        </w:rPr>
        <w:t xml:space="preserve">COST360</w:t>
      </w:r>
    </w:p>
    <w:p>
      <w:pPr>
        <w:spacing w:after="100"/>
        <w:jc w:val="center"/>
      </w:pPr>
      <w:r>
        <w:rPr>
          <w:color w:val="595959"/>
          <w:sz w:val="28"/>
          <w:szCs w:val="28"/>
        </w:rPr>
        <w:t xml:space="preserve">Manufacturing Cost Intelligence, Product Costing &amp; Audit Platform</w:t>
      </w:r>
    </w:p>
    <w:p>
      <w:pPr>
        <w:spacing w:after="600"/>
        <w:jc w:val="center"/>
      </w:pPr>
      <w:r>
        <w:rPr>
          <w:i/>
          <w:iCs/>
          <w:color w:val="1F3864"/>
          <w:sz w:val="24"/>
          <w:szCs w:val="24"/>
        </w:rPr>
        <w:t xml:space="preserve">“Think Beyond Cost”</w:t>
      </w:r>
    </w:p>
    <w:p>
      <w:pPr>
        <w:spacing w:after="100"/>
        <w:jc w:val="center"/>
      </w:pPr>
      <w:r>
        <w:rPr>
          <w:b/>
          <w:bCs/>
          <w:sz w:val="32"/>
          <w:szCs w:val="32"/>
        </w:rPr>
        <w:t xml:space="preserve">SOFTWARE REQUIREMENTS SPECIFICATION — PART 2</w:t>
      </w:r>
    </w:p>
    <w:p>
      <w:pPr>
        <w:spacing w:after="1200"/>
        <w:jc w:val="center"/>
      </w:pPr>
      <w:r>
        <w:rPr>
          <w:color w:val="595959"/>
          <w:sz w:val="20"/>
          <w:szCs w:val="20"/>
        </w:rPr>
        <w:t xml:space="preserve">Functional Requirements · Module Specifications · Master Data · Transactions · Database Design</w:t>
      </w:r>
    </w:p>
    <w:p>
      <w:pPr>
        <w:spacing w:after="60"/>
        <w:jc w:val="center"/>
      </w:pPr>
      <w:r>
        <w:rPr>
          <w:sz w:val="20"/>
          <w:szCs w:val="20"/>
        </w:rPr>
        <w:t xml:space="preserve">Document ID: COST360-SRS-001</w:t>
      </w:r>
    </w:p>
    <w:p>
      <w:pPr>
        <w:spacing w:after="60"/>
        <w:jc w:val="center"/>
      </w:pPr>
      <w:r>
        <w:rPr>
          <w:sz w:val="20"/>
          <w:szCs w:val="20"/>
        </w:rPr>
        <w:t xml:space="preserve">Version: 0.1 (Draft — Part 2 of 4)</w:t>
      </w:r>
    </w:p>
    <w:p>
      <w:pPr>
        <w:spacing w:after="60"/>
        <w:jc w:val="center"/>
      </w:pPr>
      <w:r>
        <w:rPr>
          <w:sz w:val="20"/>
          <w:szCs w:val="20"/>
        </w:rPr>
        <w:t xml:space="preserve">Date: 23 September 2026</w:t>
      </w:r>
    </w:p>
    <w:p>
      <w:r>
        <w:br w:type="page"/>
      </w:r>
    </w:p>
    <w:p>
      <w:pPr>
        <w:pStyle w:val="Heading1"/>
        <w:spacing w:after="240" w:before="480"/>
      </w:pPr>
      <w:r>
        <w:rPr>
          <w:b/>
          <w:bCs/>
        </w:rPr>
        <w:t xml:space="preserve">Contents of This Part</w:t>
      </w:r>
    </w:p>
    <w:p>
      <w:pPr>
        <w:spacing w:after="160"/>
      </w:pPr>
      <w:r>
        <w:t xml:space="preserve">This is Part 2 of 4 of the Cost360 SRS. It covers:</w:t>
      </w:r>
    </w:p>
    <w:p>
      <w:pPr>
        <w:pStyle w:val="ListParagraph"/>
        <w:numPr>
          <w:ilvl w:val="0"/>
          <w:numId w:val="2"/>
        </w:numPr>
        <w:spacing w:after="80"/>
      </w:pPr>
      <w:r>
        <w:t xml:space="preserve">Section 5 — Functional Requirements (FR cards for core modules)</w:t>
      </w:r>
    </w:p>
    <w:p>
      <w:pPr>
        <w:pStyle w:val="ListParagraph"/>
        <w:numPr>
          <w:ilvl w:val="0"/>
          <w:numId w:val="2"/>
        </w:numPr>
        <w:spacing w:after="80"/>
      </w:pPr>
      <w:r>
        <w:t xml:space="preserve">Section 8 — Module Specifications (full module catalogue)</w:t>
      </w:r>
    </w:p>
    <w:p>
      <w:pPr>
        <w:pStyle w:val="ListParagraph"/>
        <w:numPr>
          <w:ilvl w:val="0"/>
          <w:numId w:val="2"/>
        </w:numPr>
        <w:spacing w:after="80"/>
      </w:pPr>
      <w:r>
        <w:t xml:space="preserve">Section 10 — Master Data Specification</w:t>
      </w:r>
    </w:p>
    <w:p>
      <w:pPr>
        <w:pStyle w:val="ListParagraph"/>
        <w:numPr>
          <w:ilvl w:val="0"/>
          <w:numId w:val="2"/>
        </w:numPr>
        <w:spacing w:after="80"/>
      </w:pPr>
      <w:r>
        <w:t xml:space="preserve">Section 11 — Transaction Specification</w:t>
      </w:r>
    </w:p>
    <w:p>
      <w:pPr>
        <w:pStyle w:val="ListParagraph"/>
        <w:numPr>
          <w:ilvl w:val="0"/>
          <w:numId w:val="2"/>
        </w:numPr>
        <w:spacing w:after="80"/>
      </w:pPr>
      <w:r>
        <w:t xml:space="preserve">Section 15 — Database Requirements</w:t>
      </w:r>
    </w:p>
    <w:p>
      <w:pPr>
        <w:pStyle w:val="ListParagraph"/>
        <w:numPr>
          <w:ilvl w:val="0"/>
          <w:numId w:val="2"/>
        </w:numPr>
        <w:spacing w:after="80"/>
      </w:pPr>
      <w:r>
        <w:t xml:space="preserve">Section 16 — Data Dictionary</w:t>
      </w:r>
    </w:p>
    <w:p>
      <w:pPr>
        <w:pStyle w:val="ListParagraph"/>
        <w:numPr>
          <w:ilvl w:val="0"/>
          <w:numId w:val="2"/>
        </w:numPr>
        <w:spacing w:after="80"/>
      </w:pPr>
      <w:r>
        <w:t xml:space="preserve">Section 17 — PostgreSQL Database Implementation Specification (incl. PHP connectivity &amp; illustrative DDL)</w:t>
      </w:r>
    </w:p>
    <w:p>
      <w:pPr>
        <w:spacing w:after="160"/>
      </w:pPr>
      <w:r>
        <w:t xml:space="preserve">See Part 1 for Document Control, Introduction, Overall Description, System Context, Stakeholders/RBAC, System Architecture and the Menu Specification. Parts 3 and 4 will cover business/validation rules, security, workflows, dashboards, reports, process flows, UML, screens, testing, RTM and appendices.</w:t>
      </w:r>
    </w:p>
    <w:p>
      <w:r>
        <w:br w:type="page"/>
      </w:r>
    </w:p>
    <w:p>
      <w:pPr>
        <w:sectPr>
          <w:pgSz w:w="11906" w:h="16838" w:orient="portrait"/>
          <w:pgMar w:top="1440" w:right="1440" w:bottom="1440" w:left="1440" w:header="708" w:footer="708" w:gutter="0"/>
          <w:pgNumType/>
          <w:docGrid w:linePitch="360"/>
        </w:sectPr>
      </w:pPr>
    </w:p>
    <w:p>
      <w:pPr>
        <w:pStyle w:val="Heading1"/>
        <w:spacing w:after="240" w:before="480"/>
      </w:pPr>
      <w:r>
        <w:rPr>
          <w:b/>
          <w:bCs/>
        </w:rPr>
        <w:t xml:space="preserve">5. Functional Requirements</w:t>
      </w:r>
    </w:p>
    <w:p>
      <w:pPr>
        <w:spacing w:after="160"/>
      </w:pPr>
      <w:r>
        <w:t xml:space="preserve">This section details functional requirements for the core Cost360 modules using the ID scheme FR-&lt;MODULE&gt;-&lt;NNN&gt;. Each requirement is implementation-oriented: a developer should be able to build directly from the Main/Alternate/Exception flows without needing to re-interpret the source functional note. Requirements not detailed here at full card level are still represented at summary level in Section 8 (Module Specifications) and will be expanded to full FR cards on request. Every requirement below traces to the source functional note's module list (Document upload note, Section headers); items requiring an engineering decision not stated in the source are marked Proposed / To Be Confirmed inline.</w:t>
      </w:r>
    </w:p>
    <w:p>
      <w:pPr>
        <w:spacing w:after="160"/>
      </w:pPr>
      <w:r>
        <w:t xml:space="preserve">Field conventions: “DB entities” reference table names defined in the Data Dictionary (Section 16). “Permissions” reference the RBAC codes defined in Section 4.7 (Part 1). “Audit” specifies what must be written to the Audit Log (Section 21, Part 3) when this requirement executes.</w:t>
      </w:r>
    </w:p>
    <w:p>
      <w:pPr>
        <w:spacing w:after="200"/>
      </w:pPr>
    </w:p>
    <w:p>
      <w:pPr>
        <w:pStyle w:val="Heading2"/>
        <w:spacing w:after="160" w:before="320"/>
      </w:pPr>
      <w:r>
        <w:rPr>
          <w:b/>
          <w:bCs/>
        </w:rPr>
        <w:t xml:space="preserve">5.1 Authentication and User Administration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FR-AUTH-001 — User Login</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Authenticate a registered user against their tenant and issue an authorised session.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All roles</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User account exists, is active, and is assigned to a tenant (except Platform Administrator, who is tenant-less).</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User submits username/email and password on the Login screen.</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User navigates to the Login screen and enters credentials.</w:t>
            </w:r>
          </w:p>
          <w:p>
            <w:pPr>
              <w:spacing w:after="60"/>
            </w:pPr>
            <w:r>
              <w:rPr>
                <w:sz w:val="18"/>
                <w:szCs w:val="18"/>
              </w:rPr>
              <w:t xml:space="preserve">• System validates credentials against the User Master.</w:t>
            </w:r>
          </w:p>
          <w:p>
            <w:pPr>
              <w:spacing w:after="60"/>
            </w:pPr>
            <w:r>
              <w:rPr>
                <w:sz w:val="18"/>
                <w:szCs w:val="18"/>
              </w:rPr>
              <w:t xml:space="preserve">• System identifies the user's tenant, role(s) and organisational scope (company/division/plant/warehouse).</w:t>
            </w:r>
          </w:p>
          <w:p>
            <w:pPr>
              <w:spacing w:after="0"/>
            </w:pPr>
            <w:r>
              <w:rPr>
                <w:sz w:val="18"/>
                <w:szCs w:val="18"/>
              </w:rPr>
              <w:t xml:space="preserve">• System creates an authenticated session and redirects to the role-specific Dashboard (Section 13).</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If the account has multiple assigned roles, the system prompts the user to select an active role/context for the session — Proposed / To Be Confirmed whether multi-role-per-user is supported in MVP.</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pPr>
              <w:spacing w:after="60"/>
            </w:pPr>
            <w:r>
              <w:rPr>
                <w:sz w:val="18"/>
                <w:szCs w:val="18"/>
              </w:rPr>
              <w:t xml:space="preserve">• Invalid credentials → generic “invalid username or password” error (does not reveal which field is wrong); failed attempt is logged.</w:t>
            </w:r>
          </w:p>
          <w:p>
            <w:pPr>
              <w:spacing w:after="60"/>
            </w:pPr>
            <w:r>
              <w:rPr>
                <w:sz w:val="18"/>
                <w:szCs w:val="18"/>
              </w:rPr>
              <w:t xml:space="preserve">• Account locked/inactive → specific message directing the user to their Customer/Platform Administrator.</w:t>
            </w:r>
          </w:p>
          <w:p>
            <w:pPr>
              <w:spacing w:after="0"/>
            </w:pPr>
            <w:r>
              <w:rPr>
                <w:sz w:val="18"/>
                <w:szCs w:val="18"/>
              </w:rPr>
              <w:t xml:space="preserve">• Exceeding configured failed-attempt threshold → account temporarily locked — Proposed threshold: 5 attempts / 15 minutes, To Be Confirmed.</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BR-SEC-004 (password policy), BR-SEC-005 (session timeout).</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Username/email format; password non-empty; CAPTCHA after repeated failures — Proposed.</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Username/email, password.</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Authenticated session; redirect to Dashboard.</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users, roles, user_roles, tenants, login_history</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N/A (pre-authorisation)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Every login attempt (success and failure) recorded in login_history with timestamp, IP address, and outcome.</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Valid credentials for an active user result in a session scoped to the correct tenant and role within 2 seconds (Proposed Target — To Be Confirmed); invalid credentials never authenticate.</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Security Requirements (source functional note); Section 19 (Security Architecture) of this SRS.</w:t>
            </w:r>
          </w:p>
        </w:tc>
      </w:tr>
    </w:tbl>
    <w:p>
      <w:pPr>
        <w:spacing w:after="240"/>
      </w:pP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FR-USER-001 — Create User</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Allow an authorised administrator to create a new user within their permitted scope (Platform Administrator: any tenant; Customer Administrator: own tenant only) and assign role(s).</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Platform Administrator, Customer Administrator</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Actor is authenticated and holds Create permission on User Master (Section 4.7).</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submits the “New User” form.</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Actor opens User Master → New User.</w:t>
            </w:r>
          </w:p>
          <w:p>
            <w:pPr>
              <w:spacing w:after="60"/>
            </w:pPr>
            <w:r>
              <w:rPr>
                <w:sz w:val="18"/>
                <w:szCs w:val="18"/>
              </w:rPr>
              <w:t xml:space="preserve">• Actor enters user details (name, email, tenant [fixed for Customer Admin], role(s), org scope).</w:t>
            </w:r>
          </w:p>
          <w:p>
            <w:pPr>
              <w:spacing w:after="60"/>
            </w:pPr>
            <w:r>
              <w:rPr>
                <w:sz w:val="18"/>
                <w:szCs w:val="18"/>
              </w:rPr>
              <w:t xml:space="preserve">• System validates uniqueness of email within tenant and field-level rules.</w:t>
            </w:r>
          </w:p>
          <w:p>
            <w:pPr>
              <w:spacing w:after="60"/>
            </w:pPr>
            <w:r>
              <w:rPr>
                <w:sz w:val="18"/>
                <w:szCs w:val="18"/>
              </w:rPr>
              <w:t xml:space="preserve">• System creates the user record in a Pending/Invited state and sends an activation notification (Section 24).</w:t>
            </w:r>
          </w:p>
          <w:p>
            <w:pPr>
              <w:spacing w:after="0"/>
            </w:pPr>
            <w:r>
              <w:rPr>
                <w:sz w:val="18"/>
                <w:szCs w:val="18"/>
              </w:rPr>
              <w:t xml:space="preserve">• User completes activation (sets password) and the account becomes Active.</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Bulk user creation via CSV import — Proposed / To Be Confirmed for MVP.</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Duplicate email within tenant → validation error; invalid role combination → validation error.</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BR-SEC-001 (separation of duties — Customer Admin cannot self-assign CMA approval permissions), BR-USER-001 (one primary tenant per user in MVP).</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Email format and uniqueness (tenant-scoped); mandatory fields: name, email, role; org scope required for roles other than Platform Administrator.</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Name, email, role(s), organisational scope, status.</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New user record; activation notification.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users, user_roles, tenants, notifications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C on User Master (per RBAC Matrix, Section 4.7)</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Audit log entry: actor, new user ID, roles assigned, timestamp.</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A Customer Administrator can create a user scoped only to their own tenant; a Platform Administrator can create a user in any tenant; role assignment is restricted to roles permitted for the actor.</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Administration / Customer Management (source functional note).</w:t>
            </w:r>
          </w:p>
        </w:tc>
      </w:tr>
    </w:tbl>
    <w:p>
      <w:pPr>
        <w:spacing w:after="240"/>
      </w:pPr>
    </w:p>
    <w:p>
      <w:pPr>
        <w:pStyle w:val="Heading2"/>
        <w:spacing w:after="160" w:before="320"/>
      </w:pPr>
      <w:r>
        <w:rPr>
          <w:b/>
          <w:bCs/>
        </w:rPr>
        <w:t xml:space="preserve">5.2 Upload Centre and Mapping</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FR-UPL-001 — Upload Source File</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Allow a CMA/Cost Accountant to upload a source data file (e.g. trial balance, stock statement, BOM extract, production data) for a given tenant/company/plant/period into the Upload Centre.</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Target period is not locked (Section 12, period status ≠ Locked); actor has Upload permission.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selects a source type and file on the Upload Centre screen.</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Actor selects Company/Division/Plant/Warehouse, Period, Source Type (e.g. Trial Balance, Stock Statement, BOM, Production).</w:t>
            </w:r>
          </w:p>
          <w:p>
            <w:pPr>
              <w:spacing w:after="60"/>
            </w:pPr>
            <w:r>
              <w:rPr>
                <w:sz w:val="18"/>
                <w:szCs w:val="18"/>
              </w:rPr>
              <w:t xml:space="preserve">• Actor selects the file (Excel/CSV) and initiates upload.</w:t>
            </w:r>
          </w:p>
          <w:p>
            <w:pPr>
              <w:spacing w:after="60"/>
            </w:pPr>
            <w:r>
              <w:rPr>
                <w:sz w:val="18"/>
                <w:szCs w:val="18"/>
              </w:rPr>
              <w:t xml:space="preserve">• System stores the original file immutably in File/Source Data Storage and creates an Upload record with status “Uploaded.”</w:t>
            </w:r>
          </w:p>
          <w:p>
            <w:pPr>
              <w:spacing w:after="60"/>
            </w:pPr>
            <w:r>
              <w:rPr>
                <w:sz w:val="18"/>
                <w:szCs w:val="18"/>
              </w:rPr>
              <w:t xml:space="preserve">• System performs file-level checks (file type, size, non-empty, readable structure).</w:t>
            </w:r>
          </w:p>
          <w:p>
            <w:pPr>
              <w:spacing w:after="0"/>
            </w:pPr>
            <w:r>
              <w:rPr>
                <w:sz w:val="18"/>
                <w:szCs w:val="18"/>
              </w:rPr>
              <w:t xml:space="preserve">• System queues the file for Mapping (FR-MAP-001) and sets status to “Pending Mapping.”</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If a Source System / file layout was previously mapped and is recognised by signature (e.g. matching column headers), system pre-applies the existing Mapping Configuration and advances status directly to “Pending Validation.”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pPr>
              <w:spacing w:after="60"/>
            </w:pPr>
            <w:r>
              <w:rPr>
                <w:sz w:val="18"/>
                <w:szCs w:val="18"/>
              </w:rPr>
              <w:t xml:space="preserve">• Unsupported file type → rejected with error, nothing stored as an Upload record beyond a failed-attempt log.</w:t>
            </w:r>
          </w:p>
          <w:p>
            <w:pPr>
              <w:spacing w:after="60"/>
            </w:pPr>
            <w:r>
              <w:rPr>
                <w:sz w:val="18"/>
                <w:szCs w:val="18"/>
              </w:rPr>
              <w:t xml:space="preserve">• File exceeds maximum size (Proposed Target — To Be Confirmed) → rejected with error.</w:t>
            </w:r>
          </w:p>
          <w:p>
            <w:pPr>
              <w:spacing w:after="0"/>
            </w:pPr>
            <w:r>
              <w:rPr>
                <w:sz w:val="18"/>
                <w:szCs w:val="18"/>
              </w:rPr>
              <w:t xml:space="preserve">• Period is locked → upload blocked with message referencing Period Close status.</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BR-UPL-001 (uploaded file is immutable once stored), BR-PER-001 (locked periods cannot be silently modified).</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File type in {xlsx, xls, csv} — Proposed; file not empty; period open; mandatory selection of company/plant/source type.</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File, Company, Division, Plant, Warehouse, Period, Source Type.</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Upload record; stored original file; queued mapping task.</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uploads, upload_files, source_systems, periods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U on Upload Centre</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Audit log + Data Lineage root node created: upload ID, file hash, actor, timestamp — this becomes the origin point for all downstream lineage (Section 30, Part 3).</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A valid file for an open period is stored immutably, an Upload record is created, and the file is queued for mapping; an invalid file is rejected with a specific, actionable error.</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Upload Centre / Raw source data (source functional note).</w:t>
            </w:r>
          </w:p>
        </w:tc>
      </w:tr>
    </w:tbl>
    <w:p>
      <w:pPr>
        <w:spacing w:after="240"/>
      </w:pP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FR-MAP-001 — Configure and Apply Field Mapping</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Map columns/fields of an uploaded source file onto the corresponding fields of the canonical Standard Data Model, either by reusing a saved Mapping Configuration or by defining a new one.</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Upload exists with status “Pending Mapping.”</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opens the upload in Mapping Configuration.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System displays source columns alongside canonical target fields for the selected Source Type.</w:t>
            </w:r>
          </w:p>
          <w:p>
            <w:pPr>
              <w:spacing w:after="60"/>
            </w:pPr>
            <w:r>
              <w:rPr>
                <w:sz w:val="18"/>
                <w:szCs w:val="18"/>
              </w:rPr>
              <w:t xml:space="preserve">• Actor maps each source column to a target field (or marks it Ignored), optionally applying a transformation (e.g. date format, UOM conversion reference).</w:t>
            </w:r>
          </w:p>
          <w:p>
            <w:pPr>
              <w:spacing w:after="60"/>
            </w:pPr>
            <w:r>
              <w:rPr>
                <w:sz w:val="18"/>
                <w:szCs w:val="18"/>
              </w:rPr>
              <w:t xml:space="preserve">• Actor saves the mapping as a reusable Mapping Configuration tied to the Source System.</w:t>
            </w:r>
          </w:p>
          <w:p>
            <w:pPr>
              <w:spacing w:after="0"/>
            </w:pPr>
            <w:r>
              <w:rPr>
                <w:sz w:val="18"/>
                <w:szCs w:val="18"/>
              </w:rPr>
              <w:t xml:space="preserve">• System applies the mapping to transform raw rows into Standard Data Model records and sets Upload status to “Pending Validation.”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AI-Assisted Mapping (FR-MAP-002) pre-fills suggested mappings for actor confirmation before save.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pPr>
              <w:spacing w:after="60"/>
            </w:pPr>
            <w:r>
              <w:rPr>
                <w:sz w:val="18"/>
                <w:szCs w:val="18"/>
              </w:rPr>
              <w:t xml:space="preserve">• A mandatory target field has no source mapping → mapping cannot be saved as “Complete”; Upload remains “Pending Mapping” with a flagged gap.</w:t>
            </w:r>
          </w:p>
          <w:p>
            <w:pPr>
              <w:spacing w:after="0"/>
            </w:pPr>
            <w:r>
              <w:rPr>
                <w:sz w:val="18"/>
                <w:szCs w:val="18"/>
              </w:rPr>
              <w:t xml:space="preserve">• Transformation failure on a subset of rows (e.g. unparseable date) → those rows are flagged for the Validation stage rather than silently dropped.</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BR-MAP-001 (a mandatory canonical field must be mapped or explicitly marked Not Applicable with reason), BR-MAP-002 (mapping changes to an already-processed upload require re-validation).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All mandatory canonical fields mapped or justified; no duplicate target mapping from two source columns without an aggregation rule.</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Source columns, target canonical fields, transformation rules.</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Mapping Configuration record; Standard Data Model records (pre-validation).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mapping_configurations, mapping_dictionary, standard_data_records (or per-domain staging tables), uploads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C, E, Run on Mapping Configuration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Audit log: mapping saved/changed, actor, fields changed, timestamp; lineage link from each Standard Data Model record back to its source row.</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A saved mapping transforms 100% of source rows into Standard Data Model records or explicitly flags rows that cannot be transformed, with no silent data loss.</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Mapping / Raw source data → Standard Data Model (source functional note pipeline).</w:t>
            </w:r>
          </w:p>
        </w:tc>
      </w:tr>
    </w:tbl>
    <w:p>
      <w:pPr>
        <w:spacing w:after="240"/>
      </w:pP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FR-MAP-002 — AI-Assisted Mapping Suggestion</w:t>
            </w:r>
            <w:r>
              <w:rPr>
                <w:i/>
                <w:iCs/>
                <w:color w:val="D9E2F3"/>
                <w:sz w:val="18"/>
                <w:szCs w:val="18"/>
              </w:rPr>
              <w:t xml:space="preserve">   (Priority: Should-Have)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Use the AI Integration Layer to suggest column-to-field mappings based on column names, sample values and prior mappings for similar source layouts, to accelerate FR-MAP-001.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 (consumer); AI Layer (producer of suggestions)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Upload exists with status “Pending Mapping”; AI service is available.</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opens Mapping Configuration for an upload with no exact-match saved mapping.</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System sends anonymised/sampled column headers and sample values to the AI Integration Layer.</w:t>
            </w:r>
          </w:p>
          <w:p>
            <w:pPr>
              <w:spacing w:after="60"/>
            </w:pPr>
            <w:r>
              <w:rPr>
                <w:sz w:val="18"/>
                <w:szCs w:val="18"/>
              </w:rPr>
              <w:t xml:space="preserve">• AI Layer returns suggested target-field mappings with a confidence score per suggestion.</w:t>
            </w:r>
          </w:p>
          <w:p>
            <w:pPr>
              <w:spacing w:after="60"/>
            </w:pPr>
            <w:r>
              <w:rPr>
                <w:sz w:val="18"/>
                <w:szCs w:val="18"/>
              </w:rPr>
              <w:t xml:space="preserve">• System pre-fills the mapping screen with suggestions, clearly marked as AI-suggested and unconfirmed.</w:t>
            </w:r>
          </w:p>
          <w:p>
            <w:pPr>
              <w:spacing w:after="0"/>
            </w:pPr>
            <w:r>
              <w:rPr>
                <w:sz w:val="18"/>
                <w:szCs w:val="18"/>
              </w:rPr>
              <w:t xml:space="preserve">• Actor reviews, edits and confirms each suggestion before save (per FR-MAP-001).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Low-confidence suggestions (below a Proposed threshold, To Be Confirmed) are shown but not pre-selected, requiring explicit actor action.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AI service unavailable → mapping screen falls back to fully manual mapping (FR-MAP-001) with no suggestions; failure is logged, not surfaced as a blocking error to the actor.</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BR-AI-001 (AI suggestions are never auto-applied without human confirmation — see Section 43 principle), BR-AI-002 (every AI suggestion accepted or rejected is logged for AI governance/accuracy tracking).</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AI suggestions are subject to the same mandatory-field and validation rules as manual mappings once confirmed.</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Source column headers, sample values (limited rows).</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Suggested mappings with confidence scores.</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ai_mapping_results, mapping_configurations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V, A, R on AI Insights (actor accepts/rejects); Cfg on AI provider settings (Platform Admin)</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Each suggestion logged with confidence score, and whether accepted/rejected/edited by the actor — feeds AI Governance reporting (Section 23, Part 3).</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Suggested mappings never overwrite a confirmed mapping without explicit actor action; every suggestion is traceable to whether it was accepted as-is, edited, or rejected.</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AI-assisted mapping (source functional note); AI Layer / AI Governance sections.</w:t>
            </w:r>
          </w:p>
        </w:tc>
      </w:tr>
    </w:tbl>
    <w:p>
      <w:pPr>
        <w:spacing w:after="240"/>
      </w:pPr>
    </w:p>
    <w:p>
      <w:pPr>
        <w:pStyle w:val="Heading2"/>
        <w:spacing w:after="160" w:before="320"/>
      </w:pPr>
      <w:r>
        <w:rPr>
          <w:b/>
          <w:bCs/>
        </w:rPr>
        <w:t xml:space="preserve">5.3 Data Validation and Quality</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FR-VAL-001 — Run Data Validation</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Validate Standard Data Model records produced by mapping against structural, referential and business validation rules, classifying results as Error, Warning or Information (Section 17, Part 3).</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 (triggers); System (executes)</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Upload status is “Pending Validation.”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clicks “Validate” on the Validation Centre, or validation runs automatically after mapping completes — Proposed.</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System runs structural checks (data types, mandatory fields, formats).</w:t>
            </w:r>
          </w:p>
          <w:p>
            <w:pPr>
              <w:spacing w:after="60"/>
            </w:pPr>
            <w:r>
              <w:rPr>
                <w:sz w:val="18"/>
                <w:szCs w:val="18"/>
              </w:rPr>
              <w:t xml:space="preserve">• System runs referential checks (item exists in Item Master, cost centre exists, UOM valid, etc.).</w:t>
            </w:r>
          </w:p>
          <w:p>
            <w:pPr>
              <w:spacing w:after="60"/>
            </w:pPr>
            <w:r>
              <w:rPr>
                <w:sz w:val="18"/>
                <w:szCs w:val="18"/>
              </w:rPr>
              <w:t xml:space="preserve">• System runs business validation rules relevant to the source type (e.g. TB debits = credits; inventory closing formula — BR-INV-001).</w:t>
            </w:r>
          </w:p>
          <w:p>
            <w:pPr>
              <w:spacing w:after="0"/>
            </w:pPr>
            <w:r>
              <w:rPr>
                <w:sz w:val="18"/>
                <w:szCs w:val="18"/>
              </w:rPr>
              <w:t xml:space="preserve">• System records each finding with severity (Error/Warning/Information), classifies the Upload's overall status, and computes a Data Quality Score (FR-VAL-002).</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Actor can re-run validation after correcting mapping or source data (re-upload).</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Any Error-severity finding blocks the records from progressing to the costing engines until resolved or explicitly overridden by an authorised CMA with a logged reason — Proposed override control, To Be Confirmed.</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BR-INV-001, BR-UOM-001, plus source-type-specific rules catalogued in Section 19 (Validation Rules), Part 3.</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See Section 19 (Part 3) for the full validation matrix.</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Standard Data Model records for the upload.</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Validation results (per record/field), Data Quality Score, updated Upload status.</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validation_results, uploads, data_quality_scores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Val, Run on Validation Centre</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Every validation run logged with rule set version, findings summary, actor/trigger, timestamp.</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No record with an unresolved Error-severity finding is passed to a costing engine; all findings are visible with row-level drill-down to the original source row (via lineage).</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Data validation / Data quality score (source functional note).</w:t>
            </w:r>
          </w:p>
        </w:tc>
      </w:tr>
    </w:tbl>
    <w:p>
      <w:pPr>
        <w:spacing w:after="240"/>
      </w:pPr>
    </w:p>
    <w:p>
      <w:pPr>
        <w:pStyle w:val="Heading2"/>
        <w:spacing w:after="160" w:before="320"/>
      </w:pPr>
      <w:r>
        <w:rPr>
          <w:b/>
          <w:bCs/>
        </w:rPr>
        <w:t xml:space="preserve">5.4 Inventory Valuation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FR-INV-001 — Compute Inventory Valuation</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Compute period-end inventory valuation for each item/warehouse using the valuation method configured for that item/plant: FIFO, Periodic Weighted Average, Moving Weighted Average, or Specific Cost.</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 (triggers); Inventory Valuation Engine (executes)</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Opening balance, receipts, issues and adjustments for the period are validated (FR-VAL-001 passed) for the item/warehouse/period.</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runs Inventory Valuation for a period/plant, or it runs as part of the Costing Workbench orchestration.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Engine loads opening balance, receipt transactions (with cost), issue transactions (quantity), and adjustments for each item/warehouse in the period.</w:t>
            </w:r>
          </w:p>
          <w:p>
            <w:pPr>
              <w:spacing w:after="60"/>
            </w:pPr>
            <w:r>
              <w:rPr>
                <w:sz w:val="18"/>
                <w:szCs w:val="18"/>
              </w:rPr>
              <w:t xml:space="preserve">• Engine applies the configured valuation method (see method-specific rules below) to compute issue costs and closing balance/value.</w:t>
            </w:r>
          </w:p>
          <w:p>
            <w:pPr>
              <w:spacing w:after="60"/>
            </w:pPr>
            <w:r>
              <w:rPr>
                <w:sz w:val="18"/>
                <w:szCs w:val="18"/>
              </w:rPr>
              <w:t xml:space="preserve">• Engine validates BR-INV-001 (Opening + Receipts − Issues ± Adjustments = Closing) as an internal consistency check.</w:t>
            </w:r>
          </w:p>
          <w:p>
            <w:pPr>
              <w:spacing w:after="0"/>
            </w:pPr>
            <w:r>
              <w:rPr>
                <w:sz w:val="18"/>
                <w:szCs w:val="18"/>
              </w:rPr>
              <w:t xml:space="preserve">• Engine writes valuation results (per item/warehouse) with full layer/lot detail where applicable (FIFO/Specific Cost) for lineage.</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pPr>
              <w:spacing w:after="60"/>
            </w:pPr>
            <w:r>
              <w:rPr>
                <w:sz w:val="18"/>
                <w:szCs w:val="18"/>
              </w:rPr>
              <w:t xml:space="preserve">• FIFO: consumes cost layers in receipt order; retains remaining open layers for next period.</w:t>
            </w:r>
          </w:p>
          <w:p>
            <w:pPr>
              <w:spacing w:after="60"/>
            </w:pPr>
            <w:r>
              <w:rPr>
                <w:sz w:val="18"/>
                <w:szCs w:val="18"/>
              </w:rPr>
              <w:t xml:space="preserve">• Periodic Weighted Average: (Opening Value + Receipts Value) / (Opening Qty + Receipts Qty) applied to all issues in the period.</w:t>
            </w:r>
          </w:p>
          <w:p>
            <w:pPr>
              <w:spacing w:after="60"/>
            </w:pPr>
            <w:r>
              <w:rPr>
                <w:sz w:val="18"/>
                <w:szCs w:val="18"/>
              </w:rPr>
              <w:t xml:space="preserve">• Moving Weighted Average: recomputes the average cost after every receipt transaction, applied to subsequent issues until the next receipt.</w:t>
            </w:r>
          </w:p>
          <w:p>
            <w:pPr>
              <w:spacing w:after="0"/>
            </w:pPr>
            <w:r>
              <w:rPr>
                <w:sz w:val="18"/>
                <w:szCs w:val="18"/>
              </w:rPr>
              <w:t xml:space="preserve">• Specific Cost: each issue is costed at the specific lot/serial cost identified on the transaction — requires lot-level receipt tracking.</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pPr>
              <w:spacing w:after="60"/>
            </w:pPr>
            <w:r>
              <w:rPr>
                <w:sz w:val="18"/>
                <w:szCs w:val="18"/>
              </w:rPr>
              <w:t xml:space="preserve">• Negative inventory (issues exceed available quantity) → flagged as an Exception per BR-INV-002 — Proposed handling: block valuation for that item pending correction, To Be Confirmed vs. allow with warning.</w:t>
            </w:r>
          </w:p>
          <w:p>
            <w:pPr>
              <w:spacing w:after="0"/>
            </w:pPr>
            <w:r>
              <w:rPr>
                <w:sz w:val="18"/>
                <w:szCs w:val="18"/>
              </w:rPr>
              <w:t xml:space="preserve">• Missing cost on a receipt → Error-severity validation finding (should have been caught at FR-VAL-001; engine re-checks defensively).</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BR-INV-001, BR-INV-002 (negative inventory handling), BR-UOM-001.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Item/warehouse valuation method is configured; all transactions for the period are validated; UOM consistent or convertible.</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Opening balances, inventory transactions (receipts/issues/adjustments), item valuation method configuration.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Inventory valuation results per item/warehouse/period; cost layers (FIFO/Specific Cost); feeds Product Costing (FR-COST-001).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inventory_transactions, inventory_valuation_results, inventory_cost_layers, items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Run, A on Inventory Valuation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Full lineage from valuation result back to each contributing transaction and its source upload row (Section 30, Part 3).</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For a given method, the computed closing value satisfies BR-INV-001 exactly (to configured decimal precision) and reproduces identically on re-run against unchanged inputs (reproducibility principle, Section 43).</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Inventory / Inventory valuation / FIFO / Periodic Weighted Average / Moving Weighted Average / Specific Cost (source functional note).</w:t>
            </w:r>
          </w:p>
        </w:tc>
      </w:tr>
    </w:tbl>
    <w:p>
      <w:pPr>
        <w:spacing w:after="240"/>
      </w:pPr>
    </w:p>
    <w:p>
      <w:pPr>
        <w:pStyle w:val="Heading2"/>
        <w:spacing w:after="160" w:before="320"/>
      </w:pPr>
      <w:r>
        <w:rPr>
          <w:b/>
          <w:bCs/>
        </w:rPr>
        <w:t xml:space="preserve">5.5 BOM, Explosion and Cost Roll-up</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FR-BOM-001 — BOM Explosion and Cost Roll-up</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Explode a multi-level Bill of Materials for a finished/semi-finished product into its full component tree and roll up cost from the lowest-level component upward to compute the total standard/actual cost of the parent item.</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 (triggers); BOM Engine (executes)</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BOM Master exists and is active for the item/period; component items have a valid cost source (standard cost, or valuation result from FR-INV-001).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runs BOM Explosion / Cost Roll-up, or it runs as part of Product Costing (FR-COST-001).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Engine loads the BOM header and all component lines recursively (multi-level).</w:t>
            </w:r>
          </w:p>
          <w:p>
            <w:pPr>
              <w:spacing w:after="60"/>
            </w:pPr>
            <w:r>
              <w:rPr>
                <w:sz w:val="18"/>
                <w:szCs w:val="18"/>
              </w:rPr>
              <w:t xml:space="preserve">• Engine detects and rejects circular BOM structures before proceeding (BR-BOM-001).</w:t>
            </w:r>
          </w:p>
          <w:p>
            <w:pPr>
              <w:spacing w:after="60"/>
            </w:pPr>
            <w:r>
              <w:rPr>
                <w:sz w:val="18"/>
                <w:szCs w:val="18"/>
              </w:rPr>
              <w:t xml:space="preserve">• Engine explodes the tree to the lowest-level (purchased/raw) components, applying UOM conversion and quantity-per rules at each level.</w:t>
            </w:r>
          </w:p>
          <w:p>
            <w:pPr>
              <w:spacing w:after="60"/>
            </w:pPr>
            <w:r>
              <w:rPr>
                <w:sz w:val="18"/>
                <w:szCs w:val="18"/>
              </w:rPr>
              <w:t xml:space="preserve">• Engine rolls up cost bottom-up: each level's cost = sum of (component cost × quantity-per, adjusted for scrap/yield where configured) plus that level's own conversion cost (labour/machine/overhead where applicable).</w:t>
            </w:r>
          </w:p>
          <w:p>
            <w:pPr>
              <w:spacing w:after="0"/>
            </w:pPr>
            <w:r>
              <w:rPr>
                <w:sz w:val="18"/>
                <w:szCs w:val="18"/>
              </w:rPr>
              <w:t xml:space="preserve">• Engine writes the exploded tree and rolled-up cost to BOM Cost Roll-up results, feeding Product Costing (FR-COST-001).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Phantom BOM levels (pass-through, no separate costing) are exploded through without adding a costing layer — Proposed / To Be Confirmed if phantom BOM is in MVP scope.</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pPr>
              <w:spacing w:after="60"/>
            </w:pPr>
            <w:r>
              <w:rPr>
                <w:sz w:val="18"/>
                <w:szCs w:val="18"/>
              </w:rPr>
              <w:t xml:space="preserve">• Circular reference detected → explosion blocked with error identifying the cycle (BR-BOM-001).</w:t>
            </w:r>
          </w:p>
          <w:p>
            <w:pPr>
              <w:spacing w:after="0"/>
            </w:pPr>
            <w:r>
              <w:rPr>
                <w:sz w:val="18"/>
                <w:szCs w:val="18"/>
              </w:rPr>
              <w:t xml:space="preserve">• Missing cost for a leaf component → roll-up blocked for the affected branch; exception raised to Cost Investigation (FR-COST-004 area).</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BR-BOM-001 (circular BOM must be detected), BR-BOM-002 (BOM version must be effective-dated and only one active version per item/period — Proposed), BR-UOM-001.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BOM component quantities &gt; 0; UOM convertible to parent UOM; no self-reference at any level.</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BOM Master (header + components, multi-level), item cost sources.</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Exploded BOM tree; rolled-up standard/actual cost per item.</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bom_header, bom_components, standard_costs, items, cost_components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C, E, Run, A on BOM / Cost Roll-up</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Lineage from rolled-up cost down through every BOM level to each component's cost source.</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A circular BOM is always rejected before roll-up; roll-up cost equals the sum of correctly UOM-converted, quantity-weighted component costs plus this level's conversion cost, reproducibly.</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BOM / BOM explosion / BOM cost roll-up (source functional note).</w:t>
            </w:r>
          </w:p>
        </w:tc>
      </w:tr>
    </w:tbl>
    <w:p>
      <w:pPr>
        <w:spacing w:after="240"/>
      </w:pPr>
    </w:p>
    <w:p>
      <w:pPr>
        <w:pStyle w:val="Heading2"/>
        <w:spacing w:after="160" w:before="320"/>
      </w:pPr>
      <w:r>
        <w:rPr>
          <w:b/>
          <w:bCs/>
        </w:rPr>
        <w:t xml:space="preserve">5.6 Product Costing, Overhead Allocation and Variance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FR-COST-001 — Compute Product Cost</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Compute the total standard and/or actual cost of a finished product for a period by combining material cost (from BOM roll-up), labour cost, machine/process cost, allocated overheads, and other direct costs.</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 (triggers); Cost Engine (executes)</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BOM cost roll-up (FR-BOM-001) and Inventory Valuation (FR-INV-001) are complete for the period; Overhead Allocation (FR-COST-002) rates are configured.</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runs Product Costing for a period/plant/product (or product set), typically from the Costing Workbench.</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Engine retrieves material cost from BOM Cost Roll-up.</w:t>
            </w:r>
          </w:p>
          <w:p>
            <w:pPr>
              <w:spacing w:after="60"/>
            </w:pPr>
            <w:r>
              <w:rPr>
                <w:sz w:val="18"/>
                <w:szCs w:val="18"/>
              </w:rPr>
              <w:t xml:space="preserve">• Engine retrieves/computes labour cost using Labour Rate Master and recorded labour hours/quantities.</w:t>
            </w:r>
          </w:p>
          <w:p>
            <w:pPr>
              <w:spacing w:after="60"/>
            </w:pPr>
            <w:r>
              <w:rPr>
                <w:sz w:val="18"/>
                <w:szCs w:val="18"/>
              </w:rPr>
              <w:t xml:space="preserve">• Engine retrieves/computes machine/process cost using Machine Rate Master and recorded machine hours/quantities.</w:t>
            </w:r>
          </w:p>
          <w:p>
            <w:pPr>
              <w:spacing w:after="60"/>
            </w:pPr>
            <w:r>
              <w:rPr>
                <w:sz w:val="18"/>
                <w:szCs w:val="18"/>
              </w:rPr>
              <w:t xml:space="preserve">• Engine retrieves allocated overheads from the Overhead Allocation run (FR-COST-002).</w:t>
            </w:r>
          </w:p>
          <w:p>
            <w:pPr>
              <w:spacing w:after="60"/>
            </w:pPr>
            <w:r>
              <w:rPr>
                <w:sz w:val="18"/>
                <w:szCs w:val="18"/>
              </w:rPr>
              <w:t xml:space="preserve">• Engine computes Product Cost = Material + Labour + Process/Machine + Production Overheads + Other Direct Cost + Allocated Overheads (BR-COST-001).</w:t>
            </w:r>
          </w:p>
          <w:p>
            <w:pPr>
              <w:spacing w:after="0"/>
            </w:pPr>
            <w:r>
              <w:rPr>
                <w:sz w:val="18"/>
                <w:szCs w:val="18"/>
              </w:rPr>
              <w:t xml:space="preserve">• Engine writes the Product Costing result, tagged with a Costing Version (Section 12/21) for audit and comparison.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Costing can be run in Standard mode (uses Standard Cost Master rates) or Actual mode (uses period-actual rates/quantities) — both feed Standard vs Actual comparison (FR-COST-003).</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Any missing cost component (e.g. overhead not yet allocated) blocks finalisation of the Product Costing result for that product, surfaced as an exception.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BR-COST-001 (product cost formula), BR-PER-001 (locked periods).</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All contributing components (material, labour, machine, overhead) must be present and validated before the result can be Finalised (vs. left as Draft/Provisional).</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BOM roll-up cost, labour data, machine data, overhead allocation results, cost component classification.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Product Costing result per product/plant/period/version; feeds dashboards, reports, variance analysis.</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costing_runs, costing_results, cost_components, labour_rates, machine_rates, overhead_allocations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Run, A, F on Product Costing</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Costing run logged with inputs snapshot (or references to versioned inputs) sufficient to reproduce the result exactly — reproducibility principle (Section 43).</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Given identical, unchanged inputs, re-running Product Costing produces an identical result; the result's cost breakdown reconciles component-by-component to BR-COST-001.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Product Costing / Standard Cost (source functional note).</w:t>
            </w:r>
          </w:p>
        </w:tc>
      </w:tr>
    </w:tbl>
    <w:p>
      <w:pPr>
        <w:spacing w:after="240"/>
      </w:pP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FR-COST-002 — Overhead Allocation</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Allocate indirect/overhead costs (e.g. factory overhead, cost-centre expenses) to products or cost objects using a configured allocation basis (e.g. machine hours, labour hours, material value).</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 (triggers/configures); Allocation Engine (executes)</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Allocation Rule Master is configured for the cost pool and period; the allocation base (e.g. total machine hours) is available from validated data.</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runs Overhead Allocation for a period/plant, typically before Product Costing (FR-COST-001).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Engine identifies overhead cost pools for the period from the Trial Balance / GL Classification.</w:t>
            </w:r>
          </w:p>
          <w:p>
            <w:pPr>
              <w:spacing w:after="60"/>
            </w:pPr>
            <w:r>
              <w:rPr>
                <w:sz w:val="18"/>
                <w:szCs w:val="18"/>
              </w:rPr>
              <w:t xml:space="preserve">• Engine reads the configured Allocation Rule (basis and driver) per cost pool.</w:t>
            </w:r>
          </w:p>
          <w:p>
            <w:pPr>
              <w:spacing w:after="60"/>
            </w:pPr>
            <w:r>
              <w:rPr>
                <w:sz w:val="18"/>
                <w:szCs w:val="18"/>
              </w:rPr>
              <w:t xml:space="preserve">• Engine computes the allocation rate = cost pool amount / total driver quantity.</w:t>
            </w:r>
          </w:p>
          <w:p>
            <w:pPr>
              <w:spacing w:after="60"/>
            </w:pPr>
            <w:r>
              <w:rPr>
                <w:sz w:val="18"/>
                <w:szCs w:val="18"/>
              </w:rPr>
              <w:t xml:space="preserve">• Engine allocates cost to each product/cost object = allocation rate × that object's driver quantity.</w:t>
            </w:r>
          </w:p>
          <w:p>
            <w:pPr>
              <w:spacing w:after="0"/>
            </w:pPr>
            <w:r>
              <w:rPr>
                <w:sz w:val="18"/>
                <w:szCs w:val="18"/>
              </w:rPr>
              <w:t xml:space="preserve">• Engine writes Overhead Allocation results, which feed Product Costing (FR-COST-001).</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Multiple allocation bases can be configured for different cost pools within the same period (e.g. machine-hour basis for factory overhead, labour-hour basis for supervision cost).</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Total driver quantity is zero for a cost pool → allocation cannot be computed; raised as an exception requiring CMA resolution (e.g. reconfigure basis).</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BR-COST-001 (feeds product cost), BR-ALLOC-001 (sum of allocated amounts must equal the cost pool amount, within rounding tolerance) — Proposed rule, To Be Confirmed tolerance.</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Allocation Rule Master fully configured for every overhead cost pool before the run is allowed to Finalise.</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Overhead cost pools (from TB/GL), Allocation Rule Master, driver quantities.</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Overhead Allocation results per cost object/period.</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allocation_rules, overhead_allocations, cost_centres, gl_classification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C, E, Run, A on Overhead Allocation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Allocation run logged with rule version, cost pool amounts, driver quantities and computed rates for full traceability.</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Sum of amounts allocated from a cost pool equals the cost pool's total amount (BR-ALLOC-001); every allocated product cost line is traceable to its driving rule and driver quantity.</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Overhead Allocation (source functional note).</w:t>
            </w:r>
          </w:p>
        </w:tc>
      </w:tr>
    </w:tbl>
    <w:p>
      <w:pPr>
        <w:spacing w:after="240"/>
      </w:pP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FR-COST-003 — Standard vs Actual and Variance Analysis</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Compare Standard-mode and Actual-mode Product Costing results for the same product/period and decompose the difference into named variance categories (material price/usage, labour rate/efficiency, overhead volume/spending, yield) with drill-down to root cause.</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Both Standard and Actual Product Costing results exist for the product/period (FR-COST-001 run in both modes).</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opens Standard vs Actual / Variance Analysis for a product/period.</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System retrieves Standard and Actual costing results for the selected product/period.</w:t>
            </w:r>
          </w:p>
          <w:p>
            <w:pPr>
              <w:spacing w:after="60"/>
            </w:pPr>
            <w:r>
              <w:rPr>
                <w:sz w:val="18"/>
                <w:szCs w:val="18"/>
              </w:rPr>
              <w:t xml:space="preserve">• System computes total variance = Actual Cost − Standard Cost.</w:t>
            </w:r>
          </w:p>
          <w:p>
            <w:pPr>
              <w:spacing w:after="60"/>
            </w:pPr>
            <w:r>
              <w:rPr>
                <w:sz w:val="18"/>
                <w:szCs w:val="18"/>
              </w:rPr>
              <w:t xml:space="preserve">• System decomposes total variance into material (price and usage), labour (rate and efficiency), and overhead (volume and spending) sub-variances using standard cost-accounting formulas.</w:t>
            </w:r>
          </w:p>
          <w:p>
            <w:pPr>
              <w:spacing w:after="0"/>
            </w:pPr>
            <w:r>
              <w:rPr>
                <w:sz w:val="18"/>
                <w:szCs w:val="18"/>
              </w:rPr>
              <w:t xml:space="preserve">• System presents the Cost Bridge (waterfall from Standard to Actual) and allows drill-down from any variance figure to the contributing transactions.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Yield variance is separated out where BOM yield/scrap configuration exists — see Yield Analysis (module spec, Section 8).</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Missing Actual data for a component (e.g. no actual labour hours recorded) → that sub-variance is flagged “Incomplete” rather than computed as zero, to avoid misleading figures.</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BR-VAR-001 (variance formulas per category) — Proposed formula set, To Be Confirmed against source note's exact variance taxonomy.</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Both Standard and Actual results must belong to the same Costing Version family / comparable basis before comparison is allowed.</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Standard and Actual Product Costing results.</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Variance Analysis result; Cost Bridge; drill-down links into Cost Investigation.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costing_results, variances, cost_bridge_segments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V, Run, A on Standard vs Actual / Variance Analysis</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Every variance figure traceable to the two costing runs it was derived from.</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Sum of decomposed sub-variances equals the total variance (Actual − Standard) to configured rounding tolerance; every variance is drillable to source transactions.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Standard vs Actual / Variance Analysis / Cost Bridge / Cost Change Investigation (source functional note).</w:t>
            </w:r>
          </w:p>
        </w:tc>
      </w:tr>
    </w:tbl>
    <w:p>
      <w:pPr>
        <w:spacing w:after="240"/>
      </w:pPr>
    </w:p>
    <w:p>
      <w:pPr>
        <w:pStyle w:val="Heading2"/>
        <w:spacing w:after="160" w:before="320"/>
      </w:pPr>
      <w:r>
        <w:rPr>
          <w:b/>
          <w:bCs/>
        </w:rPr>
        <w:t xml:space="preserve">5.7 Reconciliation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FR-REC-001 — Trial Balance and Inventory Reconciliation</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Reconcile costing-relevant balances (e.g. inventory value, COGS, overhead absorbed) computed by Cost360 against the customer's Trial Balance and inventory records for the same period, to confirm costing results are consistent with the books before they are finalised.</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 (executes); Auditor (reviews)</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Trial Balance is uploaded and validated; Inventory Valuation (FR-INV-001) and Product Costing (FR-COST-001) are complete for the period.</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runs Reconciliation for a period/plant, typically before Period Close (FR-AUD-002).</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Engine compares Cost360's computed closing inventory value to the Trial Balance's inventory GL balance for the same period/plant.</w:t>
            </w:r>
          </w:p>
          <w:p>
            <w:pPr>
              <w:spacing w:after="60"/>
            </w:pPr>
            <w:r>
              <w:rPr>
                <w:sz w:val="18"/>
                <w:szCs w:val="18"/>
              </w:rPr>
              <w:t xml:space="preserve">• Engine compares computed COGS/production cost to the corresponding GL accounts.</w:t>
            </w:r>
          </w:p>
          <w:p>
            <w:pPr>
              <w:spacing w:after="60"/>
            </w:pPr>
            <w:r>
              <w:rPr>
                <w:sz w:val="18"/>
                <w:szCs w:val="18"/>
              </w:rPr>
              <w:t xml:space="preserve">• Engine flags any variance beyond a configured tolerance as a Reconciliation Exception.</w:t>
            </w:r>
          </w:p>
          <w:p>
            <w:pPr>
              <w:spacing w:after="0"/>
            </w:pPr>
            <w:r>
              <w:rPr>
                <w:sz w:val="18"/>
                <w:szCs w:val="18"/>
              </w:rPr>
              <w:t xml:space="preserve">• CMA investigates and resolves exceptions (correct mapping/data, or document an accepted reason) before the period can be locked.</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Production and Consumption Reconciliation follow the same pattern against production/consumption source records rather than the GL.</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Variance beyond tolerance with no resolution → period cannot be locked (BR-PER-001 dependency); appears on CMA Dashboard and Audit Desk as an open exception.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BR-REC-001 (reconciliation tolerance) — Proposed tolerance value, To Be Confirmed; BR-PER-001 (locked periods).</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Both sides of the reconciliation (Cost360-computed and source GL/records) must be for the identical period and scope.</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Trial Balance, computed inventory/costing results.</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Reconciliation result and exception list per period/plant.</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reconciliations, reconciliation_exceptions, trial_balance, inventory_valuation_results, costing_results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Run, A on Reconciliation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Every reconciliation run and every exception resolution (including accepted-reason overrides) is logged with actor and justification.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A period cannot be locked (FR-AUD-002) while unresolved reconciliation exceptions beyond tolerance remain open.</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Reconciliation / TB Reconciliation / Inventory Reconciliation / Production Reconciliation / Consumption Reconciliation (source functional note).</w:t>
            </w:r>
          </w:p>
        </w:tc>
      </w:tr>
    </w:tbl>
    <w:p>
      <w:pPr>
        <w:spacing w:after="240"/>
      </w:pPr>
    </w:p>
    <w:p>
      <w:pPr>
        <w:pStyle w:val="Heading2"/>
        <w:spacing w:after="160" w:before="320"/>
      </w:pPr>
      <w:r>
        <w:rPr>
          <w:b/>
          <w:bCs/>
        </w:rPr>
        <w:t xml:space="preserve">5.8 Audit Desk and Period Close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FR-AUD-001 — Audit Desk Exception Review and Sign-off</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Provide a consolidated Audit Desk where all open exceptions (validation errors overridden, reconciliation exceptions, costing exceptions, AI-flagged observations) across a period/plant are reviewed, annotated, and approved or rejected by an Auditor/Reviewer or authorised CMA.</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Auditor / Reviewer, CMA / Cost Accountant</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One or more exceptions exist for the period/plant.</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opens the Audit Desk for a period/plant.</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System lists all open exceptions with source module, severity, description and current status.</w:t>
            </w:r>
          </w:p>
          <w:p>
            <w:pPr>
              <w:spacing w:after="60"/>
            </w:pPr>
            <w:r>
              <w:rPr>
                <w:sz w:val="18"/>
                <w:szCs w:val="18"/>
              </w:rPr>
              <w:t xml:space="preserve">• Actor opens an exception, reviews evidence (via Data Lineage drill-down), and adds an annotation/resolution note.</w:t>
            </w:r>
          </w:p>
          <w:p>
            <w:pPr>
              <w:spacing w:after="60"/>
            </w:pPr>
            <w:r>
              <w:rPr>
                <w:sz w:val="18"/>
                <w:szCs w:val="18"/>
              </w:rPr>
              <w:t xml:space="preserve">• Actor approves (accepts the exception with justification) or rejects (sends back for correction) the exception.</w:t>
            </w:r>
          </w:p>
          <w:p>
            <w:pPr>
              <w:spacing w:after="0"/>
            </w:pPr>
            <w:r>
              <w:rPr>
                <w:sz w:val="18"/>
                <w:szCs w:val="18"/>
              </w:rPr>
              <w:t xml:space="preserve">• System updates exception status and records the decision in the Audit Trail.</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Exceptions can be bulk-triaged by severity/module — Proposed / To Be Confirmed for MVP.</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An exception left unresolved blocks Period Close (FR-AUD-002) for the affected scope.</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BR-AUD-001 (every exception must have a logged resolution before period lock), BR-SEC-001 (separation of duties between the actor who caused an exception and the actor who approves it, where practical) — Proposed, To Be Confirmed.</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A resolution note is mandatory when approving/rejecting an exception.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Exception list, actor annotations and decisions.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Updated exception status; Audit Trail entries.</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exceptions, audit_trail, data_lineage</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V, E, A, R, Aud on Audit Desk</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Every review action (open, annotate, approve, reject) logged with old/new status, actor, timestamp, and justification text.</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No period can be locked while it has exceptions without a logged resolution; every resolution is attributable to a specific authorised actor.</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Audit Desk / Exception Management (source functional note).</w:t>
            </w:r>
          </w:p>
        </w:tc>
      </w:tr>
    </w:tbl>
    <w:p>
      <w:pPr>
        <w:spacing w:after="240"/>
      </w:pP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FR-AUD-002 — Period Close, Lock and Controlled Reopen</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Lock a costing period once all upstream steps (validation, costing, reconciliation, audit sign-off) are complete, preventing further silent changes; allow a controlled, audited reopen when genuinely required.</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 (lock/reopen request); Auditor / Reviewer (sign-off, where configured)</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For Lock: no open validation Errors, no open reconciliation exceptions beyond tolerance, no open Audit Desk exceptions for the period/plant.</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initiates Period Close from the Period Close screen.</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System checks all lock preconditions (validation, reconciliation, audit) and displays a readiness checklist.</w:t>
            </w:r>
          </w:p>
          <w:p>
            <w:pPr>
              <w:spacing w:after="60"/>
            </w:pPr>
            <w:r>
              <w:rPr>
                <w:sz w:val="18"/>
                <w:szCs w:val="18"/>
              </w:rPr>
              <w:t xml:space="preserve">• If all preconditions pass, actor confirms Lock.</w:t>
            </w:r>
          </w:p>
          <w:p>
            <w:pPr>
              <w:spacing w:after="60"/>
            </w:pPr>
            <w:r>
              <w:rPr>
                <w:sz w:val="18"/>
                <w:szCs w:val="18"/>
              </w:rPr>
              <w:t xml:space="preserve">• System marks the period Locked, creates a new immutable Costing Version snapshot (Section 12/21), and disables further data entry/mapping/costing runs for that period/scope.</w:t>
            </w:r>
          </w:p>
          <w:p>
            <w:pPr>
              <w:spacing w:after="0"/>
            </w:pPr>
            <w:r>
              <w:rPr>
                <w:sz w:val="18"/>
                <w:szCs w:val="18"/>
              </w:rPr>
              <w:t xml:space="preserve">• System notifies relevant stakeholders (Management, Auditor) that the period is closed.</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Reopen: an authorised CMA (or higher) requests Reopen with a mandatory reason; system requires a second-level approval (Proposed — To Be Confirmed which role approves) before unlocking; reopening creates a new Costing Version rather than overwriting the locked one.</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Lock attempted with unresolved preconditions → blocked, with the specific blocking items listed.</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BR-PER-001 (locked periods cannot be silently modified), BR-PER-002 (reopen requires reason + approval and produces a new version, never overwrites history).</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All lock preconditions must independently pass; reopen reason is mandatory and minimum length — Proposed.</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Period identifier, scope (plant/company), lock/reopen action, reason (for reopen).</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Period status change; new Costing Version snapshot; notifications.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periods, costing_versions, audit_trail, notifications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Run, L, Ro on Period Close (CMA); A on reopen approval (Auditor/senior role — Proposed)</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Every lock and reopen event logged with actor, timestamp, reason (for reopen), and resulting version ID; this is the anchor event for costing reproducibility (Section 43).</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A period cannot be locked with any open blocking exception; every reopen is reasoned, approved, and produces a new traceable version rather than erasing the prior one.</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Period Close / Costing Versioning / Audit Trail (source functional note); Financial Integrity principles (Section 43).</w:t>
            </w:r>
          </w:p>
        </w:tc>
      </w:tr>
    </w:tbl>
    <w:p>
      <w:pPr>
        <w:spacing w:after="240"/>
      </w:pPr>
    </w:p>
    <w:p>
      <w:pPr>
        <w:pStyle w:val="Heading2"/>
        <w:spacing w:after="160" w:before="320"/>
      </w:pPr>
      <w:r>
        <w:rPr>
          <w:b/>
          <w:bCs/>
        </w:rPr>
        <w:t xml:space="preserve">5.9 Reporting</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FR-RPT-001 — Generate Product Cost Sheet Report</w:t>
            </w:r>
            <w:r>
              <w:rPr>
                <w:i/>
                <w:iCs/>
                <w:color w:val="D9E2F3"/>
                <w:sz w:val="18"/>
                <w:szCs w:val="18"/>
              </w:rPr>
              <w:t xml:space="preserve">   (Priority: Must-Have)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Produce the Product Cost Sheet report: a structured breakdown of a product's cost (material, labour, machine/process, overheads, other direct cost, total) for a selected period/version, with export and drill-down.</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Management, Auditor (view/export); Customer Admin (view, limited)</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Product Costing (FR-COST-001) is complete for the selected product/period/version.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opens Product Cost Sheet report and applies filters.</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Actor selects filters: Customer/Company/Division/Plant, Product, Period, Costing Version.</w:t>
            </w:r>
          </w:p>
          <w:p>
            <w:pPr>
              <w:spacing w:after="60"/>
            </w:pPr>
            <w:r>
              <w:rPr>
                <w:sz w:val="18"/>
                <w:szCs w:val="18"/>
              </w:rPr>
              <w:t xml:space="preserve">• System retrieves the corresponding Product Costing result and its component breakdown.</w:t>
            </w:r>
          </w:p>
          <w:p>
            <w:pPr>
              <w:spacing w:after="60"/>
            </w:pPr>
            <w:r>
              <w:rPr>
                <w:sz w:val="18"/>
                <w:szCs w:val="18"/>
              </w:rPr>
              <w:t xml:space="preserve">• System renders the report with cost component rows, sortable/groupable by component category, and drill-down to BOM/labour/overhead detail.</w:t>
            </w:r>
          </w:p>
          <w:p>
            <w:pPr>
              <w:spacing w:after="0"/>
            </w:pPr>
            <w:r>
              <w:rPr>
                <w:sz w:val="18"/>
                <w:szCs w:val="18"/>
              </w:rPr>
              <w:t xml:space="preserve">• Actor exports (CSV/PDF/Excel — Proposed) or prints.</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Product Cost Comparison report reuses this data source to show two or more periods/versions side by side.</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No costing result exists for the selected filter combination → empty state with guidance to run Product Costing first.</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Access restricted per RBAC and organisational scope (a Management user only sees plants/products they are authorised for).</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Mandatory filters: Company, Product, Period.</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Filter selections.</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Rendered report; export file.</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costing_results, cost_components, report_logs</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V, Ex on Reports</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Report generation logged (report_logs) with actor, filters used, and timestamp — supports usage analytics and audit of who viewed what.</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Report totals reconcile exactly to the underlying Product Costing result (BR-COST-001); export formats preserve the same figures as the on-screen view.</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Report Specification — Product Cost Sheet (source functional note report catalogue).</w:t>
            </w:r>
          </w:p>
        </w:tc>
      </w:tr>
    </w:tbl>
    <w:p>
      <w:pPr>
        <w:spacing w:after="240"/>
      </w:pPr>
    </w:p>
    <w:p>
      <w:pPr>
        <w:pStyle w:val="Heading2"/>
        <w:spacing w:after="160" w:before="320"/>
      </w:pPr>
      <w:r>
        <w:rPr>
          <w:b/>
          <w:bCs/>
        </w:rPr>
        <w:t xml:space="preserve">5.10 AI Layer</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c>
          <w:tcPr>
            <w:tcW w:type="dxa" w:w="9600"/>
            <w:gridSpan w:val="2"/>
            <w:shd w:fill="1F3864" w:color="auto" w:val="clear"/>
            <w:tcMar>
              <w:top w:type="dxa" w:w="100"/>
              <w:left w:type="dxa" w:w="120"/>
              <w:bottom w:type="dxa" w:w="100"/>
              <w:right w:type="dxa" w:w="120"/>
            </w:tcMar>
          </w:tcPr>
          <w:p>
            <w:r>
              <w:rPr>
                <w:b/>
                <w:bCs/>
                <w:color w:val="FFFFFF"/>
                <w:sz w:val="21"/>
                <w:szCs w:val="21"/>
              </w:rPr>
              <w:t xml:space="preserve">FR-AI-001 — CMA AI Copilot — Natural-Language Analytics Query</w:t>
            </w:r>
            <w:r>
              <w:rPr>
                <w:i/>
                <w:iCs/>
                <w:color w:val="D9E2F3"/>
                <w:sz w:val="18"/>
                <w:szCs w:val="18"/>
              </w:rPr>
              <w:t xml:space="preserve">   (Priority: Should-Have)</w:t>
            </w:r>
          </w:p>
        </w:tc>
      </w:tr>
      <w:tr>
        <w:tc>
          <w:tcPr>
            <w:tcW w:type="dxa" w:w="2200"/>
            <w:shd w:fill="EDF2F8" w:color="auto" w:val="clear"/>
            <w:tcMar>
              <w:top w:type="dxa" w:w="80"/>
              <w:left w:type="dxa" w:w="100"/>
              <w:bottom w:type="dxa" w:w="80"/>
              <w:right w:type="dxa" w:w="100"/>
            </w:tcMar>
            <w:vAlign w:val="top"/>
          </w:tcPr>
          <w:p>
            <w:r>
              <w:rPr>
                <w:b/>
                <w:bCs/>
                <w:sz w:val="18"/>
                <w:szCs w:val="18"/>
              </w:rPr>
              <w:t xml:space="preserve">Description</w:t>
            </w:r>
          </w:p>
        </w:tc>
        <w:tc>
          <w:tcPr>
            <w:tcW w:type="dxa" w:w="7400"/>
            <w:tcMar>
              <w:top w:type="dxa" w:w="80"/>
              <w:left w:type="dxa" w:w="100"/>
              <w:bottom w:type="dxa" w:w="80"/>
              <w:right w:type="dxa" w:w="100"/>
            </w:tcMar>
            <w:vAlign w:val="top"/>
          </w:tcPr>
          <w:p>
            <w:r>
              <w:rPr>
                <w:sz w:val="18"/>
                <w:szCs w:val="18"/>
              </w:rPr>
              <w:t xml:space="preserve">Allow a CMA to ask a natural-language question about costing data (e.g. “why did Product X's cost increase this month?”) and receive an AI-generated response that clearly separates Fact, Calculation, Inference and Prediction, with evidence links and a confidence indicator.</w:t>
            </w:r>
          </w:p>
        </w:tc>
      </w:tr>
      <w:tr>
        <w:tc>
          <w:tcPr>
            <w:tcW w:type="dxa" w:w="2200"/>
            <w:shd w:fill="EDF2F8" w:color="auto" w:val="clear"/>
            <w:tcMar>
              <w:top w:type="dxa" w:w="80"/>
              <w:left w:type="dxa" w:w="100"/>
              <w:bottom w:type="dxa" w:w="80"/>
              <w:right w:type="dxa" w:w="100"/>
            </w:tcMar>
            <w:vAlign w:val="top"/>
          </w:tcPr>
          <w:p>
            <w:r>
              <w:rPr>
                <w:b/>
                <w:bCs/>
                <w:sz w:val="18"/>
                <w:szCs w:val="18"/>
              </w:rPr>
              <w:t xml:space="preserve">Actor</w:t>
            </w:r>
          </w:p>
        </w:tc>
        <w:tc>
          <w:tcPr>
            <w:tcW w:type="dxa" w:w="7400"/>
            <w:tcMar>
              <w:top w:type="dxa" w:w="80"/>
              <w:left w:type="dxa" w:w="100"/>
              <w:bottom w:type="dxa" w:w="80"/>
              <w:right w:type="dxa" w:w="100"/>
            </w:tcMar>
            <w:vAlign w:val="top"/>
          </w:tcPr>
          <w:p>
            <w:r>
              <w:rPr>
                <w:sz w:val="18"/>
                <w:szCs w:val="18"/>
              </w:rPr>
              <w:t xml:space="preserve">CMA / Cost Accountant</w:t>
            </w:r>
          </w:p>
        </w:tc>
      </w:tr>
      <w:tr>
        <w:tc>
          <w:tcPr>
            <w:tcW w:type="dxa" w:w="2200"/>
            <w:shd w:fill="EDF2F8" w:color="auto" w:val="clear"/>
            <w:tcMar>
              <w:top w:type="dxa" w:w="80"/>
              <w:left w:type="dxa" w:w="100"/>
              <w:bottom w:type="dxa" w:w="80"/>
              <w:right w:type="dxa" w:w="100"/>
            </w:tcMar>
            <w:vAlign w:val="top"/>
          </w:tcPr>
          <w:p>
            <w:r>
              <w:rPr>
                <w:b/>
                <w:bCs/>
                <w:sz w:val="18"/>
                <w:szCs w:val="18"/>
              </w:rPr>
              <w:t xml:space="preserve">Preconditions</w:t>
            </w:r>
          </w:p>
        </w:tc>
        <w:tc>
          <w:tcPr>
            <w:tcW w:type="dxa" w:w="7400"/>
            <w:tcMar>
              <w:top w:type="dxa" w:w="80"/>
              <w:left w:type="dxa" w:w="100"/>
              <w:bottom w:type="dxa" w:w="80"/>
              <w:right w:type="dxa" w:w="100"/>
            </w:tcMar>
            <w:vAlign w:val="top"/>
          </w:tcPr>
          <w:p>
            <w:r>
              <w:rPr>
                <w:sz w:val="18"/>
                <w:szCs w:val="18"/>
              </w:rPr>
              <w:t xml:space="preserve">AI service is available; relevant costing data for the query scope exists.</w:t>
            </w:r>
          </w:p>
        </w:tc>
      </w:tr>
      <w:tr>
        <w:tc>
          <w:tcPr>
            <w:tcW w:type="dxa" w:w="2200"/>
            <w:shd w:fill="EDF2F8" w:color="auto" w:val="clear"/>
            <w:tcMar>
              <w:top w:type="dxa" w:w="80"/>
              <w:left w:type="dxa" w:w="100"/>
              <w:bottom w:type="dxa" w:w="80"/>
              <w:right w:type="dxa" w:w="100"/>
            </w:tcMar>
            <w:vAlign w:val="top"/>
          </w:tcPr>
          <w:p>
            <w:r>
              <w:rPr>
                <w:b/>
                <w:bCs/>
                <w:sz w:val="18"/>
                <w:szCs w:val="18"/>
              </w:rPr>
              <w:t xml:space="preserve">Trigger</w:t>
            </w:r>
          </w:p>
        </w:tc>
        <w:tc>
          <w:tcPr>
            <w:tcW w:type="dxa" w:w="7400"/>
            <w:tcMar>
              <w:top w:type="dxa" w:w="80"/>
              <w:left w:type="dxa" w:w="100"/>
              <w:bottom w:type="dxa" w:w="80"/>
              <w:right w:type="dxa" w:w="100"/>
            </w:tcMar>
            <w:vAlign w:val="top"/>
          </w:tcPr>
          <w:p>
            <w:r>
              <w:rPr>
                <w:sz w:val="18"/>
                <w:szCs w:val="18"/>
              </w:rPr>
              <w:t xml:space="preserve">Actor types a question into the AI Copilot panel.</w:t>
            </w:r>
          </w:p>
        </w:tc>
      </w:tr>
      <w:tr>
        <w:tc>
          <w:tcPr>
            <w:tcW w:type="dxa" w:w="2200"/>
            <w:shd w:fill="EDF2F8" w:color="auto" w:val="clear"/>
            <w:tcMar>
              <w:top w:type="dxa" w:w="80"/>
              <w:left w:type="dxa" w:w="100"/>
              <w:bottom w:type="dxa" w:w="80"/>
              <w:right w:type="dxa" w:w="100"/>
            </w:tcMar>
            <w:vAlign w:val="top"/>
          </w:tcPr>
          <w:p>
            <w:r>
              <w:rPr>
                <w:b/>
                <w:bCs/>
                <w:sz w:val="18"/>
                <w:szCs w:val="18"/>
              </w:rPr>
              <w:t xml:space="preserve">Main Flow</w:t>
            </w:r>
          </w:p>
        </w:tc>
        <w:tc>
          <w:tcPr>
            <w:tcW w:type="dxa" w:w="7400"/>
            <w:tcMar>
              <w:top w:type="dxa" w:w="80"/>
              <w:left w:type="dxa" w:w="100"/>
              <w:bottom w:type="dxa" w:w="80"/>
              <w:right w:type="dxa" w:w="100"/>
            </w:tcMar>
            <w:vAlign w:val="top"/>
          </w:tcPr>
          <w:p>
            <w:pPr>
              <w:spacing w:after="60"/>
            </w:pPr>
            <w:r>
              <w:rPr>
                <w:sz w:val="18"/>
                <w:szCs w:val="18"/>
              </w:rPr>
              <w:t xml:space="preserve">• System resolves the query's scope (product/period/plant) from the question and/or current screen context.</w:t>
            </w:r>
          </w:p>
          <w:p>
            <w:pPr>
              <w:spacing w:after="60"/>
            </w:pPr>
            <w:r>
              <w:rPr>
                <w:sz w:val="18"/>
                <w:szCs w:val="18"/>
              </w:rPr>
              <w:t xml:space="preserve">• System retrieves relevant Facts (actual data points) and Calculations (existing costing/variance results) from the database.</w:t>
            </w:r>
          </w:p>
          <w:p>
            <w:pPr>
              <w:spacing w:after="60"/>
            </w:pPr>
            <w:r>
              <w:rPr>
                <w:sz w:val="18"/>
                <w:szCs w:val="18"/>
              </w:rPr>
              <w:t xml:space="preserve">• System sends the question plus retrieved facts/calculations to the AI Integration Layer, which returns a structured response distinguishing Fact, Calculation, Inference and Prediction, each with a confidence indicator.</w:t>
            </w:r>
          </w:p>
          <w:p>
            <w:pPr>
              <w:spacing w:after="0"/>
            </w:pPr>
            <w:r>
              <w:rPr>
                <w:sz w:val="18"/>
                <w:szCs w:val="18"/>
              </w:rPr>
              <w:t xml:space="preserve">• System displays the response with citations/evidence links back to the source records (lineage), and logs the interaction.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Alternate Flow</w:t>
            </w:r>
          </w:p>
        </w:tc>
        <w:tc>
          <w:tcPr>
            <w:tcW w:type="dxa" w:w="7400"/>
            <w:tcMar>
              <w:top w:type="dxa" w:w="80"/>
              <w:left w:type="dxa" w:w="100"/>
              <w:bottom w:type="dxa" w:w="80"/>
              <w:right w:type="dxa" w:w="100"/>
            </w:tcMar>
            <w:vAlign w:val="top"/>
          </w:tcPr>
          <w:p>
            <w:r>
              <w:rPr>
                <w:sz w:val="18"/>
                <w:szCs w:val="18"/>
              </w:rPr>
              <w:t xml:space="preserve">Actor can request the underlying evidence for any Inference/Prediction statement, which opens the relevant Data Lineage / Cost Investigation view.</w:t>
            </w:r>
          </w:p>
        </w:tc>
      </w:tr>
      <w:tr>
        <w:tc>
          <w:tcPr>
            <w:tcW w:type="dxa" w:w="2200"/>
            <w:shd w:fill="EDF2F8" w:color="auto" w:val="clear"/>
            <w:tcMar>
              <w:top w:type="dxa" w:w="80"/>
              <w:left w:type="dxa" w:w="100"/>
              <w:bottom w:type="dxa" w:w="80"/>
              <w:right w:type="dxa" w:w="100"/>
            </w:tcMar>
            <w:vAlign w:val="top"/>
          </w:tcPr>
          <w:p>
            <w:r>
              <w:rPr>
                <w:b/>
                <w:bCs/>
                <w:sz w:val="18"/>
                <w:szCs w:val="18"/>
              </w:rPr>
              <w:t xml:space="preserve">Exception Flow</w:t>
            </w:r>
          </w:p>
        </w:tc>
        <w:tc>
          <w:tcPr>
            <w:tcW w:type="dxa" w:w="7400"/>
            <w:tcMar>
              <w:top w:type="dxa" w:w="80"/>
              <w:left w:type="dxa" w:w="100"/>
              <w:bottom w:type="dxa" w:w="80"/>
              <w:right w:type="dxa" w:w="100"/>
            </w:tcMar>
            <w:vAlign w:val="top"/>
          </w:tcPr>
          <w:p>
            <w:r>
              <w:rPr>
                <w:sz w:val="18"/>
                <w:szCs w:val="18"/>
              </w:rPr>
              <w:t xml:space="preserve">AI service unavailable or low-confidence response → system clearly states it cannot answer reliably rather than presenting a guess as fact.</w:t>
            </w:r>
          </w:p>
        </w:tc>
      </w:tr>
      <w:tr>
        <w:tc>
          <w:tcPr>
            <w:tcW w:type="dxa" w:w="2200"/>
            <w:shd w:fill="EDF2F8" w:color="auto" w:val="clear"/>
            <w:tcMar>
              <w:top w:type="dxa" w:w="80"/>
              <w:left w:type="dxa" w:w="100"/>
              <w:bottom w:type="dxa" w:w="80"/>
              <w:right w:type="dxa" w:w="100"/>
            </w:tcMar>
            <w:vAlign w:val="top"/>
          </w:tcPr>
          <w:p>
            <w:r>
              <w:rPr>
                <w:b/>
                <w:bCs/>
                <w:sz w:val="18"/>
                <w:szCs w:val="18"/>
              </w:rPr>
              <w:t xml:space="preserve">Business Rules</w:t>
            </w:r>
          </w:p>
        </w:tc>
        <w:tc>
          <w:tcPr>
            <w:tcW w:type="dxa" w:w="7400"/>
            <w:tcMar>
              <w:top w:type="dxa" w:w="80"/>
              <w:left w:type="dxa" w:w="100"/>
              <w:bottom w:type="dxa" w:w="80"/>
              <w:right w:type="dxa" w:w="100"/>
            </w:tcMar>
            <w:vAlign w:val="top"/>
          </w:tcPr>
          <w:p>
            <w:r>
              <w:rPr>
                <w:sz w:val="18"/>
                <w:szCs w:val="18"/>
              </w:rPr>
              <w:t xml:space="preserve">BR-AI-001 (AI never silently alters financial results — Copilot is read/advisory only), BR-AI-003 (every Inference/Prediction must be visually distinguished from Fact/Calculation).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Validation Rules</w:t>
            </w:r>
          </w:p>
        </w:tc>
        <w:tc>
          <w:tcPr>
            <w:tcW w:type="dxa" w:w="7400"/>
            <w:tcMar>
              <w:top w:type="dxa" w:w="80"/>
              <w:left w:type="dxa" w:w="100"/>
              <w:bottom w:type="dxa" w:w="80"/>
              <w:right w:type="dxa" w:w="100"/>
            </w:tcMar>
            <w:vAlign w:val="top"/>
          </w:tcPr>
          <w:p>
            <w:r>
              <w:rPr>
                <w:sz w:val="18"/>
                <w:szCs w:val="18"/>
              </w:rPr>
              <w:t xml:space="preserve">Response schema must include the Fact/Calculation/Inference/Prediction classification and a confidence value for non-Fact statements before being displayed.</w:t>
            </w:r>
          </w:p>
        </w:tc>
      </w:tr>
      <w:tr>
        <w:tc>
          <w:tcPr>
            <w:tcW w:type="dxa" w:w="2200"/>
            <w:shd w:fill="EDF2F8" w:color="auto" w:val="clear"/>
            <w:tcMar>
              <w:top w:type="dxa" w:w="80"/>
              <w:left w:type="dxa" w:w="100"/>
              <w:bottom w:type="dxa" w:w="80"/>
              <w:right w:type="dxa" w:w="100"/>
            </w:tcMar>
            <w:vAlign w:val="top"/>
          </w:tcPr>
          <w:p>
            <w:r>
              <w:rPr>
                <w:b/>
                <w:bCs/>
                <w:sz w:val="18"/>
                <w:szCs w:val="18"/>
              </w:rPr>
              <w:t xml:space="preserve">Inputs</w:t>
            </w:r>
          </w:p>
        </w:tc>
        <w:tc>
          <w:tcPr>
            <w:tcW w:type="dxa" w:w="7400"/>
            <w:tcMar>
              <w:top w:type="dxa" w:w="80"/>
              <w:left w:type="dxa" w:w="100"/>
              <w:bottom w:type="dxa" w:w="80"/>
              <w:right w:type="dxa" w:w="100"/>
            </w:tcMar>
            <w:vAlign w:val="top"/>
          </w:tcPr>
          <w:p>
            <w:r>
              <w:rPr>
                <w:sz w:val="18"/>
                <w:szCs w:val="18"/>
              </w:rPr>
              <w:t xml:space="preserve">Natural-language question; scoped costing data.</w:t>
            </w:r>
          </w:p>
        </w:tc>
      </w:tr>
      <w:tr>
        <w:tc>
          <w:tcPr>
            <w:tcW w:type="dxa" w:w="2200"/>
            <w:shd w:fill="EDF2F8" w:color="auto" w:val="clear"/>
            <w:tcMar>
              <w:top w:type="dxa" w:w="80"/>
              <w:left w:type="dxa" w:w="100"/>
              <w:bottom w:type="dxa" w:w="80"/>
              <w:right w:type="dxa" w:w="100"/>
            </w:tcMar>
            <w:vAlign w:val="top"/>
          </w:tcPr>
          <w:p>
            <w:r>
              <w:rPr>
                <w:b/>
                <w:bCs/>
                <w:sz w:val="18"/>
                <w:szCs w:val="18"/>
              </w:rPr>
              <w:t xml:space="preserve">Outputs</w:t>
            </w:r>
          </w:p>
        </w:tc>
        <w:tc>
          <w:tcPr>
            <w:tcW w:type="dxa" w:w="7400"/>
            <w:tcMar>
              <w:top w:type="dxa" w:w="80"/>
              <w:left w:type="dxa" w:w="100"/>
              <w:bottom w:type="dxa" w:w="80"/>
              <w:right w:type="dxa" w:w="100"/>
            </w:tcMar>
            <w:vAlign w:val="top"/>
          </w:tcPr>
          <w:p>
            <w:r>
              <w:rPr>
                <w:sz w:val="18"/>
                <w:szCs w:val="18"/>
              </w:rPr>
              <w:t xml:space="preserve">Structured AI response with classification, confidence, and evidence links.</w:t>
            </w:r>
          </w:p>
        </w:tc>
      </w:tr>
      <w:tr>
        <w:tc>
          <w:tcPr>
            <w:tcW w:type="dxa" w:w="2200"/>
            <w:shd w:fill="EDF2F8" w:color="auto" w:val="clear"/>
            <w:tcMar>
              <w:top w:type="dxa" w:w="80"/>
              <w:left w:type="dxa" w:w="100"/>
              <w:bottom w:type="dxa" w:w="80"/>
              <w:right w:type="dxa" w:w="100"/>
            </w:tcMar>
            <w:vAlign w:val="top"/>
          </w:tcPr>
          <w:p>
            <w:r>
              <w:rPr>
                <w:b/>
                <w:bCs/>
                <w:sz w:val="18"/>
                <w:szCs w:val="18"/>
              </w:rPr>
              <w:t xml:space="preserve">DB entities</w:t>
            </w:r>
          </w:p>
        </w:tc>
        <w:tc>
          <w:tcPr>
            <w:tcW w:type="dxa" w:w="7400"/>
            <w:tcMar>
              <w:top w:type="dxa" w:w="80"/>
              <w:left w:type="dxa" w:w="100"/>
              <w:bottom w:type="dxa" w:w="80"/>
              <w:right w:type="dxa" w:w="100"/>
            </w:tcMar>
            <w:vAlign w:val="top"/>
          </w:tcPr>
          <w:p>
            <w:r>
              <w:rPr>
                <w:sz w:val="18"/>
                <w:szCs w:val="18"/>
              </w:rPr>
              <w:t xml:space="preserve">ai_observations, audit_trail</w:t>
            </w:r>
          </w:p>
        </w:tc>
      </w:tr>
      <w:tr>
        <w:tc>
          <w:tcPr>
            <w:tcW w:type="dxa" w:w="2200"/>
            <w:shd w:fill="EDF2F8" w:color="auto" w:val="clear"/>
            <w:tcMar>
              <w:top w:type="dxa" w:w="80"/>
              <w:left w:type="dxa" w:w="100"/>
              <w:bottom w:type="dxa" w:w="80"/>
              <w:right w:type="dxa" w:w="100"/>
            </w:tcMar>
            <w:vAlign w:val="top"/>
          </w:tcPr>
          <w:p>
            <w:r>
              <w:rPr>
                <w:b/>
                <w:bCs/>
                <w:sz w:val="18"/>
                <w:szCs w:val="18"/>
              </w:rPr>
              <w:t xml:space="preserve">Permissions</w:t>
            </w:r>
          </w:p>
        </w:tc>
        <w:tc>
          <w:tcPr>
            <w:tcW w:type="dxa" w:w="7400"/>
            <w:tcMar>
              <w:top w:type="dxa" w:w="80"/>
              <w:left w:type="dxa" w:w="100"/>
              <w:bottom w:type="dxa" w:w="80"/>
              <w:right w:type="dxa" w:w="100"/>
            </w:tcMar>
            <w:vAlign w:val="top"/>
          </w:tcPr>
          <w:p>
            <w:r>
              <w:rPr>
                <w:sz w:val="18"/>
                <w:szCs w:val="18"/>
              </w:rPr>
              <w:t xml:space="preserve">V, A, R on AI Insights (CMA can accept/dismiss an AI observation)</w:t>
            </w:r>
          </w:p>
        </w:tc>
      </w:tr>
      <w:tr>
        <w:tc>
          <w:tcPr>
            <w:tcW w:type="dxa" w:w="2200"/>
            <w:shd w:fill="EDF2F8" w:color="auto" w:val="clear"/>
            <w:tcMar>
              <w:top w:type="dxa" w:w="80"/>
              <w:left w:type="dxa" w:w="100"/>
              <w:bottom w:type="dxa" w:w="80"/>
              <w:right w:type="dxa" w:w="100"/>
            </w:tcMar>
            <w:vAlign w:val="top"/>
          </w:tcPr>
          <w:p>
            <w:r>
              <w:rPr>
                <w:b/>
                <w:bCs/>
                <w:sz w:val="18"/>
                <w:szCs w:val="18"/>
              </w:rPr>
              <w:t xml:space="preserve">Audit</w:t>
            </w:r>
          </w:p>
        </w:tc>
        <w:tc>
          <w:tcPr>
            <w:tcW w:type="dxa" w:w="7400"/>
            <w:tcMar>
              <w:top w:type="dxa" w:w="80"/>
              <w:left w:type="dxa" w:w="100"/>
              <w:bottom w:type="dxa" w:w="80"/>
              <w:right w:type="dxa" w:w="100"/>
            </w:tcMar>
            <w:vAlign w:val="top"/>
          </w:tcPr>
          <w:p>
            <w:r>
              <w:rPr>
                <w:sz w:val="18"/>
                <w:szCs w:val="18"/>
              </w:rPr>
              <w:t xml:space="preserve">Every query, response, and whether the CMA accepted/dismissed/acted on it is logged — AI Governance record (Section 23, Part 3).</w:t>
            </w:r>
          </w:p>
        </w:tc>
      </w:tr>
      <w:tr>
        <w:tc>
          <w:tcPr>
            <w:tcW w:type="dxa" w:w="2200"/>
            <w:shd w:fill="EDF2F8" w:color="auto" w:val="clear"/>
            <w:tcMar>
              <w:top w:type="dxa" w:w="80"/>
              <w:left w:type="dxa" w:w="100"/>
              <w:bottom w:type="dxa" w:w="80"/>
              <w:right w:type="dxa" w:w="100"/>
            </w:tcMar>
            <w:vAlign w:val="top"/>
          </w:tcPr>
          <w:p>
            <w:r>
              <w:rPr>
                <w:b/>
                <w:bCs/>
                <w:sz w:val="18"/>
                <w:szCs w:val="18"/>
              </w:rPr>
              <w:t xml:space="preserve">Acceptance Criteria</w:t>
            </w:r>
          </w:p>
        </w:tc>
        <w:tc>
          <w:tcPr>
            <w:tcW w:type="dxa" w:w="7400"/>
            <w:tcMar>
              <w:top w:type="dxa" w:w="80"/>
              <w:left w:type="dxa" w:w="100"/>
              <w:bottom w:type="dxa" w:w="80"/>
              <w:right w:type="dxa" w:w="100"/>
            </w:tcMar>
            <w:vAlign w:val="top"/>
          </w:tcPr>
          <w:p>
            <w:r>
              <w:rPr>
                <w:sz w:val="18"/>
                <w:szCs w:val="18"/>
              </w:rPr>
              <w:t xml:space="preserve">No AI response alters a costing result directly; every non-Fact statement is labelled and carries a confidence indicator; every response is traceable to the data it drew on.</w:t>
            </w:r>
          </w:p>
        </w:tc>
      </w:tr>
      <w:tr>
        <w:tc>
          <w:tcPr>
            <w:tcW w:type="dxa" w:w="2200"/>
            <w:shd w:fill="EDF2F8" w:color="auto" w:val="clear"/>
            <w:tcMar>
              <w:top w:type="dxa" w:w="80"/>
              <w:left w:type="dxa" w:w="100"/>
              <w:bottom w:type="dxa" w:w="80"/>
              <w:right w:type="dxa" w:w="100"/>
            </w:tcMar>
            <w:vAlign w:val="top"/>
          </w:tcPr>
          <w:p>
            <w:r>
              <w:rPr>
                <w:b/>
                <w:bCs/>
                <w:sz w:val="18"/>
                <w:szCs w:val="18"/>
              </w:rPr>
              <w:t xml:space="preserve">Source</w:t>
            </w:r>
          </w:p>
        </w:tc>
        <w:tc>
          <w:tcPr>
            <w:tcW w:type="dxa" w:w="7400"/>
            <w:tcMar>
              <w:top w:type="dxa" w:w="80"/>
              <w:left w:type="dxa" w:w="100"/>
              <w:bottom w:type="dxa" w:w="80"/>
              <w:right w:type="dxa" w:w="100"/>
            </w:tcMar>
            <w:vAlign w:val="top"/>
          </w:tcPr>
          <w:p>
            <w:r>
              <w:rPr>
                <w:sz w:val="18"/>
                <w:szCs w:val="18"/>
              </w:rPr>
              <w:t xml:space="preserve">AI Layer / CMA AI Copilot / Natural Language Analytics / AI Governance / Costing Integrity Score (source functional note); Section 43 Financial Integrity Rule.</w:t>
            </w:r>
          </w:p>
        </w:tc>
      </w:tr>
    </w:tbl>
    <w:p>
      <w:pPr>
        <w:spacing w:after="240"/>
      </w:pPr>
    </w:p>
    <w:p>
      <w:r>
        <w:br w:type="page"/>
      </w:r>
    </w:p>
    <w:p>
      <w:pPr>
        <w:pStyle w:val="Heading1"/>
        <w:spacing w:after="240" w:before="480"/>
      </w:pPr>
      <w:r>
        <w:rPr>
          <w:b/>
          <w:bCs/>
        </w:rPr>
        <w:t xml:space="preserve">8. Module Specifications</w:t>
      </w:r>
    </w:p>
    <w:p>
      <w:pPr>
        <w:spacing w:after="160"/>
      </w:pPr>
      <w:r>
        <w:t xml:space="preserve">This section gives a concise purpose-and-scope specification for every module named in the source functional note, grouped by pipeline stage. Modules that received full FR-card treatment in Section 5 are cross-referenced rather than re-explained. Modules marked “Phase 2/3” are described for completeness but are out of MVP scope (see Section 36/37, Part 4).</w:t>
      </w:r>
    </w:p>
    <w:p>
      <w:pPr>
        <w:pStyle w:val="Heading2"/>
        <w:spacing w:after="160" w:before="320"/>
      </w:pPr>
      <w:r>
        <w:rPr>
          <w:b/>
          <w:bCs/>
        </w:rPr>
        <w:t xml:space="preserve">8.1 Identity, Tenant and Organisation Modules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3600"/>
        <w:gridCol w:w="36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Key Interactions / Notes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Authentication and Authorization</w:t>
            </w:r>
          </w:p>
        </w:tc>
        <w:tc>
          <w:tcPr>
            <w:tcW w:type="dxa" w:w="3600"/>
            <w:tcMar>
              <w:top w:type="dxa" w:w="60"/>
              <w:left w:type="dxa" w:w="100"/>
              <w:bottom w:type="dxa" w:w="60"/>
              <w:right w:type="dxa" w:w="100"/>
            </w:tcMar>
            <w:vAlign w:val="center"/>
          </w:tcPr>
          <w:p>
            <w:pPr>
              <w:jc w:val="left"/>
            </w:pPr>
            <w:r>
              <w:rPr>
                <w:b w:val="false"/>
                <w:bCs w:val="false"/>
                <w:sz w:val="18"/>
                <w:szCs w:val="18"/>
              </w:rPr>
              <w:t xml:space="preserve">Verifies identity and enforces RBAC on every request.</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FR-AUTH-001. Consumed by every other module via the Controller layer.</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User Master</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Manages user accounts and their role/scope assignment.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See FR-USER-001. Related: Role Master, Organisation modules.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Role Master</w:t>
            </w:r>
          </w:p>
        </w:tc>
        <w:tc>
          <w:tcPr>
            <w:tcW w:type="dxa" w:w="3600"/>
            <w:tcMar>
              <w:top w:type="dxa" w:w="60"/>
              <w:left w:type="dxa" w:w="100"/>
              <w:bottom w:type="dxa" w:w="60"/>
              <w:right w:type="dxa" w:w="100"/>
            </w:tcMar>
            <w:vAlign w:val="center"/>
          </w:tcPr>
          <w:p>
            <w:pPr>
              <w:jc w:val="left"/>
            </w:pPr>
            <w:r>
              <w:rPr>
                <w:b w:val="false"/>
                <w:bCs w:val="false"/>
                <w:sz w:val="18"/>
                <w:szCs w:val="18"/>
              </w:rPr>
              <w:t xml:space="preserve">Defines roles and their default permission sets.</w:t>
            </w:r>
          </w:p>
        </w:tc>
        <w:tc>
          <w:tcPr>
            <w:tcW w:type="dxa" w:w="3600"/>
            <w:tcMar>
              <w:top w:type="dxa" w:w="60"/>
              <w:left w:type="dxa" w:w="100"/>
              <w:bottom w:type="dxa" w:w="60"/>
              <w:right w:type="dxa" w:w="100"/>
            </w:tcMar>
            <w:vAlign w:val="center"/>
          </w:tcPr>
          <w:p>
            <w:pPr>
              <w:jc w:val="left"/>
            </w:pPr>
            <w:r>
              <w:rPr>
                <w:b w:val="false"/>
                <w:bCs w:val="false"/>
                <w:sz w:val="18"/>
                <w:szCs w:val="18"/>
              </w:rPr>
              <w:t xml:space="preserve">Feeds RBAC Matrix (Section 4.7); referenced by User Master.</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Menu Master</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Defines the navigable menu tree and which roles see which items.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Supporting Interface; drives Section 9 menu rendering.</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Permission Management</w:t>
            </w:r>
          </w:p>
        </w:tc>
        <w:tc>
          <w:tcPr>
            <w:tcW w:type="dxa" w:w="3600"/>
            <w:tcMar>
              <w:top w:type="dxa" w:w="60"/>
              <w:left w:type="dxa" w:w="100"/>
              <w:bottom w:type="dxa" w:w="60"/>
              <w:right w:type="dxa" w:w="100"/>
            </w:tcMar>
            <w:vAlign w:val="center"/>
          </w:tcPr>
          <w:p>
            <w:pPr>
              <w:jc w:val="left"/>
            </w:pPr>
            <w:r>
              <w:rPr>
                <w:b w:val="false"/>
                <w:bCs w:val="false"/>
                <w:sz w:val="18"/>
                <w:szCs w:val="18"/>
              </w:rPr>
              <w:t xml:space="preserve">Fine-grained permission assignment beyond role defaults, where needed.</w:t>
            </w:r>
          </w:p>
        </w:tc>
        <w:tc>
          <w:tcPr>
            <w:tcW w:type="dxa" w:w="3600"/>
            <w:tcMar>
              <w:top w:type="dxa" w:w="60"/>
              <w:left w:type="dxa" w:w="100"/>
              <w:bottom w:type="dxa" w:w="60"/>
              <w:right w:type="dxa" w:w="100"/>
            </w:tcMar>
            <w:vAlign w:val="center"/>
          </w:tcPr>
          <w:p>
            <w:pPr>
              <w:jc w:val="left"/>
            </w:pPr>
            <w:r>
              <w:rPr>
                <w:b w:val="false"/>
                <w:bCs w:val="false"/>
                <w:sz w:val="18"/>
                <w:szCs w:val="18"/>
              </w:rPr>
              <w:t xml:space="preserve">Proposed Supporting Interface for exception-based access grants.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Customer / Tenant Management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Onboards and manages customer tenants (Platform Admin scope).</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Creates the top of the Company/Division/Plant/Warehouse hierarchy for a tenant.</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Company / Division / Plant / Warehouse</w:t>
            </w:r>
          </w:p>
        </w:tc>
        <w:tc>
          <w:tcPr>
            <w:tcW w:type="dxa" w:w="3600"/>
            <w:tcMar>
              <w:top w:type="dxa" w:w="60"/>
              <w:left w:type="dxa" w:w="100"/>
              <w:bottom w:type="dxa" w:w="60"/>
              <w:right w:type="dxa" w:w="100"/>
            </w:tcMar>
            <w:vAlign w:val="center"/>
          </w:tcPr>
          <w:p>
            <w:pPr>
              <w:jc w:val="left"/>
            </w:pPr>
            <w:r>
              <w:rPr>
                <w:b w:val="false"/>
                <w:bCs w:val="false"/>
                <w:sz w:val="18"/>
                <w:szCs w:val="18"/>
              </w:rPr>
              <w:t xml:space="preserve">Defines the organisational hierarchy each transaction and master record is scoped to.</w:t>
            </w:r>
          </w:p>
        </w:tc>
        <w:tc>
          <w:tcPr>
            <w:tcW w:type="dxa" w:w="3600"/>
            <w:tcMar>
              <w:top w:type="dxa" w:w="60"/>
              <w:left w:type="dxa" w:w="100"/>
              <w:bottom w:type="dxa" w:w="60"/>
              <w:right w:type="dxa" w:w="100"/>
            </w:tcMar>
            <w:vAlign w:val="center"/>
          </w:tcPr>
          <w:p>
            <w:pPr>
              <w:jc w:val="left"/>
            </w:pPr>
            <w:r>
              <w:rPr>
                <w:b w:val="false"/>
                <w:bCs w:val="false"/>
                <w:sz w:val="18"/>
                <w:szCs w:val="18"/>
              </w:rPr>
              <w:t xml:space="preserve">Used throughout as the primary scoping dimension for security and reporting.</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Management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Defines financial periods and their Open/Locked status.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Drives FR-UPL-001 preconditions and FR-AUD-002 (Period Close).</w:t>
            </w:r>
          </w:p>
        </w:tc>
      </w:tr>
    </w:tbl>
    <w:p>
      <w:pPr>
        <w:pStyle w:val="Heading2"/>
        <w:spacing w:after="160" w:before="320"/>
      </w:pPr>
      <w:r>
        <w:rPr>
          <w:b/>
          <w:bCs/>
        </w:rPr>
        <w:t xml:space="preserve">8.2 Data Intake Modules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3600"/>
        <w:gridCol w:w="36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Key Interactions / Notes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Upload Centre</w:t>
            </w:r>
          </w:p>
        </w:tc>
        <w:tc>
          <w:tcPr>
            <w:tcW w:type="dxa" w:w="3600"/>
            <w:tcMar>
              <w:top w:type="dxa" w:w="60"/>
              <w:left w:type="dxa" w:w="100"/>
              <w:bottom w:type="dxa" w:w="60"/>
              <w:right w:type="dxa" w:w="100"/>
            </w:tcMar>
            <w:vAlign w:val="center"/>
          </w:tcPr>
          <w:p>
            <w:pPr>
              <w:jc w:val="left"/>
            </w:pPr>
            <w:r>
              <w:rPr>
                <w:b w:val="false"/>
                <w:bCs w:val="false"/>
                <w:sz w:val="18"/>
                <w:szCs w:val="18"/>
              </w:rPr>
              <w:t xml:space="preserve">Entry point for source file intake.</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FR-UPL-001.</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Source Data Management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Manages the immutable stored raw files and their parsed raw rows.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Root of Data Lineage (Section 30, Part 3).</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Mapping Engine</w:t>
            </w:r>
          </w:p>
        </w:tc>
        <w:tc>
          <w:tcPr>
            <w:tcW w:type="dxa" w:w="3600"/>
            <w:tcMar>
              <w:top w:type="dxa" w:w="60"/>
              <w:left w:type="dxa" w:w="100"/>
              <w:bottom w:type="dxa" w:w="60"/>
              <w:right w:type="dxa" w:w="100"/>
            </w:tcMar>
            <w:vAlign w:val="center"/>
          </w:tcPr>
          <w:p>
            <w:pPr>
              <w:jc w:val="left"/>
            </w:pPr>
            <w:r>
              <w:rPr>
                <w:b w:val="false"/>
                <w:bCs w:val="false"/>
                <w:sz w:val="18"/>
                <w:szCs w:val="18"/>
              </w:rPr>
              <w:t xml:space="preserve">Applies saved/new mappings to transform raw rows to canonical records.</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FR-MAP-001.</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Mapping Dictionary</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Reusable library of field-mapping definitions across source systems.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Referenced by Mapping Engine; supports faster onboarding of new source formats.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AI-Assisted Mapping</w:t>
            </w:r>
          </w:p>
        </w:tc>
        <w:tc>
          <w:tcPr>
            <w:tcW w:type="dxa" w:w="3600"/>
            <w:tcMar>
              <w:top w:type="dxa" w:w="60"/>
              <w:left w:type="dxa" w:w="100"/>
              <w:bottom w:type="dxa" w:w="60"/>
              <w:right w:type="dxa" w:w="100"/>
            </w:tcMar>
            <w:vAlign w:val="center"/>
          </w:tcPr>
          <w:p>
            <w:pPr>
              <w:jc w:val="left"/>
            </w:pPr>
            <w:r>
              <w:rPr>
                <w:b w:val="false"/>
                <w:bCs w:val="false"/>
                <w:sz w:val="18"/>
                <w:szCs w:val="18"/>
              </w:rPr>
              <w:t xml:space="preserve">Suggests mappings using the AI Integration Layer.</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FR-MAP-002.</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Data Validation</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Runs structural/referential/business validation on canonical records.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See FR-VAL-001.</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Data Quality</w:t>
            </w:r>
          </w:p>
        </w:tc>
        <w:tc>
          <w:tcPr>
            <w:tcW w:type="dxa" w:w="3600"/>
            <w:tcMar>
              <w:top w:type="dxa" w:w="60"/>
              <w:left w:type="dxa" w:w="100"/>
              <w:bottom w:type="dxa" w:w="60"/>
              <w:right w:type="dxa" w:w="100"/>
            </w:tcMar>
            <w:vAlign w:val="center"/>
          </w:tcPr>
          <w:p>
            <w:pPr>
              <w:jc w:val="left"/>
            </w:pPr>
            <w:r>
              <w:rPr>
                <w:b w:val="false"/>
                <w:bCs w:val="false"/>
                <w:sz w:val="18"/>
                <w:szCs w:val="18"/>
              </w:rPr>
              <w:t xml:space="preserve">Computes and displays the Data Quality Score for an upload.</w:t>
            </w:r>
          </w:p>
        </w:tc>
        <w:tc>
          <w:tcPr>
            <w:tcW w:type="dxa" w:w="3600"/>
            <w:tcMar>
              <w:top w:type="dxa" w:w="60"/>
              <w:left w:type="dxa" w:w="100"/>
              <w:bottom w:type="dxa" w:w="60"/>
              <w:right w:type="dxa" w:w="100"/>
            </w:tcMar>
            <w:vAlign w:val="center"/>
          </w:tcPr>
          <w:p>
            <w:pPr>
              <w:jc w:val="left"/>
            </w:pPr>
            <w:r>
              <w:rPr>
                <w:b w:val="false"/>
                <w:bCs w:val="false"/>
                <w:sz w:val="18"/>
                <w:szCs w:val="18"/>
              </w:rPr>
              <w:t xml:space="preserve">Formula: Proposed / To Be Confirmed — composite of completeness, validity and referential-integrity pass rates.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Trial Balance</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Manages the uploaded/validated TB used for reconciliation.</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Feeds FR-REC-001 and Overhead Allocation cost pools (FR-COST-002).</w:t>
            </w:r>
          </w:p>
        </w:tc>
      </w:tr>
    </w:tbl>
    <w:p>
      <w:pPr>
        <w:pStyle w:val="Heading2"/>
        <w:spacing w:after="160" w:before="320"/>
      </w:pPr>
      <w:r>
        <w:rPr>
          <w:b/>
          <w:bCs/>
        </w:rPr>
        <w:t xml:space="preserve">8.3 Costing Engine Modules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3600"/>
        <w:gridCol w:w="36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Key Interactions / Notes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Inventory</w:t>
            </w:r>
          </w:p>
        </w:tc>
        <w:tc>
          <w:tcPr>
            <w:tcW w:type="dxa" w:w="3600"/>
            <w:tcMar>
              <w:top w:type="dxa" w:w="60"/>
              <w:left w:type="dxa" w:w="100"/>
              <w:bottom w:type="dxa" w:w="60"/>
              <w:right w:type="dxa" w:w="100"/>
            </w:tcMar>
            <w:vAlign w:val="center"/>
          </w:tcPr>
          <w:p>
            <w:pPr>
              <w:jc w:val="left"/>
            </w:pPr>
            <w:r>
              <w:rPr>
                <w:b w:val="false"/>
                <w:bCs w:val="false"/>
                <w:sz w:val="18"/>
                <w:szCs w:val="18"/>
              </w:rPr>
              <w:t xml:space="preserve">Manages inventory transactions and balances.</w:t>
            </w:r>
          </w:p>
        </w:tc>
        <w:tc>
          <w:tcPr>
            <w:tcW w:type="dxa" w:w="3600"/>
            <w:tcMar>
              <w:top w:type="dxa" w:w="60"/>
              <w:left w:type="dxa" w:w="100"/>
              <w:bottom w:type="dxa" w:w="60"/>
              <w:right w:type="dxa" w:w="100"/>
            </w:tcMar>
            <w:vAlign w:val="center"/>
          </w:tcPr>
          <w:p>
            <w:pPr>
              <w:jc w:val="left"/>
            </w:pPr>
            <w:r>
              <w:rPr>
                <w:b w:val="false"/>
                <w:bCs w:val="false"/>
                <w:sz w:val="18"/>
                <w:szCs w:val="18"/>
              </w:rPr>
              <w:t xml:space="preserve">Input to Inventory Valuation (FR-INV-001).</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 Valuation</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Computes closing inventory value by configured method.</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See FR-INV-001.</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BOM</w:t>
            </w:r>
          </w:p>
        </w:tc>
        <w:tc>
          <w:tcPr>
            <w:tcW w:type="dxa" w:w="3600"/>
            <w:tcMar>
              <w:top w:type="dxa" w:w="60"/>
              <w:left w:type="dxa" w:w="100"/>
              <w:bottom w:type="dxa" w:w="60"/>
              <w:right w:type="dxa" w:w="100"/>
            </w:tcMar>
            <w:vAlign w:val="center"/>
          </w:tcPr>
          <w:p>
            <w:pPr>
              <w:jc w:val="left"/>
            </w:pPr>
            <w:r>
              <w:rPr>
                <w:b w:val="false"/>
                <w:bCs w:val="false"/>
                <w:sz w:val="18"/>
                <w:szCs w:val="18"/>
              </w:rPr>
              <w:t xml:space="preserve">Maintains multi-level bills of material.</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FR-BOM-001.</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BOM Explosion</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Expands a BOM to its full component tree.</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Sub-function of FR-BOM-001.</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BOM Cost Roll-up</w:t>
            </w:r>
          </w:p>
        </w:tc>
        <w:tc>
          <w:tcPr>
            <w:tcW w:type="dxa" w:w="3600"/>
            <w:tcMar>
              <w:top w:type="dxa" w:w="60"/>
              <w:left w:type="dxa" w:w="100"/>
              <w:bottom w:type="dxa" w:w="60"/>
              <w:right w:type="dxa" w:w="100"/>
            </w:tcMar>
            <w:vAlign w:val="center"/>
          </w:tcPr>
          <w:p>
            <w:pPr>
              <w:jc w:val="left"/>
            </w:pPr>
            <w:r>
              <w:rPr>
                <w:b w:val="false"/>
                <w:bCs w:val="false"/>
                <w:sz w:val="18"/>
                <w:szCs w:val="18"/>
              </w:rPr>
              <w:t xml:space="preserve">Rolls up component cost bottom-up to parent item cost.</w:t>
            </w:r>
          </w:p>
        </w:tc>
        <w:tc>
          <w:tcPr>
            <w:tcW w:type="dxa" w:w="3600"/>
            <w:tcMar>
              <w:top w:type="dxa" w:w="60"/>
              <w:left w:type="dxa" w:w="100"/>
              <w:bottom w:type="dxa" w:w="60"/>
              <w:right w:type="dxa" w:w="100"/>
            </w:tcMar>
            <w:vAlign w:val="center"/>
          </w:tcPr>
          <w:p>
            <w:pPr>
              <w:jc w:val="left"/>
            </w:pPr>
            <w:r>
              <w:rPr>
                <w:b w:val="false"/>
                <w:bCs w:val="false"/>
                <w:sz w:val="18"/>
                <w:szCs w:val="18"/>
              </w:rPr>
              <w:t xml:space="preserve">Sub-function of FR-BOM-001.</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Standard Cost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Maintains the Standard Cost Master used for standard-mode costing.</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Input to FR-COST-001 (Standard mode) and FR-COST-003.</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Labour Cost</w:t>
            </w:r>
          </w:p>
        </w:tc>
        <w:tc>
          <w:tcPr>
            <w:tcW w:type="dxa" w:w="3600"/>
            <w:tcMar>
              <w:top w:type="dxa" w:w="60"/>
              <w:left w:type="dxa" w:w="100"/>
              <w:bottom w:type="dxa" w:w="60"/>
              <w:right w:type="dxa" w:w="100"/>
            </w:tcMar>
            <w:vAlign w:val="center"/>
          </w:tcPr>
          <w:p>
            <w:pPr>
              <w:jc w:val="left"/>
            </w:pPr>
            <w:r>
              <w:rPr>
                <w:b w:val="false"/>
                <w:bCs w:val="false"/>
                <w:sz w:val="18"/>
                <w:szCs w:val="18"/>
              </w:rPr>
              <w:t xml:space="preserve">Maintains labour rates and captures labour consumption.</w:t>
            </w:r>
          </w:p>
        </w:tc>
        <w:tc>
          <w:tcPr>
            <w:tcW w:type="dxa" w:w="3600"/>
            <w:tcMar>
              <w:top w:type="dxa" w:w="60"/>
              <w:left w:type="dxa" w:w="100"/>
              <w:bottom w:type="dxa" w:w="60"/>
              <w:right w:type="dxa" w:w="100"/>
            </w:tcMar>
            <w:vAlign w:val="center"/>
          </w:tcPr>
          <w:p>
            <w:pPr>
              <w:jc w:val="left"/>
            </w:pPr>
            <w:r>
              <w:rPr>
                <w:b w:val="false"/>
                <w:bCs w:val="false"/>
                <w:sz w:val="18"/>
                <w:szCs w:val="18"/>
              </w:rPr>
              <w:t xml:space="preserve">Input to FR-COST-001.</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Machine / Process Cost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Maintains machine rates and captures machine/process consumption.</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Input to FR-COST-001.</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Overhead Allocation</w:t>
            </w:r>
          </w:p>
        </w:tc>
        <w:tc>
          <w:tcPr>
            <w:tcW w:type="dxa" w:w="3600"/>
            <w:tcMar>
              <w:top w:type="dxa" w:w="60"/>
              <w:left w:type="dxa" w:w="100"/>
              <w:bottom w:type="dxa" w:w="60"/>
              <w:right w:type="dxa" w:w="100"/>
            </w:tcMar>
            <w:vAlign w:val="center"/>
          </w:tcPr>
          <w:p>
            <w:pPr>
              <w:jc w:val="left"/>
            </w:pPr>
            <w:r>
              <w:rPr>
                <w:b w:val="false"/>
                <w:bCs w:val="false"/>
                <w:sz w:val="18"/>
                <w:szCs w:val="18"/>
              </w:rPr>
              <w:t xml:space="preserve">Allocates indirect cost pools to cost objects.</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FR-COST-002.</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Costing</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Combines all cost elements into total product cost.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See FR-COST-001.</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Standard vs Actual</w:t>
            </w:r>
          </w:p>
        </w:tc>
        <w:tc>
          <w:tcPr>
            <w:tcW w:type="dxa" w:w="3600"/>
            <w:tcMar>
              <w:top w:type="dxa" w:w="60"/>
              <w:left w:type="dxa" w:w="100"/>
              <w:bottom w:type="dxa" w:w="60"/>
              <w:right w:type="dxa" w:w="100"/>
            </w:tcMar>
            <w:vAlign w:val="center"/>
          </w:tcPr>
          <w:p>
            <w:pPr>
              <w:jc w:val="left"/>
            </w:pPr>
            <w:r>
              <w:rPr>
                <w:b w:val="false"/>
                <w:bCs w:val="false"/>
                <w:sz w:val="18"/>
                <w:szCs w:val="18"/>
              </w:rPr>
              <w:t xml:space="preserve">Compares standard and actual costing results.</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FR-COST-003.</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 Usage</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Tracks actual material consumption vs BOM-standard consumption.</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Feeds material usage variance within FR-COST-003.</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Yield</w:t>
            </w:r>
          </w:p>
        </w:tc>
        <w:tc>
          <w:tcPr>
            <w:tcW w:type="dxa" w:w="3600"/>
            <w:tcMar>
              <w:top w:type="dxa" w:w="60"/>
              <w:left w:type="dxa" w:w="100"/>
              <w:bottom w:type="dxa" w:w="60"/>
              <w:right w:type="dxa" w:w="100"/>
            </w:tcMar>
            <w:vAlign w:val="center"/>
          </w:tcPr>
          <w:p>
            <w:pPr>
              <w:jc w:val="left"/>
            </w:pPr>
            <w:r>
              <w:rPr>
                <w:b w:val="false"/>
                <w:bCs w:val="false"/>
                <w:sz w:val="18"/>
                <w:szCs w:val="18"/>
              </w:rPr>
              <w:t xml:space="preserve">Tracks output yield vs expected yield from BOM/process configuration.</w:t>
            </w:r>
          </w:p>
        </w:tc>
        <w:tc>
          <w:tcPr>
            <w:tcW w:type="dxa" w:w="3600"/>
            <w:tcMar>
              <w:top w:type="dxa" w:w="60"/>
              <w:left w:type="dxa" w:w="100"/>
              <w:bottom w:type="dxa" w:w="60"/>
              <w:right w:type="dxa" w:w="100"/>
            </w:tcMar>
            <w:vAlign w:val="center"/>
          </w:tcPr>
          <w:p>
            <w:pPr>
              <w:jc w:val="left"/>
            </w:pPr>
            <w:r>
              <w:rPr>
                <w:b w:val="false"/>
                <w:bCs w:val="false"/>
                <w:sz w:val="18"/>
                <w:szCs w:val="18"/>
              </w:rPr>
              <w:t xml:space="preserve">Phase 2 for full Yield Analysis workbench; basic yield variance in MVP — Proposed.</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Variance</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Decomposes total variance into named sub-variances.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See FR-COST-003.</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Cost Bridge</w:t>
            </w:r>
          </w:p>
        </w:tc>
        <w:tc>
          <w:tcPr>
            <w:tcW w:type="dxa" w:w="3600"/>
            <w:tcMar>
              <w:top w:type="dxa" w:w="60"/>
              <w:left w:type="dxa" w:w="100"/>
              <w:bottom w:type="dxa" w:w="60"/>
              <w:right w:type="dxa" w:w="100"/>
            </w:tcMar>
            <w:vAlign w:val="center"/>
          </w:tcPr>
          <w:p>
            <w:pPr>
              <w:jc w:val="left"/>
            </w:pPr>
            <w:r>
              <w:rPr>
                <w:b w:val="false"/>
                <w:bCs w:val="false"/>
                <w:sz w:val="18"/>
                <w:szCs w:val="18"/>
              </w:rPr>
              <w:t xml:space="preserve">Visual/tabular waterfall from Standard to Actual cost.</w:t>
            </w:r>
          </w:p>
        </w:tc>
        <w:tc>
          <w:tcPr>
            <w:tcW w:type="dxa" w:w="3600"/>
            <w:tcMar>
              <w:top w:type="dxa" w:w="60"/>
              <w:left w:type="dxa" w:w="100"/>
              <w:bottom w:type="dxa" w:w="60"/>
              <w:right w:type="dxa" w:w="100"/>
            </w:tcMar>
            <w:vAlign w:val="center"/>
          </w:tcPr>
          <w:p>
            <w:pPr>
              <w:jc w:val="left"/>
            </w:pPr>
            <w:r>
              <w:rPr>
                <w:b w:val="false"/>
                <w:bCs w:val="false"/>
                <w:sz w:val="18"/>
                <w:szCs w:val="18"/>
              </w:rPr>
              <w:t xml:space="preserve">Output of FR-COST-003.</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Cost Investigation</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Guided drill-down from a variance/exception to root-cause transactions.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Consumes Data Lineage (Section 30, Part 3).</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WIP</w:t>
            </w:r>
          </w:p>
        </w:tc>
        <w:tc>
          <w:tcPr>
            <w:tcW w:type="dxa" w:w="3600"/>
            <w:tcMar>
              <w:top w:type="dxa" w:w="60"/>
              <w:left w:type="dxa" w:w="100"/>
              <w:bottom w:type="dxa" w:w="60"/>
              <w:right w:type="dxa" w:w="100"/>
            </w:tcMar>
            <w:vAlign w:val="center"/>
          </w:tcPr>
          <w:p>
            <w:pPr>
              <w:jc w:val="left"/>
            </w:pPr>
            <w:r>
              <w:rPr>
                <w:b w:val="false"/>
                <w:bCs w:val="false"/>
                <w:sz w:val="18"/>
                <w:szCs w:val="18"/>
              </w:rPr>
              <w:t xml:space="preserve">Tracks work-in-progress value at period end.</w:t>
            </w:r>
          </w:p>
        </w:tc>
        <w:tc>
          <w:tcPr>
            <w:tcW w:type="dxa" w:w="3600"/>
            <w:tcMar>
              <w:top w:type="dxa" w:w="60"/>
              <w:left w:type="dxa" w:w="100"/>
              <w:bottom w:type="dxa" w:w="60"/>
              <w:right w:type="dxa" w:w="100"/>
            </w:tcMar>
            <w:vAlign w:val="center"/>
          </w:tcPr>
          <w:p>
            <w:pPr>
              <w:jc w:val="left"/>
            </w:pPr>
            <w:r>
              <w:rPr>
                <w:b w:val="false"/>
                <w:bCs w:val="false"/>
                <w:sz w:val="18"/>
                <w:szCs w:val="18"/>
              </w:rPr>
              <w:t xml:space="preserve">Phase 2 — Proposed.</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Scrap / By-product / Co-product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Handles cost treatment of scrap and joint/by-products.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Phase 2 — Proposed; MVP BOM supports a basic scrap % only.</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Cost Simulation</w:t>
            </w:r>
          </w:p>
        </w:tc>
        <w:tc>
          <w:tcPr>
            <w:tcW w:type="dxa" w:w="3600"/>
            <w:tcMar>
              <w:top w:type="dxa" w:w="60"/>
              <w:left w:type="dxa" w:w="100"/>
              <w:bottom w:type="dxa" w:w="60"/>
              <w:right w:type="dxa" w:w="100"/>
            </w:tcMar>
            <w:vAlign w:val="center"/>
          </w:tcPr>
          <w:p>
            <w:pPr>
              <w:jc w:val="left"/>
            </w:pPr>
            <w:r>
              <w:rPr>
                <w:b w:val="false"/>
                <w:bCs w:val="false"/>
                <w:sz w:val="18"/>
                <w:szCs w:val="18"/>
              </w:rPr>
              <w:t xml:space="preserve">What-if costing without affecting actual/standard results.</w:t>
            </w:r>
          </w:p>
        </w:tc>
        <w:tc>
          <w:tcPr>
            <w:tcW w:type="dxa" w:w="3600"/>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Make-or-Buy</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Compares in-house cost vs vendor quote for a component.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Phase 2.</w:t>
            </w:r>
          </w:p>
        </w:tc>
      </w:tr>
    </w:tbl>
    <w:p>
      <w:pPr>
        <w:pStyle w:val="Heading2"/>
        <w:spacing w:after="160" w:before="320"/>
      </w:pPr>
      <w:r>
        <w:rPr>
          <w:b/>
          <w:bCs/>
        </w:rPr>
        <w:t xml:space="preserve">8.4 Reconciliation, Audit and Governance Modules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3600"/>
        <w:gridCol w:w="36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Key Interactions / Notes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Reconciliation (TB / Inventory / Production / Consumption / Costing)</w:t>
            </w:r>
          </w:p>
        </w:tc>
        <w:tc>
          <w:tcPr>
            <w:tcW w:type="dxa" w:w="3600"/>
            <w:tcMar>
              <w:top w:type="dxa" w:w="60"/>
              <w:left w:type="dxa" w:w="100"/>
              <w:bottom w:type="dxa" w:w="60"/>
              <w:right w:type="dxa" w:w="100"/>
            </w:tcMar>
            <w:vAlign w:val="center"/>
          </w:tcPr>
          <w:p>
            <w:pPr>
              <w:jc w:val="left"/>
            </w:pPr>
            <w:r>
              <w:rPr>
                <w:b w:val="false"/>
                <w:bCs w:val="false"/>
                <w:sz w:val="18"/>
                <w:szCs w:val="18"/>
              </w:rPr>
              <w:t xml:space="preserve">Confirms costing results tie out to source financial/operational records.</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FR-REC-001.</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Master Data Governance</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Approval workflow and change control for master data edits.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Applies to Item, BOM, Standard Cost, Allocation Rule masters at minimum — Proposed scope, To Be Confirmed.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Audit Desk</w:t>
            </w:r>
          </w:p>
        </w:tc>
        <w:tc>
          <w:tcPr>
            <w:tcW w:type="dxa" w:w="3600"/>
            <w:tcMar>
              <w:top w:type="dxa" w:w="60"/>
              <w:left w:type="dxa" w:w="100"/>
              <w:bottom w:type="dxa" w:w="60"/>
              <w:right w:type="dxa" w:w="100"/>
            </w:tcMar>
            <w:vAlign w:val="center"/>
          </w:tcPr>
          <w:p>
            <w:pPr>
              <w:jc w:val="left"/>
            </w:pPr>
            <w:r>
              <w:rPr>
                <w:b w:val="false"/>
                <w:bCs w:val="false"/>
                <w:sz w:val="18"/>
                <w:szCs w:val="18"/>
              </w:rPr>
              <w:t xml:space="preserve">Consolidated exception review and sign-off workspace.</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FR-AUD-001.</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Exception Management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Central exception queue feeding the Audit Desk.</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Aggregates exceptions from Validation, Reconciliation, Costing.</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Audit Trail</w:t>
            </w:r>
          </w:p>
        </w:tc>
        <w:tc>
          <w:tcPr>
            <w:tcW w:type="dxa" w:w="3600"/>
            <w:tcMar>
              <w:top w:type="dxa" w:w="60"/>
              <w:left w:type="dxa" w:w="100"/>
              <w:bottom w:type="dxa" w:w="60"/>
              <w:right w:type="dxa" w:w="100"/>
            </w:tcMar>
            <w:vAlign w:val="center"/>
          </w:tcPr>
          <w:p>
            <w:pPr>
              <w:jc w:val="left"/>
            </w:pPr>
            <w:r>
              <w:rPr>
                <w:b w:val="false"/>
                <w:bCs w:val="false"/>
                <w:sz w:val="18"/>
                <w:szCs w:val="18"/>
              </w:rPr>
              <w:t xml:space="preserve">Immutable log of who changed/approved what, and when.</w:t>
            </w:r>
          </w:p>
        </w:tc>
        <w:tc>
          <w:tcPr>
            <w:tcW w:type="dxa" w:w="3600"/>
            <w:tcMar>
              <w:top w:type="dxa" w:w="60"/>
              <w:left w:type="dxa" w:w="100"/>
              <w:bottom w:type="dxa" w:w="60"/>
              <w:right w:type="dxa" w:w="100"/>
            </w:tcMar>
            <w:vAlign w:val="center"/>
          </w:tcPr>
          <w:p>
            <w:pPr>
              <w:jc w:val="left"/>
            </w:pPr>
            <w:r>
              <w:rPr>
                <w:b w:val="false"/>
                <w:bCs w:val="false"/>
                <w:sz w:val="18"/>
                <w:szCs w:val="18"/>
              </w:rPr>
              <w:t xml:space="preserve">Underlies every module's Audit field in Section 5.</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Data Lineage</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Traces any result back to its originating source row.</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See Section 30 (Part 3), “View Evidence / Trace Calculation.”</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Period Close</w:t>
            </w:r>
          </w:p>
        </w:tc>
        <w:tc>
          <w:tcPr>
            <w:tcW w:type="dxa" w:w="3600"/>
            <w:tcMar>
              <w:top w:type="dxa" w:w="60"/>
              <w:left w:type="dxa" w:w="100"/>
              <w:bottom w:type="dxa" w:w="60"/>
              <w:right w:type="dxa" w:w="100"/>
            </w:tcMar>
            <w:vAlign w:val="center"/>
          </w:tcPr>
          <w:p>
            <w:pPr>
              <w:jc w:val="left"/>
            </w:pPr>
            <w:r>
              <w:rPr>
                <w:b w:val="false"/>
                <w:bCs w:val="false"/>
                <w:sz w:val="18"/>
                <w:szCs w:val="18"/>
              </w:rPr>
              <w:t xml:space="preserve">Locks/reopens a period in a controlled manner.</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FR-AUD-002.</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 Versioning</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Snapshots costing results at each lock/reopen event.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Enables historical reproducibility (Section 43).</w:t>
            </w:r>
          </w:p>
        </w:tc>
      </w:tr>
    </w:tbl>
    <w:p>
      <w:pPr>
        <w:pStyle w:val="Heading2"/>
        <w:spacing w:after="160" w:before="320"/>
      </w:pPr>
      <w:r>
        <w:rPr>
          <w:b/>
          <w:bCs/>
        </w:rPr>
        <w:t xml:space="preserve">8.5 Analytics, Dashboard and AI Modules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3600"/>
        <w:gridCol w:w="36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3600"/>
            <w:shd w:fill="1F3864" w:color="auto" w:val="clear"/>
            <w:tcMar>
              <w:top w:type="dxa" w:w="60"/>
              <w:left w:type="dxa" w:w="100"/>
              <w:bottom w:type="dxa" w:w="60"/>
              <w:right w:type="dxa" w:w="100"/>
            </w:tcMar>
            <w:vAlign w:val="center"/>
          </w:tcPr>
          <w:p>
            <w:pPr>
              <w:jc w:val="left"/>
            </w:pPr>
            <w:r>
              <w:rPr>
                <w:b/>
                <w:bCs/>
                <w:color w:val="FFFFFF"/>
                <w:sz w:val="18"/>
                <w:szCs w:val="18"/>
              </w:rPr>
              <w:t xml:space="preserve">Key Interactions / Notes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Cost Centre Analytics</w:t>
            </w:r>
          </w:p>
        </w:tc>
        <w:tc>
          <w:tcPr>
            <w:tcW w:type="dxa" w:w="3600"/>
            <w:tcMar>
              <w:top w:type="dxa" w:w="60"/>
              <w:left w:type="dxa" w:w="100"/>
              <w:bottom w:type="dxa" w:w="60"/>
              <w:right w:type="dxa" w:w="100"/>
            </w:tcMar>
            <w:vAlign w:val="center"/>
          </w:tcPr>
          <w:p>
            <w:pPr>
              <w:jc w:val="left"/>
            </w:pPr>
            <w:r>
              <w:rPr>
                <w:b w:val="false"/>
                <w:bCs w:val="false"/>
                <w:sz w:val="18"/>
                <w:szCs w:val="18"/>
              </w:rPr>
              <w:t xml:space="preserve">Analyses cost by cost centre over time/plant.</w:t>
            </w:r>
          </w:p>
        </w:tc>
        <w:tc>
          <w:tcPr>
            <w:tcW w:type="dxa" w:w="3600"/>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Machine / Capacity Analytics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Analyses machine utilisation and capacity cost.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Product Profitability</w:t>
            </w:r>
          </w:p>
        </w:tc>
        <w:tc>
          <w:tcPr>
            <w:tcW w:type="dxa" w:w="3600"/>
            <w:tcMar>
              <w:top w:type="dxa" w:w="60"/>
              <w:left w:type="dxa" w:w="100"/>
              <w:bottom w:type="dxa" w:w="60"/>
              <w:right w:type="dxa" w:w="100"/>
            </w:tcMar>
            <w:vAlign w:val="center"/>
          </w:tcPr>
          <w:p>
            <w:pPr>
              <w:jc w:val="left"/>
            </w:pPr>
            <w:r>
              <w:rPr>
                <w:b w:val="false"/>
                <w:bCs w:val="false"/>
                <w:sz w:val="18"/>
                <w:szCs w:val="18"/>
              </w:rPr>
              <w:t xml:space="preserve">Combines product cost with sales/price data for margin analysis.</w:t>
            </w:r>
          </w:p>
        </w:tc>
        <w:tc>
          <w:tcPr>
            <w:tcW w:type="dxa" w:w="3600"/>
            <w:tcMar>
              <w:top w:type="dxa" w:w="60"/>
              <w:left w:type="dxa" w:w="100"/>
              <w:bottom w:type="dxa" w:w="60"/>
              <w:right w:type="dxa" w:w="100"/>
            </w:tcMar>
            <w:vAlign w:val="center"/>
          </w:tcPr>
          <w:p>
            <w:pPr>
              <w:jc w:val="left"/>
            </w:pPr>
            <w:r>
              <w:rPr>
                <w:b w:val="false"/>
                <w:bCs w:val="false"/>
                <w:sz w:val="18"/>
                <w:szCs w:val="18"/>
              </w:rPr>
              <w:t xml:space="preserve">Phase 2 — requires sales data source not yet defined; To Be Confirmed.</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 Analytics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Ageing, slow-moving and valuation-trend analytics.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Phase 2.</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Management Dashboard</w:t>
            </w:r>
          </w:p>
        </w:tc>
        <w:tc>
          <w:tcPr>
            <w:tcW w:type="dxa" w:w="3600"/>
            <w:tcMar>
              <w:top w:type="dxa" w:w="60"/>
              <w:left w:type="dxa" w:w="100"/>
              <w:bottom w:type="dxa" w:w="60"/>
              <w:right w:type="dxa" w:w="100"/>
            </w:tcMar>
            <w:vAlign w:val="center"/>
          </w:tcPr>
          <w:p>
            <w:pPr>
              <w:jc w:val="left"/>
            </w:pPr>
            <w:r>
              <w:rPr>
                <w:b w:val="false"/>
                <w:bCs w:val="false"/>
                <w:sz w:val="18"/>
                <w:szCs w:val="18"/>
              </w:rPr>
              <w:t xml:space="preserve">Executive-level KPI view.</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Section 13 (Part 3).</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CMA Dashboard</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Operational status view for the CMA's daily workflow.</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See Section 13 (Part 3).</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Product Dashboard</w:t>
            </w:r>
          </w:p>
        </w:tc>
        <w:tc>
          <w:tcPr>
            <w:tcW w:type="dxa" w:w="3600"/>
            <w:tcMar>
              <w:top w:type="dxa" w:w="60"/>
              <w:left w:type="dxa" w:w="100"/>
              <w:bottom w:type="dxa" w:w="60"/>
              <w:right w:type="dxa" w:w="100"/>
            </w:tcMar>
            <w:vAlign w:val="center"/>
          </w:tcPr>
          <w:p>
            <w:pPr>
              <w:jc w:val="left"/>
            </w:pPr>
            <w:r>
              <w:rPr>
                <w:b w:val="false"/>
                <w:bCs w:val="false"/>
                <w:sz w:val="18"/>
                <w:szCs w:val="18"/>
              </w:rPr>
              <w:t xml:space="preserve">Single-product cost composition and trend view.</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Section 13 (Part 3).</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AI Layer / AI Copilot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Natural-language analytics and observations.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See FR-AI-001.</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AI Governance</w:t>
            </w:r>
          </w:p>
        </w:tc>
        <w:tc>
          <w:tcPr>
            <w:tcW w:type="dxa" w:w="3600"/>
            <w:tcMar>
              <w:top w:type="dxa" w:w="60"/>
              <w:left w:type="dxa" w:w="100"/>
              <w:bottom w:type="dxa" w:w="60"/>
              <w:right w:type="dxa" w:w="100"/>
            </w:tcMar>
            <w:vAlign w:val="center"/>
          </w:tcPr>
          <w:p>
            <w:pPr>
              <w:jc w:val="left"/>
            </w:pPr>
            <w:r>
              <w:rPr>
                <w:b w:val="false"/>
                <w:bCs w:val="false"/>
                <w:sz w:val="18"/>
                <w:szCs w:val="18"/>
              </w:rPr>
              <w:t xml:space="preserve">Tracks AI suggestion accuracy, acceptance rate, and override history.</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BR-AI-002; consumed by Costing Integrity Score.</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 Integrity Score</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Composite score reflecting data quality, reconciliation health and exception backlog for a period/plant.</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Formula Proposed / To Be Confirmed; surfaced on CMA Dashboard.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Reporting</w:t>
            </w:r>
          </w:p>
        </w:tc>
        <w:tc>
          <w:tcPr>
            <w:tcW w:type="dxa" w:w="3600"/>
            <w:tcMar>
              <w:top w:type="dxa" w:w="60"/>
              <w:left w:type="dxa" w:w="100"/>
              <w:bottom w:type="dxa" w:w="60"/>
              <w:right w:type="dxa" w:w="100"/>
            </w:tcMar>
            <w:vAlign w:val="center"/>
          </w:tcPr>
          <w:p>
            <w:pPr>
              <w:jc w:val="left"/>
            </w:pPr>
            <w:r>
              <w:rPr>
                <w:b w:val="false"/>
                <w:bCs w:val="false"/>
                <w:sz w:val="18"/>
                <w:szCs w:val="18"/>
              </w:rPr>
              <w:t xml:space="preserve">Report catalogue and generation engine.</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FR-RPT-001 and Section 11 (Report Specification, Part 3).</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Search and Drill-down</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Cross-module search with drill-down into source records.</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global search bar; To Be Confirmed scope for MVP.</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Notifications</w:t>
            </w:r>
          </w:p>
        </w:tc>
        <w:tc>
          <w:tcPr>
            <w:tcW w:type="dxa" w:w="3600"/>
            <w:tcMar>
              <w:top w:type="dxa" w:w="60"/>
              <w:left w:type="dxa" w:w="100"/>
              <w:bottom w:type="dxa" w:w="60"/>
              <w:right w:type="dxa" w:w="100"/>
            </w:tcMar>
            <w:vAlign w:val="center"/>
          </w:tcPr>
          <w:p>
            <w:pPr>
              <w:jc w:val="left"/>
            </w:pPr>
            <w:r>
              <w:rPr>
                <w:b w:val="false"/>
                <w:bCs w:val="false"/>
                <w:sz w:val="18"/>
                <w:szCs w:val="18"/>
              </w:rPr>
              <w:t xml:space="preserve">In-app alerts for upload completion, exceptions, approvals pending, etc.</w:t>
            </w:r>
          </w:p>
        </w:tc>
        <w:tc>
          <w:tcPr>
            <w:tcW w:type="dxa" w:w="3600"/>
            <w:tcMar>
              <w:top w:type="dxa" w:w="60"/>
              <w:left w:type="dxa" w:w="100"/>
              <w:bottom w:type="dxa" w:w="60"/>
              <w:right w:type="dxa" w:w="100"/>
            </w:tcMar>
            <w:vAlign w:val="center"/>
          </w:tcPr>
          <w:p>
            <w:pPr>
              <w:jc w:val="left"/>
            </w:pPr>
            <w:r>
              <w:rPr>
                <w:b w:val="false"/>
                <w:bCs w:val="false"/>
                <w:sz w:val="18"/>
                <w:szCs w:val="18"/>
              </w:rPr>
              <w:t xml:space="preserve">See Section 24 (Part 3).</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Background Processing</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Executes long-running import/costing/reconciliation jobs asynchronously.</w:t>
            </w:r>
          </w:p>
        </w:tc>
        <w:tc>
          <w:tcPr>
            <w:tcW w:type="dxa" w:w="3600"/>
            <w:shd w:fill="F2F2F2" w:color="auto" w:val="clear"/>
            <w:tcMar>
              <w:top w:type="dxa" w:w="60"/>
              <w:left w:type="dxa" w:w="100"/>
              <w:bottom w:type="dxa" w:w="60"/>
              <w:right w:type="dxa" w:w="100"/>
            </w:tcMar>
            <w:vAlign w:val="center"/>
          </w:tcPr>
          <w:p>
            <w:pPr>
              <w:jc w:val="left"/>
            </w:pPr>
            <w:r>
              <w:rPr>
                <w:b w:val="false"/>
                <w:bCs w:val="false"/>
                <w:sz w:val="18"/>
                <w:szCs w:val="18"/>
              </w:rPr>
              <w:t xml:space="preserve">See Section 25 (Part 3) for job/queue design.</w:t>
            </w:r>
          </w:p>
        </w:tc>
      </w:tr>
    </w:tbl>
    <w:p>
      <w:r>
        <w:br w:type="page"/>
      </w:r>
    </w:p>
    <w:p>
      <w:pPr>
        <w:pStyle w:val="Heading1"/>
        <w:spacing w:after="240" w:before="480"/>
      </w:pPr>
      <w:r>
        <w:rPr>
          <w:b/>
          <w:bCs/>
        </w:rPr>
        <w:t xml:space="preserve">10. Master Data Specification</w:t>
      </w:r>
    </w:p>
    <w:p>
      <w:pPr>
        <w:spacing w:after="160"/>
      </w:pPr>
      <w:r>
        <w:t xml:space="preserve">The table below catalogues every master identified in the source functional note and menu structure. “Owner” is the role responsible for maintaining the master under Master Data Governance (Section 8.4). “Eff.-Dated” indicates whether changes must be effective-dated rather than overwritten in place (required wherever a master value affects historical costing reproducibility, per Section 43).</w:t>
      </w:r>
    </w:p>
    <w:tbl>
      <w:tblPr>
        <w:tblW w:type="dxa" w:w="12600"/>
        <w:tblBorders>
          <w:top w:val="single" w:color="BFBFBF" w:sz="2"/>
          <w:left w:val="single" w:color="BFBFBF" w:sz="2"/>
          <w:bottom w:val="single" w:color="BFBFBF" w:sz="2"/>
          <w:right w:val="single" w:color="BFBFBF" w:sz="2"/>
          <w:insideH w:val="single" w:color="D9D9D9" w:sz="2"/>
          <w:insideV w:val="single" w:color="D9D9D9" w:sz="2"/>
        </w:tblBorders>
      </w:tblPr>
      <w:tblGrid>
        <w:gridCol w:w="850"/>
        <w:gridCol w:w="2000"/>
        <w:gridCol w:w="3400"/>
        <w:gridCol w:w="1450"/>
        <w:gridCol w:w="1200"/>
        <w:gridCol w:w="1050"/>
        <w:gridCol w:w="2650"/>
      </w:tblGrid>
      <w:tr>
        <w:trPr>
          <w:tblHeader/>
        </w:trPr>
        <w:tc>
          <w:tcPr>
            <w:tcW w:type="dxa" w:w="850"/>
            <w:shd w:fill="1F3864" w:color="auto" w:val="clear"/>
            <w:tcMar>
              <w:top w:type="dxa" w:w="60"/>
              <w:left w:type="dxa" w:w="100"/>
              <w:bottom w:type="dxa" w:w="60"/>
              <w:right w:type="dxa" w:w="100"/>
            </w:tcMar>
            <w:vAlign w:val="center"/>
          </w:tcPr>
          <w:p>
            <w:pPr>
              <w:jc w:val="left"/>
            </w:pPr>
            <w:r>
              <w:rPr>
                <w:b/>
                <w:bCs/>
                <w:color w:val="FFFFFF"/>
                <w:sz w:val="18"/>
                <w:szCs w:val="18"/>
              </w:rPr>
              <w:t xml:space="preserve">ID</w:t>
            </w:r>
          </w:p>
        </w:tc>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Master</w:t>
            </w:r>
          </w:p>
        </w:tc>
        <w:tc>
          <w:tcPr>
            <w:tcW w:type="dxa" w:w="34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1450"/>
            <w:shd w:fill="1F3864" w:color="auto" w:val="clear"/>
            <w:tcMar>
              <w:top w:type="dxa" w:w="60"/>
              <w:left w:type="dxa" w:w="100"/>
              <w:bottom w:type="dxa" w:w="60"/>
              <w:right w:type="dxa" w:w="100"/>
            </w:tcMar>
            <w:vAlign w:val="center"/>
          </w:tcPr>
          <w:p>
            <w:pPr>
              <w:jc w:val="left"/>
            </w:pPr>
            <w:r>
              <w:rPr>
                <w:b/>
                <w:bCs/>
                <w:color w:val="FFFFFF"/>
                <w:sz w:val="18"/>
                <w:szCs w:val="18"/>
              </w:rPr>
              <w:t xml:space="preserve">Owner</w:t>
            </w:r>
          </w:p>
        </w:tc>
        <w:tc>
          <w:tcPr>
            <w:tcW w:type="dxa" w:w="1200"/>
            <w:shd w:fill="1F3864" w:color="auto" w:val="clear"/>
            <w:tcMar>
              <w:top w:type="dxa" w:w="60"/>
              <w:left w:type="dxa" w:w="100"/>
              <w:bottom w:type="dxa" w:w="60"/>
              <w:right w:type="dxa" w:w="100"/>
            </w:tcMar>
            <w:vAlign w:val="center"/>
          </w:tcPr>
          <w:p>
            <w:pPr>
              <w:jc w:val="left"/>
            </w:pPr>
            <w:r>
              <w:rPr>
                <w:b/>
                <w:bCs/>
                <w:color w:val="FFFFFF"/>
                <w:sz w:val="18"/>
                <w:szCs w:val="18"/>
              </w:rPr>
              <w:t xml:space="preserve">Approval Req'd</w:t>
            </w:r>
          </w:p>
        </w:tc>
        <w:tc>
          <w:tcPr>
            <w:tcW w:type="dxa" w:w="1050"/>
            <w:shd w:fill="1F3864" w:color="auto" w:val="clear"/>
            <w:tcMar>
              <w:top w:type="dxa" w:w="60"/>
              <w:left w:type="dxa" w:w="100"/>
              <w:bottom w:type="dxa" w:w="60"/>
              <w:right w:type="dxa" w:w="100"/>
            </w:tcMar>
            <w:vAlign w:val="center"/>
          </w:tcPr>
          <w:p>
            <w:pPr>
              <w:jc w:val="left"/>
            </w:pPr>
            <w:r>
              <w:rPr>
                <w:b/>
                <w:bCs/>
                <w:color w:val="FFFFFF"/>
                <w:sz w:val="18"/>
                <w:szCs w:val="18"/>
              </w:rPr>
              <w:t xml:space="preserve">Eff.-Dated</w:t>
            </w:r>
          </w:p>
        </w:tc>
        <w:tc>
          <w:tcPr>
            <w:tcW w:type="dxa" w:w="2650"/>
            <w:shd w:fill="1F3864" w:color="auto" w:val="clear"/>
            <w:tcMar>
              <w:top w:type="dxa" w:w="60"/>
              <w:left w:type="dxa" w:w="100"/>
              <w:bottom w:type="dxa" w:w="60"/>
              <w:right w:type="dxa" w:w="100"/>
            </w:tcMar>
            <w:vAlign w:val="center"/>
          </w:tcPr>
          <w:p>
            <w:pPr>
              <w:jc w:val="left"/>
            </w:pPr>
            <w:r>
              <w:rPr>
                <w:b/>
                <w:bCs/>
                <w:color w:val="FFFFFF"/>
                <w:sz w:val="18"/>
                <w:szCs w:val="18"/>
              </w:rPr>
              <w:t xml:space="preserve">Key Related Transactions</w:t>
            </w:r>
          </w:p>
        </w:tc>
      </w:tr>
      <w:tr>
        <w:tc>
          <w:tcPr>
            <w:tcW w:type="dxa" w:w="850"/>
            <w:tcMar>
              <w:top w:type="dxa" w:w="60"/>
              <w:left w:type="dxa" w:w="100"/>
              <w:bottom w:type="dxa" w:w="60"/>
              <w:right w:type="dxa" w:w="100"/>
            </w:tcMar>
            <w:vAlign w:val="center"/>
          </w:tcPr>
          <w:p>
            <w:pPr>
              <w:jc w:val="left"/>
            </w:pPr>
            <w:r>
              <w:rPr>
                <w:b w:val="false"/>
                <w:bCs w:val="false"/>
                <w:sz w:val="18"/>
                <w:szCs w:val="18"/>
              </w:rPr>
              <w:t xml:space="preserve">MD-01</w:t>
            </w:r>
          </w:p>
        </w:tc>
        <w:tc>
          <w:tcPr>
            <w:tcW w:type="dxa" w:w="2000"/>
            <w:tcMar>
              <w:top w:type="dxa" w:w="60"/>
              <w:left w:type="dxa" w:w="100"/>
              <w:bottom w:type="dxa" w:w="60"/>
              <w:right w:type="dxa" w:w="100"/>
            </w:tcMar>
            <w:vAlign w:val="center"/>
          </w:tcPr>
          <w:p>
            <w:pPr>
              <w:jc w:val="left"/>
            </w:pPr>
            <w:r>
              <w:rPr>
                <w:b w:val="false"/>
                <w:bCs w:val="false"/>
                <w:sz w:val="18"/>
                <w:szCs w:val="18"/>
              </w:rPr>
              <w:t xml:space="preserve">Item Master</w:t>
            </w:r>
          </w:p>
        </w:tc>
        <w:tc>
          <w:tcPr>
            <w:tcW w:type="dxa" w:w="3400"/>
            <w:tcMar>
              <w:top w:type="dxa" w:w="60"/>
              <w:left w:type="dxa" w:w="100"/>
              <w:bottom w:type="dxa" w:w="60"/>
              <w:right w:type="dxa" w:w="100"/>
            </w:tcMar>
            <w:vAlign w:val="center"/>
          </w:tcPr>
          <w:p>
            <w:pPr>
              <w:jc w:val="left"/>
            </w:pPr>
            <w:r>
              <w:rPr>
                <w:b w:val="false"/>
                <w:bCs w:val="false"/>
                <w:sz w:val="18"/>
                <w:szCs w:val="18"/>
              </w:rPr>
              <w:t xml:space="preserve">Defines every purchased/manufactured/sold item.</w:t>
            </w:r>
          </w:p>
        </w:tc>
        <w:tc>
          <w:tcPr>
            <w:tcW w:type="dxa" w:w="1450"/>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tcMar>
              <w:top w:type="dxa" w:w="60"/>
              <w:left w:type="dxa" w:w="100"/>
              <w:bottom w:type="dxa" w:w="60"/>
              <w:right w:type="dxa" w:w="100"/>
            </w:tcMar>
            <w:vAlign w:val="center"/>
          </w:tcPr>
          <w:p>
            <w:pPr>
              <w:jc w:val="left"/>
            </w:pPr>
            <w:r>
              <w:rPr>
                <w:b w:val="false"/>
                <w:bCs w:val="false"/>
                <w:sz w:val="18"/>
                <w:szCs w:val="18"/>
              </w:rPr>
              <w:t xml:space="preserve">Yes</w:t>
            </w:r>
          </w:p>
        </w:tc>
        <w:tc>
          <w:tcPr>
            <w:tcW w:type="dxa" w:w="2650"/>
            <w:tcMar>
              <w:top w:type="dxa" w:w="60"/>
              <w:left w:type="dxa" w:w="100"/>
              <w:bottom w:type="dxa" w:w="60"/>
              <w:right w:type="dxa" w:w="100"/>
            </w:tcMar>
            <w:vAlign w:val="center"/>
          </w:tcPr>
          <w:p>
            <w:pPr>
              <w:jc w:val="left"/>
            </w:pPr>
            <w:r>
              <w:rPr>
                <w:b w:val="false"/>
                <w:bCs w:val="false"/>
                <w:sz w:val="18"/>
                <w:szCs w:val="18"/>
              </w:rPr>
              <w:t xml:space="preserve">BOM, Inventory Txns, Product Costing</w:t>
            </w:r>
          </w:p>
        </w:tc>
      </w:tr>
      <w:tr>
        <w:tc>
          <w:tcPr>
            <w:tcW w:type="dxa" w:w="850"/>
            <w:shd w:fill="F2F2F2" w:color="auto" w:val="clear"/>
            <w:tcMar>
              <w:top w:type="dxa" w:w="60"/>
              <w:left w:type="dxa" w:w="100"/>
              <w:bottom w:type="dxa" w:w="60"/>
              <w:right w:type="dxa" w:w="100"/>
            </w:tcMar>
            <w:vAlign w:val="center"/>
          </w:tcPr>
          <w:p>
            <w:pPr>
              <w:jc w:val="left"/>
            </w:pPr>
            <w:r>
              <w:rPr>
                <w:b w:val="false"/>
                <w:bCs w:val="false"/>
                <w:sz w:val="18"/>
                <w:szCs w:val="18"/>
              </w:rPr>
              <w:t xml:space="preserve">MD-02</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Master</w:t>
            </w:r>
          </w:p>
        </w:tc>
        <w:tc>
          <w:tcPr>
            <w:tcW w:type="dxa" w:w="34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Defines sellable/costed finished products (subset/view of Item Master).</w:t>
            </w:r>
          </w:p>
        </w:tc>
        <w:tc>
          <w:tcPr>
            <w:tcW w:type="dxa" w:w="145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65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Costing, Reports</w:t>
            </w:r>
          </w:p>
        </w:tc>
      </w:tr>
      <w:tr>
        <w:tc>
          <w:tcPr>
            <w:tcW w:type="dxa" w:w="850"/>
            <w:tcMar>
              <w:top w:type="dxa" w:w="60"/>
              <w:left w:type="dxa" w:w="100"/>
              <w:bottom w:type="dxa" w:w="60"/>
              <w:right w:type="dxa" w:w="100"/>
            </w:tcMar>
            <w:vAlign w:val="center"/>
          </w:tcPr>
          <w:p>
            <w:pPr>
              <w:jc w:val="left"/>
            </w:pPr>
            <w:r>
              <w:rPr>
                <w:b w:val="false"/>
                <w:bCs w:val="false"/>
                <w:sz w:val="18"/>
                <w:szCs w:val="18"/>
              </w:rPr>
              <w:t xml:space="preserve">MD-03</w:t>
            </w:r>
          </w:p>
        </w:tc>
        <w:tc>
          <w:tcPr>
            <w:tcW w:type="dxa" w:w="2000"/>
            <w:tcMar>
              <w:top w:type="dxa" w:w="60"/>
              <w:left w:type="dxa" w:w="100"/>
              <w:bottom w:type="dxa" w:w="60"/>
              <w:right w:type="dxa" w:w="100"/>
            </w:tcMar>
            <w:vAlign w:val="center"/>
          </w:tcPr>
          <w:p>
            <w:pPr>
              <w:jc w:val="left"/>
            </w:pPr>
            <w:r>
              <w:rPr>
                <w:b w:val="false"/>
                <w:bCs w:val="false"/>
                <w:sz w:val="18"/>
                <w:szCs w:val="18"/>
              </w:rPr>
              <w:t xml:space="preserve">Item Category</w:t>
            </w:r>
          </w:p>
        </w:tc>
        <w:tc>
          <w:tcPr>
            <w:tcW w:type="dxa" w:w="3400"/>
            <w:tcMar>
              <w:top w:type="dxa" w:w="60"/>
              <w:left w:type="dxa" w:w="100"/>
              <w:bottom w:type="dxa" w:w="60"/>
              <w:right w:type="dxa" w:w="100"/>
            </w:tcMar>
            <w:vAlign w:val="center"/>
          </w:tcPr>
          <w:p>
            <w:pPr>
              <w:jc w:val="left"/>
            </w:pPr>
            <w:r>
              <w:rPr>
                <w:b w:val="false"/>
                <w:bCs w:val="false"/>
                <w:sz w:val="18"/>
                <w:szCs w:val="18"/>
              </w:rPr>
              <w:t xml:space="preserve">Groups items for classification and reporting.</w:t>
            </w:r>
          </w:p>
        </w:tc>
        <w:tc>
          <w:tcPr>
            <w:tcW w:type="dxa" w:w="1450"/>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050"/>
            <w:tcMar>
              <w:top w:type="dxa" w:w="60"/>
              <w:left w:type="dxa" w:w="100"/>
              <w:bottom w:type="dxa" w:w="60"/>
              <w:right w:type="dxa" w:w="100"/>
            </w:tcMar>
            <w:vAlign w:val="center"/>
          </w:tcPr>
          <w:p>
            <w:pPr>
              <w:jc w:val="left"/>
            </w:pPr>
            <w:r>
              <w:rPr>
                <w:b w:val="false"/>
                <w:bCs w:val="false"/>
                <w:sz w:val="18"/>
                <w:szCs w:val="18"/>
              </w:rPr>
              <w:t xml:space="preserve">No</w:t>
            </w:r>
          </w:p>
        </w:tc>
        <w:tc>
          <w:tcPr>
            <w:tcW w:type="dxa" w:w="2650"/>
            <w:tcMar>
              <w:top w:type="dxa" w:w="60"/>
              <w:left w:type="dxa" w:w="100"/>
              <w:bottom w:type="dxa" w:w="60"/>
              <w:right w:type="dxa" w:w="100"/>
            </w:tcMar>
            <w:vAlign w:val="center"/>
          </w:tcPr>
          <w:p>
            <w:pPr>
              <w:jc w:val="left"/>
            </w:pPr>
            <w:r>
              <w:rPr>
                <w:b w:val="false"/>
                <w:bCs w:val="false"/>
                <w:sz w:val="18"/>
                <w:szCs w:val="18"/>
              </w:rPr>
              <w:t xml:space="preserve">Item Master, Reports</w:t>
            </w:r>
          </w:p>
        </w:tc>
      </w:tr>
      <w:tr>
        <w:tc>
          <w:tcPr>
            <w:tcW w:type="dxa" w:w="850"/>
            <w:shd w:fill="F2F2F2" w:color="auto" w:val="clear"/>
            <w:tcMar>
              <w:top w:type="dxa" w:w="60"/>
              <w:left w:type="dxa" w:w="100"/>
              <w:bottom w:type="dxa" w:w="60"/>
              <w:right w:type="dxa" w:w="100"/>
            </w:tcMar>
            <w:vAlign w:val="center"/>
          </w:tcPr>
          <w:p>
            <w:pPr>
              <w:jc w:val="left"/>
            </w:pPr>
            <w:r>
              <w:rPr>
                <w:b w:val="false"/>
                <w:bCs w:val="false"/>
                <w:sz w:val="18"/>
                <w:szCs w:val="18"/>
              </w:rPr>
              <w:t xml:space="preserve">MD-04</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UOM Master</w:t>
            </w:r>
          </w:p>
        </w:tc>
        <w:tc>
          <w:tcPr>
            <w:tcW w:type="dxa" w:w="34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Defines units of measure.</w:t>
            </w:r>
          </w:p>
        </w:tc>
        <w:tc>
          <w:tcPr>
            <w:tcW w:type="dxa" w:w="145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0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650"/>
            <w:shd w:fill="F2F2F2" w:color="auto" w:val="clear"/>
            <w:tcMar>
              <w:top w:type="dxa" w:w="60"/>
              <w:left w:type="dxa" w:w="100"/>
              <w:bottom w:type="dxa" w:w="60"/>
              <w:right w:type="dxa" w:w="100"/>
            </w:tcMar>
            <w:vAlign w:val="center"/>
          </w:tcPr>
          <w:p>
            <w:pPr>
              <w:jc w:val="left"/>
            </w:pPr>
            <w:r>
              <w:rPr>
                <w:b w:val="false"/>
                <w:bCs w:val="false"/>
                <w:sz w:val="18"/>
                <w:szCs w:val="18"/>
              </w:rPr>
              <w:t xml:space="preserve">Item Master, BOM, Inventory Txns</w:t>
            </w:r>
          </w:p>
        </w:tc>
      </w:tr>
      <w:tr>
        <w:tc>
          <w:tcPr>
            <w:tcW w:type="dxa" w:w="850"/>
            <w:tcMar>
              <w:top w:type="dxa" w:w="60"/>
              <w:left w:type="dxa" w:w="100"/>
              <w:bottom w:type="dxa" w:w="60"/>
              <w:right w:type="dxa" w:w="100"/>
            </w:tcMar>
            <w:vAlign w:val="center"/>
          </w:tcPr>
          <w:p>
            <w:pPr>
              <w:jc w:val="left"/>
            </w:pPr>
            <w:r>
              <w:rPr>
                <w:b w:val="false"/>
                <w:bCs w:val="false"/>
                <w:sz w:val="18"/>
                <w:szCs w:val="18"/>
              </w:rPr>
              <w:t xml:space="preserve">MD-05</w:t>
            </w:r>
          </w:p>
        </w:tc>
        <w:tc>
          <w:tcPr>
            <w:tcW w:type="dxa" w:w="2000"/>
            <w:tcMar>
              <w:top w:type="dxa" w:w="60"/>
              <w:left w:type="dxa" w:w="100"/>
              <w:bottom w:type="dxa" w:w="60"/>
              <w:right w:type="dxa" w:w="100"/>
            </w:tcMar>
            <w:vAlign w:val="center"/>
          </w:tcPr>
          <w:p>
            <w:pPr>
              <w:jc w:val="left"/>
            </w:pPr>
            <w:r>
              <w:rPr>
                <w:b w:val="false"/>
                <w:bCs w:val="false"/>
                <w:sz w:val="18"/>
                <w:szCs w:val="18"/>
              </w:rPr>
              <w:t xml:space="preserve">UOM Conversion</w:t>
            </w:r>
          </w:p>
        </w:tc>
        <w:tc>
          <w:tcPr>
            <w:tcW w:type="dxa" w:w="3400"/>
            <w:tcMar>
              <w:top w:type="dxa" w:w="60"/>
              <w:left w:type="dxa" w:w="100"/>
              <w:bottom w:type="dxa" w:w="60"/>
              <w:right w:type="dxa" w:w="100"/>
            </w:tcMar>
            <w:vAlign w:val="center"/>
          </w:tcPr>
          <w:p>
            <w:pPr>
              <w:jc w:val="left"/>
            </w:pPr>
            <w:r>
              <w:rPr>
                <w:b w:val="false"/>
                <w:bCs w:val="false"/>
                <w:sz w:val="18"/>
                <w:szCs w:val="18"/>
              </w:rPr>
              <w:t xml:space="preserve">Defines conversion factors between UOMs.</w:t>
            </w:r>
          </w:p>
        </w:tc>
        <w:tc>
          <w:tcPr>
            <w:tcW w:type="dxa" w:w="1450"/>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050"/>
            <w:tcMar>
              <w:top w:type="dxa" w:w="60"/>
              <w:left w:type="dxa" w:w="100"/>
              <w:bottom w:type="dxa" w:w="60"/>
              <w:right w:type="dxa" w:w="100"/>
            </w:tcMar>
            <w:vAlign w:val="center"/>
          </w:tcPr>
          <w:p>
            <w:pPr>
              <w:jc w:val="left"/>
            </w:pPr>
            <w:r>
              <w:rPr>
                <w:b w:val="false"/>
                <w:bCs w:val="false"/>
                <w:sz w:val="18"/>
                <w:szCs w:val="18"/>
              </w:rPr>
              <w:t xml:space="preserve">Yes</w:t>
            </w:r>
          </w:p>
        </w:tc>
        <w:tc>
          <w:tcPr>
            <w:tcW w:type="dxa" w:w="2650"/>
            <w:tcMar>
              <w:top w:type="dxa" w:w="60"/>
              <w:left w:type="dxa" w:w="100"/>
              <w:bottom w:type="dxa" w:w="60"/>
              <w:right w:type="dxa" w:w="100"/>
            </w:tcMar>
            <w:vAlign w:val="center"/>
          </w:tcPr>
          <w:p>
            <w:pPr>
              <w:jc w:val="left"/>
            </w:pPr>
            <w:r>
              <w:rPr>
                <w:b w:val="false"/>
                <w:bCs w:val="false"/>
                <w:sz w:val="18"/>
                <w:szCs w:val="18"/>
              </w:rPr>
              <w:t xml:space="preserve">BOM Explosion (FR-BOM-001), Inventory Valuation</w:t>
            </w:r>
          </w:p>
        </w:tc>
      </w:tr>
      <w:tr>
        <w:tc>
          <w:tcPr>
            <w:tcW w:type="dxa" w:w="850"/>
            <w:shd w:fill="F2F2F2" w:color="auto" w:val="clear"/>
            <w:tcMar>
              <w:top w:type="dxa" w:w="60"/>
              <w:left w:type="dxa" w:w="100"/>
              <w:bottom w:type="dxa" w:w="60"/>
              <w:right w:type="dxa" w:w="100"/>
            </w:tcMar>
            <w:vAlign w:val="center"/>
          </w:tcPr>
          <w:p>
            <w:pPr>
              <w:jc w:val="left"/>
            </w:pPr>
            <w:r>
              <w:rPr>
                <w:b w:val="false"/>
                <w:bCs w:val="false"/>
                <w:sz w:val="18"/>
                <w:szCs w:val="18"/>
              </w:rPr>
              <w:t xml:space="preserve">MD-06</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Vendor Master</w:t>
            </w:r>
          </w:p>
        </w:tc>
        <w:tc>
          <w:tcPr>
            <w:tcW w:type="dxa" w:w="34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Defines suppliers (for purchase-side data and Make-or-Buy, Phase 2).</w:t>
            </w:r>
          </w:p>
        </w:tc>
        <w:tc>
          <w:tcPr>
            <w:tcW w:type="dxa" w:w="1450"/>
            <w:shd w:fill="F2F2F2" w:color="auto" w:val="clear"/>
            <w:tcMar>
              <w:top w:type="dxa" w:w="60"/>
              <w:left w:type="dxa" w:w="100"/>
              <w:bottom w:type="dxa" w:w="60"/>
              <w:right w:type="dxa" w:w="100"/>
            </w:tcMar>
            <w:vAlign w:val="center"/>
          </w:tcPr>
          <w:p>
            <w:pPr>
              <w:jc w:val="left"/>
            </w:pPr>
            <w:r>
              <w:rPr>
                <w:b w:val="false"/>
                <w:bCs w:val="false"/>
                <w:sz w:val="18"/>
                <w:szCs w:val="18"/>
              </w:rPr>
              <w:t xml:space="preserve">Customer Admin / CMA</w:t>
            </w:r>
          </w:p>
        </w:tc>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0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650"/>
            <w:shd w:fill="F2F2F2" w:color="auto" w:val="clear"/>
            <w:tcMar>
              <w:top w:type="dxa" w:w="60"/>
              <w:left w:type="dxa" w:w="100"/>
              <w:bottom w:type="dxa" w:w="60"/>
              <w:right w:type="dxa" w:w="100"/>
            </w:tcMar>
            <w:vAlign w:val="center"/>
          </w:tcPr>
          <w:p>
            <w:pPr>
              <w:jc w:val="left"/>
            </w:pPr>
            <w:r>
              <w:rPr>
                <w:b w:val="false"/>
                <w:bCs w:val="false"/>
                <w:sz w:val="18"/>
                <w:szCs w:val="18"/>
              </w:rPr>
              <w:t xml:space="preserve">Purchase Transactions</w:t>
            </w:r>
          </w:p>
        </w:tc>
      </w:tr>
      <w:tr>
        <w:tc>
          <w:tcPr>
            <w:tcW w:type="dxa" w:w="850"/>
            <w:tcMar>
              <w:top w:type="dxa" w:w="60"/>
              <w:left w:type="dxa" w:w="100"/>
              <w:bottom w:type="dxa" w:w="60"/>
              <w:right w:type="dxa" w:w="100"/>
            </w:tcMar>
            <w:vAlign w:val="center"/>
          </w:tcPr>
          <w:p>
            <w:pPr>
              <w:jc w:val="left"/>
            </w:pPr>
            <w:r>
              <w:rPr>
                <w:b w:val="false"/>
                <w:bCs w:val="false"/>
                <w:sz w:val="18"/>
                <w:szCs w:val="18"/>
              </w:rPr>
              <w:t xml:space="preserve">MD-07</w:t>
            </w:r>
          </w:p>
        </w:tc>
        <w:tc>
          <w:tcPr>
            <w:tcW w:type="dxa" w:w="2000"/>
            <w:tcMar>
              <w:top w:type="dxa" w:w="60"/>
              <w:left w:type="dxa" w:w="100"/>
              <w:bottom w:type="dxa" w:w="60"/>
              <w:right w:type="dxa" w:w="100"/>
            </w:tcMar>
            <w:vAlign w:val="center"/>
          </w:tcPr>
          <w:p>
            <w:pPr>
              <w:jc w:val="left"/>
            </w:pPr>
            <w:r>
              <w:rPr>
                <w:b w:val="false"/>
                <w:bCs w:val="false"/>
                <w:sz w:val="18"/>
                <w:szCs w:val="18"/>
              </w:rPr>
              <w:t xml:space="preserve">Customer Master (business customer)</w:t>
            </w:r>
          </w:p>
        </w:tc>
        <w:tc>
          <w:tcPr>
            <w:tcW w:type="dxa" w:w="3400"/>
            <w:tcMar>
              <w:top w:type="dxa" w:w="60"/>
              <w:left w:type="dxa" w:w="100"/>
              <w:bottom w:type="dxa" w:w="60"/>
              <w:right w:type="dxa" w:w="100"/>
            </w:tcMar>
            <w:vAlign w:val="center"/>
          </w:tcPr>
          <w:p>
            <w:pPr>
              <w:jc w:val="left"/>
            </w:pPr>
            <w:r>
              <w:rPr>
                <w:b w:val="false"/>
                <w:bCs w:val="false"/>
                <w:sz w:val="18"/>
                <w:szCs w:val="18"/>
              </w:rPr>
              <w:t xml:space="preserve">Defines the tenant's own sales customers (distinct from the Cost360 tenant/“customer” of Section 4).</w:t>
            </w:r>
          </w:p>
        </w:tc>
        <w:tc>
          <w:tcPr>
            <w:tcW w:type="dxa" w:w="1450"/>
            <w:tcMar>
              <w:top w:type="dxa" w:w="60"/>
              <w:left w:type="dxa" w:w="100"/>
              <w:bottom w:type="dxa" w:w="60"/>
              <w:right w:type="dxa" w:w="100"/>
            </w:tcMar>
            <w:vAlign w:val="center"/>
          </w:tcPr>
          <w:p>
            <w:pPr>
              <w:jc w:val="left"/>
            </w:pPr>
            <w:r>
              <w:rPr>
                <w:b w:val="false"/>
                <w:bCs w:val="false"/>
                <w:sz w:val="18"/>
                <w:szCs w:val="18"/>
              </w:rPr>
              <w:t xml:space="preserve">Customer Admin</w:t>
            </w:r>
          </w:p>
        </w:tc>
        <w:tc>
          <w:tcPr>
            <w:tcW w:type="dxa" w:w="1200"/>
            <w:tcMar>
              <w:top w:type="dxa" w:w="60"/>
              <w:left w:type="dxa" w:w="100"/>
              <w:bottom w:type="dxa" w:w="60"/>
              <w:right w:type="dxa" w:w="100"/>
            </w:tcMar>
            <w:vAlign w:val="center"/>
          </w:tcPr>
          <w:p>
            <w:pPr>
              <w:jc w:val="left"/>
            </w:pPr>
            <w:r>
              <w:rPr>
                <w:b w:val="false"/>
                <w:bCs w:val="false"/>
                <w:sz w:val="18"/>
                <w:szCs w:val="18"/>
              </w:rPr>
              <w:t xml:space="preserve">No</w:t>
            </w:r>
          </w:p>
        </w:tc>
        <w:tc>
          <w:tcPr>
            <w:tcW w:type="dxa" w:w="1050"/>
            <w:tcMar>
              <w:top w:type="dxa" w:w="60"/>
              <w:left w:type="dxa" w:w="100"/>
              <w:bottom w:type="dxa" w:w="60"/>
              <w:right w:type="dxa" w:w="100"/>
            </w:tcMar>
            <w:vAlign w:val="center"/>
          </w:tcPr>
          <w:p>
            <w:pPr>
              <w:jc w:val="left"/>
            </w:pPr>
            <w:r>
              <w:rPr>
                <w:b w:val="false"/>
                <w:bCs w:val="false"/>
                <w:sz w:val="18"/>
                <w:szCs w:val="18"/>
              </w:rPr>
              <w:t xml:space="preserve">No</w:t>
            </w:r>
          </w:p>
        </w:tc>
        <w:tc>
          <w:tcPr>
            <w:tcW w:type="dxa" w:w="2650"/>
            <w:tcMar>
              <w:top w:type="dxa" w:w="60"/>
              <w:left w:type="dxa" w:w="100"/>
              <w:bottom w:type="dxa" w:w="60"/>
              <w:right w:type="dxa" w:w="100"/>
            </w:tcMar>
            <w:vAlign w:val="center"/>
          </w:tcPr>
          <w:p>
            <w:pPr>
              <w:jc w:val="left"/>
            </w:pPr>
            <w:r>
              <w:rPr>
                <w:b w:val="false"/>
                <w:bCs w:val="false"/>
                <w:sz w:val="18"/>
                <w:szCs w:val="18"/>
              </w:rPr>
              <w:t xml:space="preserve">Sales Transactions (Phase 2 Profitability)</w:t>
            </w:r>
          </w:p>
        </w:tc>
      </w:tr>
      <w:tr>
        <w:tc>
          <w:tcPr>
            <w:tcW w:type="dxa" w:w="850"/>
            <w:shd w:fill="F2F2F2" w:color="auto" w:val="clear"/>
            <w:tcMar>
              <w:top w:type="dxa" w:w="60"/>
              <w:left w:type="dxa" w:w="100"/>
              <w:bottom w:type="dxa" w:w="60"/>
              <w:right w:type="dxa" w:w="100"/>
            </w:tcMar>
            <w:vAlign w:val="center"/>
          </w:tcPr>
          <w:p>
            <w:pPr>
              <w:jc w:val="left"/>
            </w:pPr>
            <w:r>
              <w:rPr>
                <w:b w:val="false"/>
                <w:bCs w:val="false"/>
                <w:sz w:val="18"/>
                <w:szCs w:val="18"/>
              </w:rPr>
              <w:t xml:space="preserve">MD-08</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Account Master</w:t>
            </w:r>
          </w:p>
        </w:tc>
        <w:tc>
          <w:tcPr>
            <w:tcW w:type="dxa" w:w="3400"/>
            <w:shd w:fill="F2F2F2" w:color="auto" w:val="clear"/>
            <w:tcMar>
              <w:top w:type="dxa" w:w="60"/>
              <w:left w:type="dxa" w:w="100"/>
              <w:bottom w:type="dxa" w:w="60"/>
              <w:right w:type="dxa" w:w="100"/>
            </w:tcMar>
            <w:vAlign w:val="center"/>
          </w:tcPr>
          <w:p>
            <w:pPr>
              <w:jc w:val="left"/>
            </w:pPr>
            <w:r>
              <w:rPr>
                <w:b w:val="false"/>
                <w:bCs w:val="false"/>
                <w:sz w:val="18"/>
                <w:szCs w:val="18"/>
              </w:rPr>
              <w:t xml:space="preserve">Chart-of-accounts style GL account definitions.</w:t>
            </w:r>
          </w:p>
        </w:tc>
        <w:tc>
          <w:tcPr>
            <w:tcW w:type="dxa" w:w="145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650"/>
            <w:shd w:fill="F2F2F2" w:color="auto" w:val="clear"/>
            <w:tcMar>
              <w:top w:type="dxa" w:w="60"/>
              <w:left w:type="dxa" w:w="100"/>
              <w:bottom w:type="dxa" w:w="60"/>
              <w:right w:type="dxa" w:w="100"/>
            </w:tcMar>
            <w:vAlign w:val="center"/>
          </w:tcPr>
          <w:p>
            <w:pPr>
              <w:jc w:val="left"/>
            </w:pPr>
            <w:r>
              <w:rPr>
                <w:b w:val="false"/>
                <w:bCs w:val="false"/>
                <w:sz w:val="18"/>
                <w:szCs w:val="18"/>
              </w:rPr>
              <w:t xml:space="preserve">Trial Balance, GL Classification</w:t>
            </w:r>
          </w:p>
        </w:tc>
      </w:tr>
      <w:tr>
        <w:tc>
          <w:tcPr>
            <w:tcW w:type="dxa" w:w="850"/>
            <w:tcMar>
              <w:top w:type="dxa" w:w="60"/>
              <w:left w:type="dxa" w:w="100"/>
              <w:bottom w:type="dxa" w:w="60"/>
              <w:right w:type="dxa" w:w="100"/>
            </w:tcMar>
            <w:vAlign w:val="center"/>
          </w:tcPr>
          <w:p>
            <w:pPr>
              <w:jc w:val="left"/>
            </w:pPr>
            <w:r>
              <w:rPr>
                <w:b w:val="false"/>
                <w:bCs w:val="false"/>
                <w:sz w:val="18"/>
                <w:szCs w:val="18"/>
              </w:rPr>
              <w:t xml:space="preserve">MD-09</w:t>
            </w:r>
          </w:p>
        </w:tc>
        <w:tc>
          <w:tcPr>
            <w:tcW w:type="dxa" w:w="2000"/>
            <w:tcMar>
              <w:top w:type="dxa" w:w="60"/>
              <w:left w:type="dxa" w:w="100"/>
              <w:bottom w:type="dxa" w:w="60"/>
              <w:right w:type="dxa" w:w="100"/>
            </w:tcMar>
            <w:vAlign w:val="center"/>
          </w:tcPr>
          <w:p>
            <w:pPr>
              <w:jc w:val="left"/>
            </w:pPr>
            <w:r>
              <w:rPr>
                <w:b w:val="false"/>
                <w:bCs w:val="false"/>
                <w:sz w:val="18"/>
                <w:szCs w:val="18"/>
              </w:rPr>
              <w:t xml:space="preserve">Cost Centre Master</w:t>
            </w:r>
          </w:p>
        </w:tc>
        <w:tc>
          <w:tcPr>
            <w:tcW w:type="dxa" w:w="3400"/>
            <w:tcMar>
              <w:top w:type="dxa" w:w="60"/>
              <w:left w:type="dxa" w:w="100"/>
              <w:bottom w:type="dxa" w:w="60"/>
              <w:right w:type="dxa" w:w="100"/>
            </w:tcMar>
            <w:vAlign w:val="center"/>
          </w:tcPr>
          <w:p>
            <w:pPr>
              <w:jc w:val="left"/>
            </w:pPr>
            <w:r>
              <w:rPr>
                <w:b w:val="false"/>
                <w:bCs w:val="false"/>
                <w:sz w:val="18"/>
                <w:szCs w:val="18"/>
              </w:rPr>
              <w:t xml:space="preserve">Defines cost centres for overhead pooling and analytics.</w:t>
            </w:r>
          </w:p>
        </w:tc>
        <w:tc>
          <w:tcPr>
            <w:tcW w:type="dxa" w:w="1450"/>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tcMar>
              <w:top w:type="dxa" w:w="60"/>
              <w:left w:type="dxa" w:w="100"/>
              <w:bottom w:type="dxa" w:w="60"/>
              <w:right w:type="dxa" w:w="100"/>
            </w:tcMar>
            <w:vAlign w:val="center"/>
          </w:tcPr>
          <w:p>
            <w:pPr>
              <w:jc w:val="left"/>
            </w:pPr>
            <w:r>
              <w:rPr>
                <w:b w:val="false"/>
                <w:bCs w:val="false"/>
                <w:sz w:val="18"/>
                <w:szCs w:val="18"/>
              </w:rPr>
              <w:t xml:space="preserve">No</w:t>
            </w:r>
          </w:p>
        </w:tc>
        <w:tc>
          <w:tcPr>
            <w:tcW w:type="dxa" w:w="2650"/>
            <w:tcMar>
              <w:top w:type="dxa" w:w="60"/>
              <w:left w:type="dxa" w:w="100"/>
              <w:bottom w:type="dxa" w:w="60"/>
              <w:right w:type="dxa" w:w="100"/>
            </w:tcMar>
            <w:vAlign w:val="center"/>
          </w:tcPr>
          <w:p>
            <w:pPr>
              <w:jc w:val="left"/>
            </w:pPr>
            <w:r>
              <w:rPr>
                <w:b w:val="false"/>
                <w:bCs w:val="false"/>
                <w:sz w:val="18"/>
                <w:szCs w:val="18"/>
              </w:rPr>
              <w:t xml:space="preserve">Overhead Allocation, Cost Centre Analytics</w:t>
            </w:r>
          </w:p>
        </w:tc>
      </w:tr>
      <w:tr>
        <w:tc>
          <w:tcPr>
            <w:tcW w:type="dxa" w:w="850"/>
            <w:shd w:fill="F2F2F2" w:color="auto" w:val="clear"/>
            <w:tcMar>
              <w:top w:type="dxa" w:w="60"/>
              <w:left w:type="dxa" w:w="100"/>
              <w:bottom w:type="dxa" w:w="60"/>
              <w:right w:type="dxa" w:w="100"/>
            </w:tcMar>
            <w:vAlign w:val="center"/>
          </w:tcPr>
          <w:p>
            <w:pPr>
              <w:jc w:val="left"/>
            </w:pPr>
            <w:r>
              <w:rPr>
                <w:b w:val="false"/>
                <w:bCs w:val="false"/>
                <w:sz w:val="18"/>
                <w:szCs w:val="18"/>
              </w:rPr>
              <w:t xml:space="preserve">MD-10</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Profit Centre Master</w:t>
            </w:r>
          </w:p>
        </w:tc>
        <w:tc>
          <w:tcPr>
            <w:tcW w:type="dxa" w:w="34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Defines profit centres for management reporting.</w:t>
            </w:r>
          </w:p>
        </w:tc>
        <w:tc>
          <w:tcPr>
            <w:tcW w:type="dxa" w:w="145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0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650"/>
            <w:shd w:fill="F2F2F2" w:color="auto" w:val="clear"/>
            <w:tcMar>
              <w:top w:type="dxa" w:w="60"/>
              <w:left w:type="dxa" w:w="100"/>
              <w:bottom w:type="dxa" w:w="60"/>
              <w:right w:type="dxa" w:w="100"/>
            </w:tcMar>
            <w:vAlign w:val="center"/>
          </w:tcPr>
          <w:p>
            <w:pPr>
              <w:jc w:val="left"/>
            </w:pPr>
            <w:r>
              <w:rPr>
                <w:b w:val="false"/>
                <w:bCs w:val="false"/>
                <w:sz w:val="18"/>
                <w:szCs w:val="18"/>
              </w:rPr>
              <w:t xml:space="preserve">Management Dashboard</w:t>
            </w:r>
          </w:p>
        </w:tc>
      </w:tr>
      <w:tr>
        <w:tc>
          <w:tcPr>
            <w:tcW w:type="dxa" w:w="850"/>
            <w:tcMar>
              <w:top w:type="dxa" w:w="60"/>
              <w:left w:type="dxa" w:w="100"/>
              <w:bottom w:type="dxa" w:w="60"/>
              <w:right w:type="dxa" w:w="100"/>
            </w:tcMar>
            <w:vAlign w:val="center"/>
          </w:tcPr>
          <w:p>
            <w:pPr>
              <w:jc w:val="left"/>
            </w:pPr>
            <w:r>
              <w:rPr>
                <w:b w:val="false"/>
                <w:bCs w:val="false"/>
                <w:sz w:val="18"/>
                <w:szCs w:val="18"/>
              </w:rPr>
              <w:t xml:space="preserve">MD-11</w:t>
            </w:r>
          </w:p>
        </w:tc>
        <w:tc>
          <w:tcPr>
            <w:tcW w:type="dxa" w:w="2000"/>
            <w:tcMar>
              <w:top w:type="dxa" w:w="60"/>
              <w:left w:type="dxa" w:w="100"/>
              <w:bottom w:type="dxa" w:w="60"/>
              <w:right w:type="dxa" w:w="100"/>
            </w:tcMar>
            <w:vAlign w:val="center"/>
          </w:tcPr>
          <w:p>
            <w:pPr>
              <w:jc w:val="left"/>
            </w:pPr>
            <w:r>
              <w:rPr>
                <w:b w:val="false"/>
                <w:bCs w:val="false"/>
                <w:sz w:val="18"/>
                <w:szCs w:val="18"/>
              </w:rPr>
              <w:t xml:space="preserve">GL Classification</w:t>
            </w:r>
          </w:p>
        </w:tc>
        <w:tc>
          <w:tcPr>
            <w:tcW w:type="dxa" w:w="3400"/>
            <w:tcMar>
              <w:top w:type="dxa" w:w="60"/>
              <w:left w:type="dxa" w:w="100"/>
              <w:bottom w:type="dxa" w:w="60"/>
              <w:right w:type="dxa" w:w="100"/>
            </w:tcMar>
            <w:vAlign w:val="center"/>
          </w:tcPr>
          <w:p>
            <w:pPr>
              <w:jc w:val="left"/>
            </w:pPr>
            <w:r>
              <w:rPr>
                <w:b w:val="false"/>
                <w:bCs w:val="false"/>
                <w:sz w:val="18"/>
                <w:szCs w:val="18"/>
              </w:rPr>
              <w:t xml:space="preserve">Maps GL accounts to cost-relevant categories (material, labour, overhead, etc.).</w:t>
            </w:r>
          </w:p>
        </w:tc>
        <w:tc>
          <w:tcPr>
            <w:tcW w:type="dxa" w:w="1450"/>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tcMar>
              <w:top w:type="dxa" w:w="60"/>
              <w:left w:type="dxa" w:w="100"/>
              <w:bottom w:type="dxa" w:w="60"/>
              <w:right w:type="dxa" w:w="100"/>
            </w:tcMar>
            <w:vAlign w:val="center"/>
          </w:tcPr>
          <w:p>
            <w:pPr>
              <w:jc w:val="left"/>
            </w:pPr>
            <w:r>
              <w:rPr>
                <w:b w:val="false"/>
                <w:bCs w:val="false"/>
                <w:sz w:val="18"/>
                <w:szCs w:val="18"/>
              </w:rPr>
              <w:t xml:space="preserve">Yes</w:t>
            </w:r>
          </w:p>
        </w:tc>
        <w:tc>
          <w:tcPr>
            <w:tcW w:type="dxa" w:w="2650"/>
            <w:tcMar>
              <w:top w:type="dxa" w:w="60"/>
              <w:left w:type="dxa" w:w="100"/>
              <w:bottom w:type="dxa" w:w="60"/>
              <w:right w:type="dxa" w:w="100"/>
            </w:tcMar>
            <w:vAlign w:val="center"/>
          </w:tcPr>
          <w:p>
            <w:pPr>
              <w:jc w:val="left"/>
            </w:pPr>
            <w:r>
              <w:rPr>
                <w:b w:val="false"/>
                <w:bCs w:val="false"/>
                <w:sz w:val="18"/>
                <w:szCs w:val="18"/>
              </w:rPr>
              <w:t xml:space="preserve">Overhead Allocation, Reconciliation</w:t>
            </w:r>
          </w:p>
        </w:tc>
      </w:tr>
      <w:tr>
        <w:tc>
          <w:tcPr>
            <w:tcW w:type="dxa" w:w="850"/>
            <w:shd w:fill="F2F2F2" w:color="auto" w:val="clear"/>
            <w:tcMar>
              <w:top w:type="dxa" w:w="60"/>
              <w:left w:type="dxa" w:w="100"/>
              <w:bottom w:type="dxa" w:w="60"/>
              <w:right w:type="dxa" w:w="100"/>
            </w:tcMar>
            <w:vAlign w:val="center"/>
          </w:tcPr>
          <w:p>
            <w:pPr>
              <w:jc w:val="left"/>
            </w:pPr>
            <w:r>
              <w:rPr>
                <w:b w:val="false"/>
                <w:bCs w:val="false"/>
                <w:sz w:val="18"/>
                <w:szCs w:val="18"/>
              </w:rPr>
              <w:t xml:space="preserve">MD-12</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Cost Component Master</w:t>
            </w:r>
          </w:p>
        </w:tc>
        <w:tc>
          <w:tcPr>
            <w:tcW w:type="dxa" w:w="34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Defines the standard cost component categories (material, labour, machine, overhead, other direct).</w:t>
            </w:r>
          </w:p>
        </w:tc>
        <w:tc>
          <w:tcPr>
            <w:tcW w:type="dxa" w:w="145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65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Costing (BR-COST-001)</w:t>
            </w:r>
          </w:p>
        </w:tc>
      </w:tr>
      <w:tr>
        <w:tc>
          <w:tcPr>
            <w:tcW w:type="dxa" w:w="850"/>
            <w:tcMar>
              <w:top w:type="dxa" w:w="60"/>
              <w:left w:type="dxa" w:w="100"/>
              <w:bottom w:type="dxa" w:w="60"/>
              <w:right w:type="dxa" w:w="100"/>
            </w:tcMar>
            <w:vAlign w:val="center"/>
          </w:tcPr>
          <w:p>
            <w:pPr>
              <w:jc w:val="left"/>
            </w:pPr>
            <w:r>
              <w:rPr>
                <w:b w:val="false"/>
                <w:bCs w:val="false"/>
                <w:sz w:val="18"/>
                <w:szCs w:val="18"/>
              </w:rPr>
              <w:t xml:space="preserve">MD-13</w:t>
            </w:r>
          </w:p>
        </w:tc>
        <w:tc>
          <w:tcPr>
            <w:tcW w:type="dxa" w:w="2000"/>
            <w:tcMar>
              <w:top w:type="dxa" w:w="60"/>
              <w:left w:type="dxa" w:w="100"/>
              <w:bottom w:type="dxa" w:w="60"/>
              <w:right w:type="dxa" w:w="100"/>
            </w:tcMar>
            <w:vAlign w:val="center"/>
          </w:tcPr>
          <w:p>
            <w:pPr>
              <w:jc w:val="left"/>
            </w:pPr>
            <w:r>
              <w:rPr>
                <w:b w:val="false"/>
                <w:bCs w:val="false"/>
                <w:sz w:val="18"/>
                <w:szCs w:val="18"/>
              </w:rPr>
              <w:t xml:space="preserve">Labour Rate Master</w:t>
            </w:r>
          </w:p>
        </w:tc>
        <w:tc>
          <w:tcPr>
            <w:tcW w:type="dxa" w:w="3400"/>
            <w:tcMar>
              <w:top w:type="dxa" w:w="60"/>
              <w:left w:type="dxa" w:w="100"/>
              <w:bottom w:type="dxa" w:w="60"/>
              <w:right w:type="dxa" w:w="100"/>
            </w:tcMar>
            <w:vAlign w:val="center"/>
          </w:tcPr>
          <w:p>
            <w:pPr>
              <w:jc w:val="left"/>
            </w:pPr>
            <w:r>
              <w:rPr>
                <w:b w:val="false"/>
                <w:bCs w:val="false"/>
                <w:sz w:val="18"/>
                <w:szCs w:val="18"/>
              </w:rPr>
              <w:t xml:space="preserve">Defines labour cost rates by grade/cost centre.</w:t>
            </w:r>
          </w:p>
        </w:tc>
        <w:tc>
          <w:tcPr>
            <w:tcW w:type="dxa" w:w="1450"/>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tcMar>
              <w:top w:type="dxa" w:w="60"/>
              <w:left w:type="dxa" w:w="100"/>
              <w:bottom w:type="dxa" w:w="60"/>
              <w:right w:type="dxa" w:w="100"/>
            </w:tcMar>
            <w:vAlign w:val="center"/>
          </w:tcPr>
          <w:p>
            <w:pPr>
              <w:jc w:val="left"/>
            </w:pPr>
            <w:r>
              <w:rPr>
                <w:b w:val="false"/>
                <w:bCs w:val="false"/>
                <w:sz w:val="18"/>
                <w:szCs w:val="18"/>
              </w:rPr>
              <w:t xml:space="preserve">Yes</w:t>
            </w:r>
          </w:p>
        </w:tc>
        <w:tc>
          <w:tcPr>
            <w:tcW w:type="dxa" w:w="2650"/>
            <w:tcMar>
              <w:top w:type="dxa" w:w="60"/>
              <w:left w:type="dxa" w:w="100"/>
              <w:bottom w:type="dxa" w:w="60"/>
              <w:right w:type="dxa" w:w="100"/>
            </w:tcMar>
            <w:vAlign w:val="center"/>
          </w:tcPr>
          <w:p>
            <w:pPr>
              <w:jc w:val="left"/>
            </w:pPr>
            <w:r>
              <w:rPr>
                <w:b w:val="false"/>
                <w:bCs w:val="false"/>
                <w:sz w:val="18"/>
                <w:szCs w:val="18"/>
              </w:rPr>
              <w:t xml:space="preserve">Product Costing</w:t>
            </w:r>
          </w:p>
        </w:tc>
      </w:tr>
      <w:tr>
        <w:tc>
          <w:tcPr>
            <w:tcW w:type="dxa" w:w="850"/>
            <w:shd w:fill="F2F2F2" w:color="auto" w:val="clear"/>
            <w:tcMar>
              <w:top w:type="dxa" w:w="60"/>
              <w:left w:type="dxa" w:w="100"/>
              <w:bottom w:type="dxa" w:w="60"/>
              <w:right w:type="dxa" w:w="100"/>
            </w:tcMar>
            <w:vAlign w:val="center"/>
          </w:tcPr>
          <w:p>
            <w:pPr>
              <w:jc w:val="left"/>
            </w:pPr>
            <w:r>
              <w:rPr>
                <w:b w:val="false"/>
                <w:bCs w:val="false"/>
                <w:sz w:val="18"/>
                <w:szCs w:val="18"/>
              </w:rPr>
              <w:t xml:space="preserve">MD-14</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Machine Rate Master</w:t>
            </w:r>
          </w:p>
        </w:tc>
        <w:tc>
          <w:tcPr>
            <w:tcW w:type="dxa" w:w="34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Defines machine/process cost rates.</w:t>
            </w:r>
          </w:p>
        </w:tc>
        <w:tc>
          <w:tcPr>
            <w:tcW w:type="dxa" w:w="145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65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Costing</w:t>
            </w:r>
          </w:p>
        </w:tc>
      </w:tr>
      <w:tr>
        <w:tc>
          <w:tcPr>
            <w:tcW w:type="dxa" w:w="850"/>
            <w:tcMar>
              <w:top w:type="dxa" w:w="60"/>
              <w:left w:type="dxa" w:w="100"/>
              <w:bottom w:type="dxa" w:w="60"/>
              <w:right w:type="dxa" w:w="100"/>
            </w:tcMar>
            <w:vAlign w:val="center"/>
          </w:tcPr>
          <w:p>
            <w:pPr>
              <w:jc w:val="left"/>
            </w:pPr>
            <w:r>
              <w:rPr>
                <w:b w:val="false"/>
                <w:bCs w:val="false"/>
                <w:sz w:val="18"/>
                <w:szCs w:val="18"/>
              </w:rPr>
              <w:t xml:space="preserve">MD-15</w:t>
            </w:r>
          </w:p>
        </w:tc>
        <w:tc>
          <w:tcPr>
            <w:tcW w:type="dxa" w:w="2000"/>
            <w:tcMar>
              <w:top w:type="dxa" w:w="60"/>
              <w:left w:type="dxa" w:w="100"/>
              <w:bottom w:type="dxa" w:w="60"/>
              <w:right w:type="dxa" w:w="100"/>
            </w:tcMar>
            <w:vAlign w:val="center"/>
          </w:tcPr>
          <w:p>
            <w:pPr>
              <w:jc w:val="left"/>
            </w:pPr>
            <w:r>
              <w:rPr>
                <w:b w:val="false"/>
                <w:bCs w:val="false"/>
                <w:sz w:val="18"/>
                <w:szCs w:val="18"/>
              </w:rPr>
              <w:t xml:space="preserve">BOM Master</w:t>
            </w:r>
          </w:p>
        </w:tc>
        <w:tc>
          <w:tcPr>
            <w:tcW w:type="dxa" w:w="3400"/>
            <w:tcMar>
              <w:top w:type="dxa" w:w="60"/>
              <w:left w:type="dxa" w:w="100"/>
              <w:bottom w:type="dxa" w:w="60"/>
              <w:right w:type="dxa" w:w="100"/>
            </w:tcMar>
            <w:vAlign w:val="center"/>
          </w:tcPr>
          <w:p>
            <w:pPr>
              <w:jc w:val="left"/>
            </w:pPr>
            <w:r>
              <w:rPr>
                <w:b w:val="false"/>
                <w:bCs w:val="false"/>
                <w:sz w:val="18"/>
                <w:szCs w:val="18"/>
              </w:rPr>
              <w:t xml:space="preserve">Defines the multi-level bill of material per item.</w:t>
            </w:r>
          </w:p>
        </w:tc>
        <w:tc>
          <w:tcPr>
            <w:tcW w:type="dxa" w:w="1450"/>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tcMar>
              <w:top w:type="dxa" w:w="60"/>
              <w:left w:type="dxa" w:w="100"/>
              <w:bottom w:type="dxa" w:w="60"/>
              <w:right w:type="dxa" w:w="100"/>
            </w:tcMar>
            <w:vAlign w:val="center"/>
          </w:tcPr>
          <w:p>
            <w:pPr>
              <w:jc w:val="left"/>
            </w:pPr>
            <w:r>
              <w:rPr>
                <w:b w:val="false"/>
                <w:bCs w:val="false"/>
                <w:sz w:val="18"/>
                <w:szCs w:val="18"/>
              </w:rPr>
              <w:t xml:space="preserve">Yes</w:t>
            </w:r>
          </w:p>
        </w:tc>
        <w:tc>
          <w:tcPr>
            <w:tcW w:type="dxa" w:w="2650"/>
            <w:tcMar>
              <w:top w:type="dxa" w:w="60"/>
              <w:left w:type="dxa" w:w="100"/>
              <w:bottom w:type="dxa" w:w="60"/>
              <w:right w:type="dxa" w:w="100"/>
            </w:tcMar>
            <w:vAlign w:val="center"/>
          </w:tcPr>
          <w:p>
            <w:pPr>
              <w:jc w:val="left"/>
            </w:pPr>
            <w:r>
              <w:rPr>
                <w:b w:val="false"/>
                <w:bCs w:val="false"/>
                <w:sz w:val="18"/>
                <w:szCs w:val="18"/>
              </w:rPr>
              <w:t xml:space="preserve">BOM Explosion, Cost Roll-up</w:t>
            </w:r>
          </w:p>
        </w:tc>
      </w:tr>
      <w:tr>
        <w:tc>
          <w:tcPr>
            <w:tcW w:type="dxa" w:w="850"/>
            <w:shd w:fill="F2F2F2" w:color="auto" w:val="clear"/>
            <w:tcMar>
              <w:top w:type="dxa" w:w="60"/>
              <w:left w:type="dxa" w:w="100"/>
              <w:bottom w:type="dxa" w:w="60"/>
              <w:right w:type="dxa" w:w="100"/>
            </w:tcMar>
            <w:vAlign w:val="center"/>
          </w:tcPr>
          <w:p>
            <w:pPr>
              <w:jc w:val="left"/>
            </w:pPr>
            <w:r>
              <w:rPr>
                <w:b w:val="false"/>
                <w:bCs w:val="false"/>
                <w:sz w:val="18"/>
                <w:szCs w:val="18"/>
              </w:rPr>
              <w:t xml:space="preserve">MD-16</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Standard Cost Master</w:t>
            </w:r>
          </w:p>
        </w:tc>
        <w:tc>
          <w:tcPr>
            <w:tcW w:type="dxa" w:w="3400"/>
            <w:shd w:fill="F2F2F2" w:color="auto" w:val="clear"/>
            <w:tcMar>
              <w:top w:type="dxa" w:w="60"/>
              <w:left w:type="dxa" w:w="100"/>
              <w:bottom w:type="dxa" w:w="60"/>
              <w:right w:type="dxa" w:w="100"/>
            </w:tcMar>
            <w:vAlign w:val="center"/>
          </w:tcPr>
          <w:p>
            <w:pPr>
              <w:jc w:val="left"/>
            </w:pPr>
            <w:r>
              <w:rPr>
                <w:b w:val="false"/>
                <w:bCs w:val="false"/>
                <w:sz w:val="18"/>
                <w:szCs w:val="18"/>
              </w:rPr>
              <w:t xml:space="preserve">Defines the standard cost per item/component for standard-mode costing.</w:t>
            </w:r>
          </w:p>
        </w:tc>
        <w:tc>
          <w:tcPr>
            <w:tcW w:type="dxa" w:w="145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265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Costing (Standard mode), Standard vs Actual</w:t>
            </w:r>
          </w:p>
        </w:tc>
      </w:tr>
      <w:tr>
        <w:tc>
          <w:tcPr>
            <w:tcW w:type="dxa" w:w="850"/>
            <w:tcMar>
              <w:top w:type="dxa" w:w="60"/>
              <w:left w:type="dxa" w:w="100"/>
              <w:bottom w:type="dxa" w:w="60"/>
              <w:right w:type="dxa" w:w="100"/>
            </w:tcMar>
            <w:vAlign w:val="center"/>
          </w:tcPr>
          <w:p>
            <w:pPr>
              <w:jc w:val="left"/>
            </w:pPr>
            <w:r>
              <w:rPr>
                <w:b w:val="false"/>
                <w:bCs w:val="false"/>
                <w:sz w:val="18"/>
                <w:szCs w:val="18"/>
              </w:rPr>
              <w:t xml:space="preserve">MD-17</w:t>
            </w:r>
          </w:p>
        </w:tc>
        <w:tc>
          <w:tcPr>
            <w:tcW w:type="dxa" w:w="2000"/>
            <w:tcMar>
              <w:top w:type="dxa" w:w="60"/>
              <w:left w:type="dxa" w:w="100"/>
              <w:bottom w:type="dxa" w:w="60"/>
              <w:right w:type="dxa" w:w="100"/>
            </w:tcMar>
            <w:vAlign w:val="center"/>
          </w:tcPr>
          <w:p>
            <w:pPr>
              <w:jc w:val="left"/>
            </w:pPr>
            <w:r>
              <w:rPr>
                <w:b w:val="false"/>
                <w:bCs w:val="false"/>
                <w:sz w:val="18"/>
                <w:szCs w:val="18"/>
              </w:rPr>
              <w:t xml:space="preserve">Allocation Rule Master</w:t>
            </w:r>
          </w:p>
        </w:tc>
        <w:tc>
          <w:tcPr>
            <w:tcW w:type="dxa" w:w="3400"/>
            <w:tcMar>
              <w:top w:type="dxa" w:w="60"/>
              <w:left w:type="dxa" w:w="100"/>
              <w:bottom w:type="dxa" w:w="60"/>
              <w:right w:type="dxa" w:w="100"/>
            </w:tcMar>
            <w:vAlign w:val="center"/>
          </w:tcPr>
          <w:p>
            <w:pPr>
              <w:jc w:val="left"/>
            </w:pPr>
            <w:r>
              <w:rPr>
                <w:b w:val="false"/>
                <w:bCs w:val="false"/>
                <w:sz w:val="18"/>
                <w:szCs w:val="18"/>
              </w:rPr>
              <w:t xml:space="preserve">Defines overhead allocation basis and driver per cost pool.</w:t>
            </w:r>
          </w:p>
        </w:tc>
        <w:tc>
          <w:tcPr>
            <w:tcW w:type="dxa" w:w="1450"/>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tcMar>
              <w:top w:type="dxa" w:w="60"/>
              <w:left w:type="dxa" w:w="100"/>
              <w:bottom w:type="dxa" w:w="60"/>
              <w:right w:type="dxa" w:w="100"/>
            </w:tcMar>
            <w:vAlign w:val="center"/>
          </w:tcPr>
          <w:p>
            <w:pPr>
              <w:jc w:val="left"/>
            </w:pPr>
            <w:r>
              <w:rPr>
                <w:b w:val="false"/>
                <w:bCs w:val="false"/>
                <w:sz w:val="18"/>
                <w:szCs w:val="18"/>
              </w:rPr>
              <w:t xml:space="preserve">Yes</w:t>
            </w:r>
          </w:p>
        </w:tc>
        <w:tc>
          <w:tcPr>
            <w:tcW w:type="dxa" w:w="1050"/>
            <w:tcMar>
              <w:top w:type="dxa" w:w="60"/>
              <w:left w:type="dxa" w:w="100"/>
              <w:bottom w:type="dxa" w:w="60"/>
              <w:right w:type="dxa" w:w="100"/>
            </w:tcMar>
            <w:vAlign w:val="center"/>
          </w:tcPr>
          <w:p>
            <w:pPr>
              <w:jc w:val="left"/>
            </w:pPr>
            <w:r>
              <w:rPr>
                <w:b w:val="false"/>
                <w:bCs w:val="false"/>
                <w:sz w:val="18"/>
                <w:szCs w:val="18"/>
              </w:rPr>
              <w:t xml:space="preserve">Yes</w:t>
            </w:r>
          </w:p>
        </w:tc>
        <w:tc>
          <w:tcPr>
            <w:tcW w:type="dxa" w:w="2650"/>
            <w:tcMar>
              <w:top w:type="dxa" w:w="60"/>
              <w:left w:type="dxa" w:w="100"/>
              <w:bottom w:type="dxa" w:w="60"/>
              <w:right w:type="dxa" w:w="100"/>
            </w:tcMar>
            <w:vAlign w:val="center"/>
          </w:tcPr>
          <w:p>
            <w:pPr>
              <w:jc w:val="left"/>
            </w:pPr>
            <w:r>
              <w:rPr>
                <w:b w:val="false"/>
                <w:bCs w:val="false"/>
                <w:sz w:val="18"/>
                <w:szCs w:val="18"/>
              </w:rPr>
              <w:t xml:space="preserve">Overhead Allocation</w:t>
            </w:r>
          </w:p>
        </w:tc>
      </w:tr>
      <w:tr>
        <w:tc>
          <w:tcPr>
            <w:tcW w:type="dxa" w:w="850"/>
            <w:shd w:fill="F2F2F2" w:color="auto" w:val="clear"/>
            <w:tcMar>
              <w:top w:type="dxa" w:w="60"/>
              <w:left w:type="dxa" w:w="100"/>
              <w:bottom w:type="dxa" w:w="60"/>
              <w:right w:type="dxa" w:w="100"/>
            </w:tcMar>
            <w:vAlign w:val="center"/>
          </w:tcPr>
          <w:p>
            <w:pPr>
              <w:jc w:val="left"/>
            </w:pPr>
            <w:r>
              <w:rPr>
                <w:b w:val="false"/>
                <w:bCs w:val="false"/>
                <w:sz w:val="18"/>
                <w:szCs w:val="18"/>
              </w:rPr>
              <w:t xml:space="preserve">MD-18</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Source System Master</w:t>
            </w:r>
          </w:p>
        </w:tc>
        <w:tc>
          <w:tcPr>
            <w:tcW w:type="dxa" w:w="3400"/>
            <w:shd w:fill="F2F2F2" w:color="auto" w:val="clear"/>
            <w:tcMar>
              <w:top w:type="dxa" w:w="60"/>
              <w:left w:type="dxa" w:w="100"/>
              <w:bottom w:type="dxa" w:w="60"/>
              <w:right w:type="dxa" w:w="100"/>
            </w:tcMar>
            <w:vAlign w:val="center"/>
          </w:tcPr>
          <w:p>
            <w:pPr>
              <w:jc w:val="left"/>
            </w:pPr>
            <w:r>
              <w:rPr>
                <w:b w:val="false"/>
                <w:bCs w:val="false"/>
                <w:sz w:val="18"/>
                <w:szCs w:val="18"/>
              </w:rPr>
              <w:t xml:space="preserve">Registers a customer's source system/file layout for mapping reuse.</w:t>
            </w:r>
          </w:p>
        </w:tc>
        <w:tc>
          <w:tcPr>
            <w:tcW w:type="dxa" w:w="145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120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10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265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Centre, Mapping Configuration</w:t>
            </w:r>
          </w:p>
        </w:tc>
      </w:tr>
    </w:tbl>
    <w:p>
      <w:pPr>
        <w:spacing w:after="200"/>
      </w:pPr>
    </w:p>
    <w:p>
      <w:pPr>
        <w:pStyle w:val="Heading2"/>
        <w:spacing w:after="160" w:before="320"/>
      </w:pPr>
      <w:r>
        <w:rPr>
          <w:b/>
          <w:bCs/>
        </w:rPr>
        <w:t xml:space="preserve">10.1 Detailed Specification — Item Master (MD-01)</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400"/>
            <w:shd w:fill="1F3864" w:color="auto" w:val="clear"/>
            <w:tcMar>
              <w:top w:type="dxa" w:w="60"/>
              <w:left w:type="dxa" w:w="100"/>
              <w:bottom w:type="dxa" w:w="60"/>
              <w:right w:type="dxa" w:w="100"/>
            </w:tcMar>
            <w:vAlign w:val="center"/>
          </w:tcPr>
          <w:p>
            <w:pPr>
              <w:jc w:val="left"/>
            </w:pPr>
            <w:r>
              <w:rPr>
                <w:b/>
                <w:bCs/>
                <w:color w:val="FFFFFF"/>
                <w:sz w:val="18"/>
                <w:szCs w:val="18"/>
              </w:rPr>
              <w:t xml:space="preserve">Detail</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400"/>
            <w:tcMar>
              <w:top w:type="dxa" w:w="60"/>
              <w:left w:type="dxa" w:w="100"/>
              <w:bottom w:type="dxa" w:w="60"/>
              <w:right w:type="dxa" w:w="100"/>
            </w:tcMar>
            <w:vAlign w:val="center"/>
          </w:tcPr>
          <w:p>
            <w:pPr>
              <w:jc w:val="left"/>
            </w:pPr>
            <w:r>
              <w:rPr>
                <w:b w:val="false"/>
                <w:bCs w:val="false"/>
                <w:sz w:val="18"/>
                <w:szCs w:val="18"/>
              </w:rPr>
              <w:t xml:space="preserve">System of record for every item Cost360 needs to cost, consume, produce, or hold in inventory.</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Fields (core)</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Item Code (unique, tenant-scoped), Item Name, Item Category, Base UOM, Item Type (Raw Material / Semi-Finished / Finished / Service), Valuation Method (FIFO/WAC/MWAC/Specific), Costing Status (Active/Inactive), Plant applicability.</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Mandatory fields</w:t>
            </w:r>
          </w:p>
        </w:tc>
        <w:tc>
          <w:tcPr>
            <w:tcW w:type="dxa" w:w="7400"/>
            <w:tcMar>
              <w:top w:type="dxa" w:w="60"/>
              <w:left w:type="dxa" w:w="100"/>
              <w:bottom w:type="dxa" w:w="60"/>
              <w:right w:type="dxa" w:w="100"/>
            </w:tcMar>
            <w:vAlign w:val="center"/>
          </w:tcPr>
          <w:p>
            <w:pPr>
              <w:jc w:val="left"/>
            </w:pPr>
            <w:r>
              <w:rPr>
                <w:b w:val="false"/>
                <w:bCs w:val="false"/>
                <w:sz w:val="18"/>
                <w:szCs w:val="18"/>
              </w:rPr>
              <w:t xml:space="preserve">Item Code, Item Name, Item Category, Base UOM, Item Type, Valuation Method.</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Item Code unique within tenant; Valuation Method must be one of the four supported methods; Item Type determines which downstream masters apply (e.g. only Finished/Semi-Finished items can have a BOM).</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Effective dating</w:t>
            </w:r>
          </w:p>
        </w:tc>
        <w:tc>
          <w:tcPr>
            <w:tcW w:type="dxa" w:w="7400"/>
            <w:tcMar>
              <w:top w:type="dxa" w:w="60"/>
              <w:left w:type="dxa" w:w="100"/>
              <w:bottom w:type="dxa" w:w="60"/>
              <w:right w:type="dxa" w:w="100"/>
            </w:tcMar>
            <w:vAlign w:val="center"/>
          </w:tcPr>
          <w:p>
            <w:pPr>
              <w:jc w:val="left"/>
            </w:pPr>
            <w:r>
              <w:rPr>
                <w:b w:val="false"/>
                <w:bCs w:val="false"/>
                <w:sz w:val="18"/>
                <w:szCs w:val="18"/>
              </w:rPr>
              <w:t xml:space="preserve">Changes to Valuation Method or Costing Status are effective-dated so historical costing runs are unaffected by later changes (Section 43).</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Versioning</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Full field-level history retained.</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Approval requirement</w:t>
            </w:r>
          </w:p>
        </w:tc>
        <w:tc>
          <w:tcPr>
            <w:tcW w:type="dxa" w:w="7400"/>
            <w:tcMar>
              <w:top w:type="dxa" w:w="60"/>
              <w:left w:type="dxa" w:w="100"/>
              <w:bottom w:type="dxa" w:w="60"/>
              <w:right w:type="dxa" w:w="100"/>
            </w:tcMar>
            <w:vAlign w:val="center"/>
          </w:tcPr>
          <w:p>
            <w:pPr>
              <w:jc w:val="left"/>
            </w:pPr>
            <w:r>
              <w:rPr>
                <w:b w:val="false"/>
                <w:bCs w:val="false"/>
                <w:sz w:val="18"/>
                <w:szCs w:val="18"/>
              </w:rPr>
              <w:t xml:space="preserve">New item and changes to Valuation Method require CMA approval (Master Data Governance).</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Audit requirement</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Every create/change/approve/deactivate logged with old/new values.</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Related masters</w:t>
            </w:r>
          </w:p>
        </w:tc>
        <w:tc>
          <w:tcPr>
            <w:tcW w:type="dxa" w:w="7400"/>
            <w:tcMar>
              <w:top w:type="dxa" w:w="60"/>
              <w:left w:type="dxa" w:w="100"/>
              <w:bottom w:type="dxa" w:w="60"/>
              <w:right w:type="dxa" w:w="100"/>
            </w:tcMar>
            <w:vAlign w:val="center"/>
          </w:tcPr>
          <w:p>
            <w:pPr>
              <w:jc w:val="left"/>
            </w:pPr>
            <w:r>
              <w:rPr>
                <w:b w:val="false"/>
                <w:bCs w:val="false"/>
                <w:sz w:val="18"/>
                <w:szCs w:val="18"/>
              </w:rPr>
              <w:t xml:space="preserve">UOM Master, Item Category, BOM Master, Standard Cost Master.</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Related transactions</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 Transactions, Purchase Transactions, Production Transactions, Sales Transactions.</w:t>
            </w:r>
          </w:p>
        </w:tc>
      </w:tr>
    </w:tbl>
    <w:p>
      <w:pPr>
        <w:spacing w:after="200"/>
      </w:pPr>
    </w:p>
    <w:p>
      <w:pPr>
        <w:pStyle w:val="Heading2"/>
        <w:spacing w:after="160" w:before="320"/>
      </w:pPr>
      <w:r>
        <w:rPr>
          <w:b/>
          <w:bCs/>
        </w:rPr>
        <w:t xml:space="preserve">10.2 Detailed Specification — BOM Master (MD-15)</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400"/>
            <w:shd w:fill="1F3864" w:color="auto" w:val="clear"/>
            <w:tcMar>
              <w:top w:type="dxa" w:w="60"/>
              <w:left w:type="dxa" w:w="100"/>
              <w:bottom w:type="dxa" w:w="60"/>
              <w:right w:type="dxa" w:w="100"/>
            </w:tcMar>
            <w:vAlign w:val="center"/>
          </w:tcPr>
          <w:p>
            <w:pPr>
              <w:jc w:val="left"/>
            </w:pPr>
            <w:r>
              <w:rPr>
                <w:b/>
                <w:bCs/>
                <w:color w:val="FFFFFF"/>
                <w:sz w:val="18"/>
                <w:szCs w:val="18"/>
              </w:rPr>
              <w:t xml:space="preserve">Detail</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400"/>
            <w:tcMar>
              <w:top w:type="dxa" w:w="60"/>
              <w:left w:type="dxa" w:w="100"/>
              <w:bottom w:type="dxa" w:w="60"/>
              <w:right w:type="dxa" w:w="100"/>
            </w:tcMar>
            <w:vAlign w:val="center"/>
          </w:tcPr>
          <w:p>
            <w:pPr>
              <w:jc w:val="left"/>
            </w:pPr>
            <w:r>
              <w:rPr>
                <w:b w:val="false"/>
                <w:bCs w:val="false"/>
                <w:sz w:val="18"/>
                <w:szCs w:val="18"/>
              </w:rPr>
              <w:t xml:space="preserve">Defines what components (and in what quantity) are required to produce one unit of a parent item, at any number of levels.</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Fields (header)</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BOM Code, Parent Item, BOM Version, Effective From / To, Status (Draft/Active/Obsolete), Base Quantity, Base UOM.</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Fields (component line)</w:t>
            </w:r>
          </w:p>
        </w:tc>
        <w:tc>
          <w:tcPr>
            <w:tcW w:type="dxa" w:w="7400"/>
            <w:tcMar>
              <w:top w:type="dxa" w:w="60"/>
              <w:left w:type="dxa" w:w="100"/>
              <w:bottom w:type="dxa" w:w="60"/>
              <w:right w:type="dxa" w:w="100"/>
            </w:tcMar>
            <w:vAlign w:val="center"/>
          </w:tcPr>
          <w:p>
            <w:pPr>
              <w:jc w:val="left"/>
            </w:pPr>
            <w:r>
              <w:rPr>
                <w:b w:val="false"/>
                <w:bCs w:val="false"/>
                <w:sz w:val="18"/>
                <w:szCs w:val="18"/>
              </w:rPr>
              <w:t xml:space="preserve">Line No., Component Item, Quantity-per, UOM, Scrap % (optional), Phantom flag (optional — Proposed).</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Mandatory fields</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Parent Item, Effective From, at least one component line with Component Item and Quantity-per &gt; 0.</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Validation</w:t>
            </w:r>
          </w:p>
        </w:tc>
        <w:tc>
          <w:tcPr>
            <w:tcW w:type="dxa" w:w="7400"/>
            <w:tcMar>
              <w:top w:type="dxa" w:w="60"/>
              <w:left w:type="dxa" w:w="100"/>
              <w:bottom w:type="dxa" w:w="60"/>
              <w:right w:type="dxa" w:w="100"/>
            </w:tcMar>
            <w:vAlign w:val="center"/>
          </w:tcPr>
          <w:p>
            <w:pPr>
              <w:jc w:val="left"/>
            </w:pPr>
            <w:r>
              <w:rPr>
                <w:b w:val="false"/>
                <w:bCs w:val="false"/>
                <w:sz w:val="18"/>
                <w:szCs w:val="18"/>
              </w:rPr>
              <w:t xml:space="preserve">No component may (directly or transitively) reference the parent item (BR-BOM-001, circular-reference check); Quantity-per &gt; 0; UOM convertible to component's base UOM.</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Effective dating</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Required — a BOM version applies only within its Effective From/To window; historical costing must use the BOM version effective at that period (Section 43).</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Versioning</w:t>
            </w:r>
          </w:p>
        </w:tc>
        <w:tc>
          <w:tcPr>
            <w:tcW w:type="dxa" w:w="7400"/>
            <w:tcMar>
              <w:top w:type="dxa" w:w="60"/>
              <w:left w:type="dxa" w:w="100"/>
              <w:bottom w:type="dxa" w:w="60"/>
              <w:right w:type="dxa" w:w="100"/>
            </w:tcMar>
            <w:vAlign w:val="center"/>
          </w:tcPr>
          <w:p>
            <w:pPr>
              <w:jc w:val="left"/>
            </w:pPr>
            <w:r>
              <w:rPr>
                <w:b w:val="false"/>
                <w:bCs w:val="false"/>
                <w:sz w:val="18"/>
                <w:szCs w:val="18"/>
              </w:rPr>
              <w:t xml:space="preserve">Multiple BOM versions per item over time; only one Active version per item on any given date (BR-BOM-002, Proposed).</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Approval requirement</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Yes — new/changed BOM requires CMA approval before it can be used in a costing run.</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Audit requirement</w:t>
            </w:r>
          </w:p>
        </w:tc>
        <w:tc>
          <w:tcPr>
            <w:tcW w:type="dxa" w:w="7400"/>
            <w:tcMar>
              <w:top w:type="dxa" w:w="60"/>
              <w:left w:type="dxa" w:w="100"/>
              <w:bottom w:type="dxa" w:w="60"/>
              <w:right w:type="dxa" w:w="100"/>
            </w:tcMar>
            <w:vAlign w:val="center"/>
          </w:tcPr>
          <w:p>
            <w:pPr>
              <w:jc w:val="left"/>
            </w:pPr>
            <w:r>
              <w:rPr>
                <w:b w:val="false"/>
                <w:bCs w:val="false"/>
                <w:sz w:val="18"/>
                <w:szCs w:val="18"/>
              </w:rPr>
              <w:t xml:space="preserve">Full change log per header and per component line.</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Related masters</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Item Master, UOM Conversion, Cost Component Master.</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Related transactions</w:t>
            </w:r>
          </w:p>
        </w:tc>
        <w:tc>
          <w:tcPr>
            <w:tcW w:type="dxa" w:w="7400"/>
            <w:tcMar>
              <w:top w:type="dxa" w:w="60"/>
              <w:left w:type="dxa" w:w="100"/>
              <w:bottom w:type="dxa" w:w="60"/>
              <w:right w:type="dxa" w:w="100"/>
            </w:tcMar>
            <w:vAlign w:val="center"/>
          </w:tcPr>
          <w:p>
            <w:pPr>
              <w:jc w:val="left"/>
            </w:pPr>
            <w:r>
              <w:rPr>
                <w:b w:val="false"/>
                <w:bCs w:val="false"/>
                <w:sz w:val="18"/>
                <w:szCs w:val="18"/>
              </w:rPr>
              <w:t xml:space="preserve">BOM Explosion, BOM Cost Roll-up, Production Transactions.</w:t>
            </w:r>
          </w:p>
        </w:tc>
      </w:tr>
    </w:tbl>
    <w:p>
      <w:pPr>
        <w:spacing w:after="200"/>
      </w:pPr>
    </w:p>
    <w:p>
      <w:pPr>
        <w:pStyle w:val="Heading2"/>
        <w:spacing w:after="160" w:before="320"/>
      </w:pPr>
      <w:r>
        <w:rPr>
          <w:b/>
          <w:bCs/>
        </w:rPr>
        <w:t xml:space="preserve">10.3 Detailed Specification — Standard Cost Master (MD-16)</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400"/>
            <w:shd w:fill="1F3864" w:color="auto" w:val="clear"/>
            <w:tcMar>
              <w:top w:type="dxa" w:w="60"/>
              <w:left w:type="dxa" w:w="100"/>
              <w:bottom w:type="dxa" w:w="60"/>
              <w:right w:type="dxa" w:w="100"/>
            </w:tcMar>
            <w:vAlign w:val="center"/>
          </w:tcPr>
          <w:p>
            <w:pPr>
              <w:jc w:val="left"/>
            </w:pPr>
            <w:r>
              <w:rPr>
                <w:b/>
                <w:bCs/>
                <w:color w:val="FFFFFF"/>
                <w:sz w:val="18"/>
                <w:szCs w:val="18"/>
              </w:rPr>
              <w:t xml:space="preserve">Detail</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400"/>
            <w:tcMar>
              <w:top w:type="dxa" w:w="60"/>
              <w:left w:type="dxa" w:w="100"/>
              <w:bottom w:type="dxa" w:w="60"/>
              <w:right w:type="dxa" w:w="100"/>
            </w:tcMar>
            <w:vAlign w:val="center"/>
          </w:tcPr>
          <w:p>
            <w:pPr>
              <w:jc w:val="left"/>
            </w:pPr>
            <w:r>
              <w:rPr>
                <w:b w:val="false"/>
                <w:bCs w:val="false"/>
                <w:sz w:val="18"/>
                <w:szCs w:val="18"/>
              </w:rPr>
              <w:t xml:space="preserve">Holds the standard (budgeted/target) cost per item/component, used for standard-mode Product Costing and as the baseline for Standard vs Actual variance analysis.</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Fields</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Item, Cost Component (Material/Labour/Machine/Overhead/Other Direct), Standard Rate/Amount, UOM, Effective From / To, Costing Version reference.</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Mandatory fields</w:t>
            </w:r>
          </w:p>
        </w:tc>
        <w:tc>
          <w:tcPr>
            <w:tcW w:type="dxa" w:w="7400"/>
            <w:tcMar>
              <w:top w:type="dxa" w:w="60"/>
              <w:left w:type="dxa" w:w="100"/>
              <w:bottom w:type="dxa" w:w="60"/>
              <w:right w:type="dxa" w:w="100"/>
            </w:tcMar>
            <w:vAlign w:val="center"/>
          </w:tcPr>
          <w:p>
            <w:pPr>
              <w:jc w:val="left"/>
            </w:pPr>
            <w:r>
              <w:rPr>
                <w:b w:val="false"/>
                <w:bCs w:val="false"/>
                <w:sz w:val="18"/>
                <w:szCs w:val="18"/>
              </w:rPr>
              <w:t xml:space="preserve">Item, Cost Component, Standard Rate, Effective From.</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Standard Rate ≥ 0; no overlapping Effective From/To for the same Item + Cost Component.</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Effective dating</w:t>
            </w:r>
          </w:p>
        </w:tc>
        <w:tc>
          <w:tcPr>
            <w:tcW w:type="dxa" w:w="7400"/>
            <w:tcMar>
              <w:top w:type="dxa" w:w="60"/>
              <w:left w:type="dxa" w:w="100"/>
              <w:bottom w:type="dxa" w:w="60"/>
              <w:right w:type="dxa" w:w="100"/>
            </w:tcMar>
            <w:vAlign w:val="center"/>
          </w:tcPr>
          <w:p>
            <w:pPr>
              <w:jc w:val="left"/>
            </w:pPr>
            <w:r>
              <w:rPr>
                <w:b w:val="false"/>
                <w:bCs w:val="false"/>
                <w:sz w:val="18"/>
                <w:szCs w:val="18"/>
              </w:rPr>
              <w:t xml:space="preserve">Required.</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Versioning</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Yes — tied to Costing Version so a locked period always resolves to the standard cost that was effective at lock time.</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Approval requirement</w:t>
            </w:r>
          </w:p>
        </w:tc>
        <w:tc>
          <w:tcPr>
            <w:tcW w:type="dxa" w:w="7400"/>
            <w:tcMar>
              <w:top w:type="dxa" w:w="60"/>
              <w:left w:type="dxa" w:w="100"/>
              <w:bottom w:type="dxa" w:w="60"/>
              <w:right w:type="dxa" w:w="100"/>
            </w:tcMar>
            <w:vAlign w:val="center"/>
          </w:tcPr>
          <w:p>
            <w:pPr>
              <w:jc w:val="left"/>
            </w:pPr>
            <w:r>
              <w:rPr>
                <w:b w:val="false"/>
                <w:bCs w:val="false"/>
                <w:sz w:val="18"/>
                <w:szCs w:val="18"/>
              </w:rPr>
              <w:t xml:space="preserve">Yes — CMA approval, typically as part of a periodic standard-cost revision cycle.</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Audit requirement</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Full change log; every Product Costing run in Standard mode references the specific Standard Cost Master version used.</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Related masters</w:t>
            </w:r>
          </w:p>
        </w:tc>
        <w:tc>
          <w:tcPr>
            <w:tcW w:type="dxa" w:w="7400"/>
            <w:tcMar>
              <w:top w:type="dxa" w:w="60"/>
              <w:left w:type="dxa" w:w="100"/>
              <w:bottom w:type="dxa" w:w="60"/>
              <w:right w:type="dxa" w:w="100"/>
            </w:tcMar>
            <w:vAlign w:val="center"/>
          </w:tcPr>
          <w:p>
            <w:pPr>
              <w:jc w:val="left"/>
            </w:pPr>
            <w:r>
              <w:rPr>
                <w:b w:val="false"/>
                <w:bCs w:val="false"/>
                <w:sz w:val="18"/>
                <w:szCs w:val="18"/>
              </w:rPr>
              <w:t xml:space="preserve">Item Master, Cost Component Master.</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Related transactions</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Costing (Standard mode), Standard vs Actual, Variance Analysis.</w:t>
            </w:r>
          </w:p>
        </w:tc>
      </w:tr>
    </w:tbl>
    <w:p>
      <w:r>
        <w:br w:type="page"/>
      </w:r>
    </w:p>
    <w:p>
      <w:pPr>
        <w:pStyle w:val="Heading1"/>
        <w:spacing w:after="240" w:before="480"/>
      </w:pPr>
      <w:r>
        <w:rPr>
          <w:b/>
          <w:bCs/>
        </w:rPr>
        <w:t xml:space="preserve">11. Transaction Specification</w:t>
      </w:r>
    </w:p>
    <w:p>
      <w:pPr>
        <w:spacing w:after="160"/>
      </w:pPr>
      <w:r>
        <w:t xml:space="preserve">Transactions are the time-stamped events that flow through the costing pipeline. All transactions below share common lifecycle and audit behaviour unless noted: Status Lifecycle Draft/Staged → Validated → Processed → (Reversed/Corrected, if applicable); every transaction is immutable once Processed and part of a locked period — corrections are made via a linked reversal + replacement transaction, never an in-place edit (Section 43).</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2900"/>
        <w:gridCol w:w="2500"/>
        <w:gridCol w:w="2300"/>
      </w:tblGrid>
      <w:tr>
        <w:trPr>
          <w:tblHeader/>
        </w:trPr>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Transaction</w:t>
            </w:r>
          </w:p>
        </w:tc>
        <w:tc>
          <w:tcPr>
            <w:tcW w:type="dxa" w:w="29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Source</w:t>
            </w:r>
          </w:p>
        </w:tc>
        <w:tc>
          <w:tcPr>
            <w:tcW w:type="dxa" w:w="2300"/>
            <w:shd w:fill="1F3864" w:color="auto" w:val="clear"/>
            <w:tcMar>
              <w:top w:type="dxa" w:w="60"/>
              <w:left w:type="dxa" w:w="100"/>
              <w:bottom w:type="dxa" w:w="60"/>
              <w:right w:type="dxa" w:w="100"/>
            </w:tcMar>
            <w:vAlign w:val="center"/>
          </w:tcPr>
          <w:p>
            <w:pPr>
              <w:jc w:val="left"/>
            </w:pPr>
            <w:r>
              <w:rPr>
                <w:b/>
                <w:bCs/>
                <w:color w:val="FFFFFF"/>
                <w:sz w:val="18"/>
                <w:szCs w:val="18"/>
              </w:rPr>
              <w:t xml:space="preserve">Related Master Data</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GL Transactions</w:t>
            </w:r>
          </w:p>
        </w:tc>
        <w:tc>
          <w:tcPr>
            <w:tcW w:type="dxa" w:w="2900"/>
            <w:tcMar>
              <w:top w:type="dxa" w:w="60"/>
              <w:left w:type="dxa" w:w="100"/>
              <w:bottom w:type="dxa" w:w="60"/>
              <w:right w:type="dxa" w:w="100"/>
            </w:tcMar>
            <w:vAlign w:val="center"/>
          </w:tcPr>
          <w:p>
            <w:pPr>
              <w:jc w:val="left"/>
            </w:pPr>
            <w:r>
              <w:rPr>
                <w:b w:val="false"/>
                <w:bCs w:val="false"/>
                <w:sz w:val="18"/>
                <w:szCs w:val="18"/>
              </w:rPr>
              <w:t xml:space="preserve">Individual general-ledger postings underlying the Trial Balance.</w:t>
            </w:r>
          </w:p>
        </w:tc>
        <w:tc>
          <w:tcPr>
            <w:tcW w:type="dxa" w:w="2500"/>
            <w:tcMar>
              <w:top w:type="dxa" w:w="60"/>
              <w:left w:type="dxa" w:w="100"/>
              <w:bottom w:type="dxa" w:w="60"/>
              <w:right w:type="dxa" w:w="100"/>
            </w:tcMar>
            <w:vAlign w:val="center"/>
          </w:tcPr>
          <w:p>
            <w:pPr>
              <w:jc w:val="left"/>
            </w:pPr>
            <w:r>
              <w:rPr>
                <w:b w:val="false"/>
                <w:bCs w:val="false"/>
                <w:sz w:val="18"/>
                <w:szCs w:val="18"/>
              </w:rPr>
              <w:t xml:space="preserve">Trial Balance upload (aggregated) or GL export (detail) — Proposed level of detail, To Be Confirmed</w:t>
            </w:r>
          </w:p>
        </w:tc>
        <w:tc>
          <w:tcPr>
            <w:tcW w:type="dxa" w:w="2300"/>
            <w:tcMar>
              <w:top w:type="dxa" w:w="60"/>
              <w:left w:type="dxa" w:w="100"/>
              <w:bottom w:type="dxa" w:w="60"/>
              <w:right w:type="dxa" w:w="100"/>
            </w:tcMar>
            <w:vAlign w:val="center"/>
          </w:tcPr>
          <w:p>
            <w:pPr>
              <w:jc w:val="left"/>
            </w:pPr>
            <w:r>
              <w:rPr>
                <w:b w:val="false"/>
                <w:bCs w:val="false"/>
                <w:sz w:val="18"/>
                <w:szCs w:val="18"/>
              </w:rPr>
              <w:t xml:space="preserve">Account Master, GL Classification, Cost Centre Master</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 Transactions</w:t>
            </w:r>
          </w:p>
        </w:tc>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Receipts, issues, and adjustments affecting item quantity/value.</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Stock statement / inventory register upload</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Item Master, Warehouse Master, UOM Master</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Purchase Transactions</w:t>
            </w:r>
          </w:p>
        </w:tc>
        <w:tc>
          <w:tcPr>
            <w:tcW w:type="dxa" w:w="2900"/>
            <w:tcMar>
              <w:top w:type="dxa" w:w="60"/>
              <w:left w:type="dxa" w:w="100"/>
              <w:bottom w:type="dxa" w:w="60"/>
              <w:right w:type="dxa" w:w="100"/>
            </w:tcMar>
            <w:vAlign w:val="center"/>
          </w:tcPr>
          <w:p>
            <w:pPr>
              <w:jc w:val="left"/>
            </w:pPr>
            <w:r>
              <w:rPr>
                <w:b w:val="false"/>
                <w:bCs w:val="false"/>
                <w:sz w:val="18"/>
                <w:szCs w:val="18"/>
              </w:rPr>
              <w:t xml:space="preserve">Procurement receipts that create inventory cost layers.</w:t>
            </w:r>
          </w:p>
        </w:tc>
        <w:tc>
          <w:tcPr>
            <w:tcW w:type="dxa" w:w="2500"/>
            <w:tcMar>
              <w:top w:type="dxa" w:w="60"/>
              <w:left w:type="dxa" w:w="100"/>
              <w:bottom w:type="dxa" w:w="60"/>
              <w:right w:type="dxa" w:w="100"/>
            </w:tcMar>
            <w:vAlign w:val="center"/>
          </w:tcPr>
          <w:p>
            <w:pPr>
              <w:jc w:val="left"/>
            </w:pPr>
            <w:r>
              <w:rPr>
                <w:b w:val="false"/>
                <w:bCs w:val="false"/>
                <w:sz w:val="18"/>
                <w:szCs w:val="18"/>
              </w:rPr>
              <w:t xml:space="preserve">Purchase register upload</w:t>
            </w:r>
          </w:p>
        </w:tc>
        <w:tc>
          <w:tcPr>
            <w:tcW w:type="dxa" w:w="2300"/>
            <w:tcMar>
              <w:top w:type="dxa" w:w="60"/>
              <w:left w:type="dxa" w:w="100"/>
              <w:bottom w:type="dxa" w:w="60"/>
              <w:right w:type="dxa" w:w="100"/>
            </w:tcMar>
            <w:vAlign w:val="center"/>
          </w:tcPr>
          <w:p>
            <w:pPr>
              <w:jc w:val="left"/>
            </w:pPr>
            <w:r>
              <w:rPr>
                <w:b w:val="false"/>
                <w:bCs w:val="false"/>
                <w:sz w:val="18"/>
                <w:szCs w:val="18"/>
              </w:rPr>
              <w:t xml:space="preserve">Item Master, Vendor Master</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Production Transactions</w:t>
            </w:r>
          </w:p>
        </w:tc>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Records of production output (and consequently consumption per BOM).</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Production/MES report upload</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Item Master, BOM Master, Plant Master</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Material Issues</w:t>
            </w:r>
          </w:p>
        </w:tc>
        <w:tc>
          <w:tcPr>
            <w:tcW w:type="dxa" w:w="2900"/>
            <w:tcMar>
              <w:top w:type="dxa" w:w="60"/>
              <w:left w:type="dxa" w:w="100"/>
              <w:bottom w:type="dxa" w:w="60"/>
              <w:right w:type="dxa" w:w="100"/>
            </w:tcMar>
            <w:vAlign w:val="center"/>
          </w:tcPr>
          <w:p>
            <w:pPr>
              <w:jc w:val="left"/>
            </w:pPr>
            <w:r>
              <w:rPr>
                <w:b w:val="false"/>
                <w:bCs w:val="false"/>
                <w:sz w:val="18"/>
                <w:szCs w:val="18"/>
              </w:rPr>
              <w:t xml:space="preserve">Material consumed against a production order.</w:t>
            </w:r>
          </w:p>
        </w:tc>
        <w:tc>
          <w:tcPr>
            <w:tcW w:type="dxa" w:w="2500"/>
            <w:tcMar>
              <w:top w:type="dxa" w:w="60"/>
              <w:left w:type="dxa" w:w="100"/>
              <w:bottom w:type="dxa" w:w="60"/>
              <w:right w:type="dxa" w:w="100"/>
            </w:tcMar>
            <w:vAlign w:val="center"/>
          </w:tcPr>
          <w:p>
            <w:pPr>
              <w:jc w:val="left"/>
            </w:pPr>
            <w:r>
              <w:rPr>
                <w:b w:val="false"/>
                <w:bCs w:val="false"/>
                <w:sz w:val="18"/>
                <w:szCs w:val="18"/>
              </w:rPr>
              <w:t xml:space="preserve">Production data / stores issue upload</w:t>
            </w:r>
          </w:p>
        </w:tc>
        <w:tc>
          <w:tcPr>
            <w:tcW w:type="dxa" w:w="2300"/>
            <w:tcMar>
              <w:top w:type="dxa" w:w="60"/>
              <w:left w:type="dxa" w:w="100"/>
              <w:bottom w:type="dxa" w:w="60"/>
              <w:right w:type="dxa" w:w="100"/>
            </w:tcMar>
            <w:vAlign w:val="center"/>
          </w:tcPr>
          <w:p>
            <w:pPr>
              <w:jc w:val="left"/>
            </w:pPr>
            <w:r>
              <w:rPr>
                <w:b w:val="false"/>
                <w:bCs w:val="false"/>
                <w:sz w:val="18"/>
                <w:szCs w:val="18"/>
              </w:rPr>
              <w:t xml:space="preserve">Item Master, BOM Master, Cost Centre Master</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 Receipts</w:t>
            </w:r>
          </w:p>
        </w:tc>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 received into stores (from purchase or production).</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Purchase / production data upload</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Item Master, Warehouse Master</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Sales Transactions</w:t>
            </w:r>
          </w:p>
        </w:tc>
        <w:tc>
          <w:tcPr>
            <w:tcW w:type="dxa" w:w="2900"/>
            <w:tcMar>
              <w:top w:type="dxa" w:w="60"/>
              <w:left w:type="dxa" w:w="100"/>
              <w:bottom w:type="dxa" w:w="60"/>
              <w:right w:type="dxa" w:w="100"/>
            </w:tcMar>
            <w:vAlign w:val="center"/>
          </w:tcPr>
          <w:p>
            <w:pPr>
              <w:jc w:val="left"/>
            </w:pPr>
            <w:r>
              <w:rPr>
                <w:b w:val="false"/>
                <w:bCs w:val="false"/>
                <w:sz w:val="18"/>
                <w:szCs w:val="18"/>
              </w:rPr>
              <w:t xml:space="preserve">Sales quantity/value used for profitability (Phase 2).</w:t>
            </w:r>
          </w:p>
        </w:tc>
        <w:tc>
          <w:tcPr>
            <w:tcW w:type="dxa" w:w="2500"/>
            <w:tcMar>
              <w:top w:type="dxa" w:w="60"/>
              <w:left w:type="dxa" w:w="100"/>
              <w:bottom w:type="dxa" w:w="60"/>
              <w:right w:type="dxa" w:w="100"/>
            </w:tcMar>
            <w:vAlign w:val="center"/>
          </w:tcPr>
          <w:p>
            <w:pPr>
              <w:jc w:val="left"/>
            </w:pPr>
            <w:r>
              <w:rPr>
                <w:b w:val="false"/>
                <w:bCs w:val="false"/>
                <w:sz w:val="18"/>
                <w:szCs w:val="18"/>
              </w:rPr>
              <w:t xml:space="preserve">Sales register upload (Phase 2)</w:t>
            </w:r>
          </w:p>
        </w:tc>
        <w:tc>
          <w:tcPr>
            <w:tcW w:type="dxa" w:w="2300"/>
            <w:tcMar>
              <w:top w:type="dxa" w:w="60"/>
              <w:left w:type="dxa" w:w="100"/>
              <w:bottom w:type="dxa" w:w="60"/>
              <w:right w:type="dxa" w:w="100"/>
            </w:tcMar>
            <w:vAlign w:val="center"/>
          </w:tcPr>
          <w:p>
            <w:pPr>
              <w:jc w:val="left"/>
            </w:pPr>
            <w:r>
              <w:rPr>
                <w:b w:val="false"/>
                <w:bCs w:val="false"/>
                <w:sz w:val="18"/>
                <w:szCs w:val="18"/>
              </w:rPr>
              <w:t xml:space="preserve">Product Master, Customer Master (business)</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Labour Transactions</w:t>
            </w:r>
          </w:p>
        </w:tc>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Labour hours/cost consumed by cost centre/production order.</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Labour/attendance data upload</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Labour Rate Master, Cost Centre Master</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Machine Transactions</w:t>
            </w:r>
          </w:p>
        </w:tc>
        <w:tc>
          <w:tcPr>
            <w:tcW w:type="dxa" w:w="2900"/>
            <w:tcMar>
              <w:top w:type="dxa" w:w="60"/>
              <w:left w:type="dxa" w:w="100"/>
              <w:bottom w:type="dxa" w:w="60"/>
              <w:right w:type="dxa" w:w="100"/>
            </w:tcMar>
            <w:vAlign w:val="center"/>
          </w:tcPr>
          <w:p>
            <w:pPr>
              <w:jc w:val="left"/>
            </w:pPr>
            <w:r>
              <w:rPr>
                <w:b w:val="false"/>
                <w:bCs w:val="false"/>
                <w:sz w:val="18"/>
                <w:szCs w:val="18"/>
              </w:rPr>
              <w:t xml:space="preserve">Machine/process hours consumed.</w:t>
            </w:r>
          </w:p>
        </w:tc>
        <w:tc>
          <w:tcPr>
            <w:tcW w:type="dxa" w:w="2500"/>
            <w:tcMar>
              <w:top w:type="dxa" w:w="60"/>
              <w:left w:type="dxa" w:w="100"/>
              <w:bottom w:type="dxa" w:w="60"/>
              <w:right w:type="dxa" w:w="100"/>
            </w:tcMar>
            <w:vAlign w:val="center"/>
          </w:tcPr>
          <w:p>
            <w:pPr>
              <w:jc w:val="left"/>
            </w:pPr>
            <w:r>
              <w:rPr>
                <w:b w:val="false"/>
                <w:bCs w:val="false"/>
                <w:sz w:val="18"/>
                <w:szCs w:val="18"/>
              </w:rPr>
              <w:t xml:space="preserve">Machine log upload</w:t>
            </w:r>
          </w:p>
        </w:tc>
        <w:tc>
          <w:tcPr>
            <w:tcW w:type="dxa" w:w="2300"/>
            <w:tcMar>
              <w:top w:type="dxa" w:w="60"/>
              <w:left w:type="dxa" w:w="100"/>
              <w:bottom w:type="dxa" w:w="60"/>
              <w:right w:type="dxa" w:w="100"/>
            </w:tcMar>
            <w:vAlign w:val="center"/>
          </w:tcPr>
          <w:p>
            <w:pPr>
              <w:jc w:val="left"/>
            </w:pPr>
            <w:r>
              <w:rPr>
                <w:b w:val="false"/>
                <w:bCs w:val="false"/>
                <w:sz w:val="18"/>
                <w:szCs w:val="18"/>
              </w:rPr>
              <w:t xml:space="preserve">Machine Rate Master, Plant Master</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Cost Allocations</w:t>
            </w:r>
          </w:p>
        </w:tc>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Result of an Overhead Allocation run (FR-COST-002).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System-generated (Allocation Engine)</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Allocation Rule Master, Cost Centre Master</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Costing Runs</w:t>
            </w:r>
          </w:p>
        </w:tc>
        <w:tc>
          <w:tcPr>
            <w:tcW w:type="dxa" w:w="2900"/>
            <w:tcMar>
              <w:top w:type="dxa" w:w="60"/>
              <w:left w:type="dxa" w:w="100"/>
              <w:bottom w:type="dxa" w:w="60"/>
              <w:right w:type="dxa" w:w="100"/>
            </w:tcMar>
            <w:vAlign w:val="center"/>
          </w:tcPr>
          <w:p>
            <w:pPr>
              <w:jc w:val="left"/>
            </w:pPr>
            <w:r>
              <w:rPr>
                <w:b w:val="false"/>
                <w:bCs w:val="false"/>
                <w:sz w:val="18"/>
                <w:szCs w:val="18"/>
              </w:rPr>
              <w:t xml:space="preserve">Record of each Product Costing / Inventory Valuation / BOM Roll-up execution.</w:t>
            </w:r>
          </w:p>
        </w:tc>
        <w:tc>
          <w:tcPr>
            <w:tcW w:type="dxa" w:w="2500"/>
            <w:tcMar>
              <w:top w:type="dxa" w:w="60"/>
              <w:left w:type="dxa" w:w="100"/>
              <w:bottom w:type="dxa" w:w="60"/>
              <w:right w:type="dxa" w:w="100"/>
            </w:tcMar>
            <w:vAlign w:val="center"/>
          </w:tcPr>
          <w:p>
            <w:pPr>
              <w:jc w:val="left"/>
            </w:pPr>
            <w:r>
              <w:rPr>
                <w:b w:val="false"/>
                <w:bCs w:val="false"/>
                <w:sz w:val="18"/>
                <w:szCs w:val="18"/>
              </w:rPr>
              <w:t xml:space="preserve">System-generated (Costing Workbench)</w:t>
            </w:r>
          </w:p>
        </w:tc>
        <w:tc>
          <w:tcPr>
            <w:tcW w:type="dxa" w:w="2300"/>
            <w:tcMar>
              <w:top w:type="dxa" w:w="60"/>
              <w:left w:type="dxa" w:w="100"/>
              <w:bottom w:type="dxa" w:w="60"/>
              <w:right w:type="dxa" w:w="100"/>
            </w:tcMar>
            <w:vAlign w:val="center"/>
          </w:tcPr>
          <w:p>
            <w:pPr>
              <w:jc w:val="left"/>
            </w:pPr>
            <w:r>
              <w:rPr>
                <w:b w:val="false"/>
                <w:bCs w:val="false"/>
                <w:sz w:val="18"/>
                <w:szCs w:val="18"/>
              </w:rPr>
              <w:t xml:space="preserve">Item Master, BOM Master, Standard Cost Master</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Reconciliations</w:t>
            </w:r>
          </w:p>
        </w:tc>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Result of a Reconciliation run (FR-REC-001).</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System-generated (Reconciliation Engine)</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Trial Balance, Costing Results</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Exceptions</w:t>
            </w:r>
          </w:p>
        </w:tc>
        <w:tc>
          <w:tcPr>
            <w:tcW w:type="dxa" w:w="2900"/>
            <w:tcMar>
              <w:top w:type="dxa" w:w="60"/>
              <w:left w:type="dxa" w:w="100"/>
              <w:bottom w:type="dxa" w:w="60"/>
              <w:right w:type="dxa" w:w="100"/>
            </w:tcMar>
            <w:vAlign w:val="center"/>
          </w:tcPr>
          <w:p>
            <w:pPr>
              <w:jc w:val="left"/>
            </w:pPr>
            <w:r>
              <w:rPr>
                <w:b w:val="false"/>
                <w:bCs w:val="false"/>
                <w:sz w:val="18"/>
                <w:szCs w:val="18"/>
              </w:rPr>
              <w:t xml:space="preserve">Any flagged issue requiring review (validation/reconciliation/costing/AI).</w:t>
            </w:r>
          </w:p>
        </w:tc>
        <w:tc>
          <w:tcPr>
            <w:tcW w:type="dxa" w:w="2500"/>
            <w:tcMar>
              <w:top w:type="dxa" w:w="60"/>
              <w:left w:type="dxa" w:w="100"/>
              <w:bottom w:type="dxa" w:w="60"/>
              <w:right w:type="dxa" w:w="100"/>
            </w:tcMar>
            <w:vAlign w:val="center"/>
          </w:tcPr>
          <w:p>
            <w:pPr>
              <w:jc w:val="left"/>
            </w:pPr>
            <w:r>
              <w:rPr>
                <w:b w:val="false"/>
                <w:bCs w:val="false"/>
                <w:sz w:val="18"/>
                <w:szCs w:val="18"/>
              </w:rPr>
              <w:t xml:space="preserve">System-generated across modules</w:t>
            </w:r>
          </w:p>
        </w:tc>
        <w:tc>
          <w:tcPr>
            <w:tcW w:type="dxa" w:w="2300"/>
            <w:tcMar>
              <w:top w:type="dxa" w:w="60"/>
              <w:left w:type="dxa" w:w="100"/>
              <w:bottom w:type="dxa" w:w="60"/>
              <w:right w:type="dxa" w:w="100"/>
            </w:tcMar>
            <w:vAlign w:val="center"/>
          </w:tcPr>
          <w:p>
            <w:pPr>
              <w:jc w:val="left"/>
            </w:pPr>
            <w:r>
              <w:rPr>
                <w:b w:val="false"/>
                <w:bCs w:val="false"/>
                <w:sz w:val="18"/>
                <w:szCs w:val="18"/>
              </w:rPr>
              <w:t xml:space="preserve">n/a (references source record)</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Close</w:t>
            </w:r>
          </w:p>
        </w:tc>
        <w:tc>
          <w:tcPr>
            <w:tcW w:type="dxa" w:w="2900"/>
            <w:shd w:fill="F2F2F2" w:color="auto" w:val="clear"/>
            <w:tcMar>
              <w:top w:type="dxa" w:w="60"/>
              <w:left w:type="dxa" w:w="100"/>
              <w:bottom w:type="dxa" w:w="60"/>
              <w:right w:type="dxa" w:w="100"/>
            </w:tcMar>
            <w:vAlign w:val="center"/>
          </w:tcPr>
          <w:p>
            <w:pPr>
              <w:jc w:val="left"/>
            </w:pPr>
            <w:r>
              <w:rPr>
                <w:b w:val="false"/>
                <w:bCs w:val="false"/>
                <w:sz w:val="18"/>
                <w:szCs w:val="18"/>
              </w:rPr>
              <w:t xml:space="preserve">Lock/reopen event for a period (FR-AUD-002).</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CMA action via Period Close screen</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Master</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Cost Simulation (Phase 2)</w:t>
            </w:r>
          </w:p>
        </w:tc>
        <w:tc>
          <w:tcPr>
            <w:tcW w:type="dxa" w:w="2900"/>
            <w:tcMar>
              <w:top w:type="dxa" w:w="60"/>
              <w:left w:type="dxa" w:w="100"/>
              <w:bottom w:type="dxa" w:w="60"/>
              <w:right w:type="dxa" w:w="100"/>
            </w:tcMar>
            <w:vAlign w:val="center"/>
          </w:tcPr>
          <w:p>
            <w:pPr>
              <w:jc w:val="left"/>
            </w:pPr>
            <w:r>
              <w:rPr>
                <w:b w:val="false"/>
                <w:bCs w:val="false"/>
                <w:sz w:val="18"/>
                <w:szCs w:val="18"/>
              </w:rPr>
              <w:t xml:space="preserve">What-if costing run that does not affect actual/standard results.</w:t>
            </w:r>
          </w:p>
        </w:tc>
        <w:tc>
          <w:tcPr>
            <w:tcW w:type="dxa" w:w="2500"/>
            <w:tcMar>
              <w:top w:type="dxa" w:w="60"/>
              <w:left w:type="dxa" w:w="100"/>
              <w:bottom w:type="dxa" w:w="60"/>
              <w:right w:type="dxa" w:w="100"/>
            </w:tcMar>
            <w:vAlign w:val="center"/>
          </w:tcPr>
          <w:p>
            <w:pPr>
              <w:jc w:val="left"/>
            </w:pPr>
            <w:r>
              <w:rPr>
                <w:b w:val="false"/>
                <w:bCs w:val="false"/>
                <w:sz w:val="18"/>
                <w:szCs w:val="18"/>
              </w:rPr>
              <w:t xml:space="preserve">CMA action via Cost Simulation screen (Phase 2)</w:t>
            </w:r>
          </w:p>
        </w:tc>
        <w:tc>
          <w:tcPr>
            <w:tcW w:type="dxa" w:w="2300"/>
            <w:tcMar>
              <w:top w:type="dxa" w:w="60"/>
              <w:left w:type="dxa" w:w="100"/>
              <w:bottom w:type="dxa" w:w="60"/>
              <w:right w:type="dxa" w:w="100"/>
            </w:tcMar>
            <w:vAlign w:val="center"/>
          </w:tcPr>
          <w:p>
            <w:pPr>
              <w:jc w:val="left"/>
            </w:pPr>
            <w:r>
              <w:rPr>
                <w:b w:val="false"/>
                <w:bCs w:val="false"/>
                <w:sz w:val="18"/>
                <w:szCs w:val="18"/>
              </w:rPr>
              <w:t xml:space="preserve">Same masters as Costing Runs, read-only</w:t>
            </w:r>
          </w:p>
        </w:tc>
      </w:tr>
    </w:tbl>
    <w:p>
      <w:pPr>
        <w:spacing w:after="200"/>
      </w:pPr>
    </w:p>
    <w:p>
      <w:pPr>
        <w:pStyle w:val="Heading2"/>
        <w:spacing w:after="160" w:before="320"/>
      </w:pPr>
      <w:r>
        <w:rPr>
          <w:b/>
          <w:bCs/>
        </w:rPr>
        <w:t xml:space="preserve">11.1 Detailed Specification — Inventory Transactions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74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7400"/>
            <w:shd w:fill="1F3864" w:color="auto" w:val="clear"/>
            <w:tcMar>
              <w:top w:type="dxa" w:w="60"/>
              <w:left w:type="dxa" w:w="100"/>
              <w:bottom w:type="dxa" w:w="60"/>
              <w:right w:type="dxa" w:w="100"/>
            </w:tcMar>
            <w:vAlign w:val="center"/>
          </w:tcPr>
          <w:p>
            <w:pPr>
              <w:jc w:val="left"/>
            </w:pPr>
            <w:r>
              <w:rPr>
                <w:b/>
                <w:bCs/>
                <w:color w:val="FFFFFF"/>
                <w:sz w:val="18"/>
                <w:szCs w:val="18"/>
              </w:rPr>
              <w:t xml:space="preserve">Detail</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Purpose</w:t>
            </w:r>
          </w:p>
        </w:tc>
        <w:tc>
          <w:tcPr>
            <w:tcW w:type="dxa" w:w="7400"/>
            <w:tcMar>
              <w:top w:type="dxa" w:w="60"/>
              <w:left w:type="dxa" w:w="100"/>
              <w:bottom w:type="dxa" w:w="60"/>
              <w:right w:type="dxa" w:w="100"/>
            </w:tcMar>
            <w:vAlign w:val="center"/>
          </w:tcPr>
          <w:p>
            <w:pPr>
              <w:jc w:val="left"/>
            </w:pPr>
            <w:r>
              <w:rPr>
                <w:b w:val="false"/>
                <w:bCs w:val="false"/>
                <w:sz w:val="18"/>
                <w:szCs w:val="18"/>
              </w:rPr>
              <w:t xml:space="preserve">Represents every quantity/value movement of an item at a warehouse: Receipt, Issue, or Adjustment. The set of Inventory Transactions for a period is the primary input to FR-INV-001.</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Input fields</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Item, Warehouse, Transaction Type (Receipt/Issue/Adjustment), Quantity, UOM, Unit Cost (Receipts only, or Adjustment if value-only), Transaction Date, Reference (source document number).</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Processing</w:t>
            </w:r>
          </w:p>
        </w:tc>
        <w:tc>
          <w:tcPr>
            <w:tcW w:type="dxa" w:w="7400"/>
            <w:tcMar>
              <w:top w:type="dxa" w:w="60"/>
              <w:left w:type="dxa" w:w="100"/>
              <w:bottom w:type="dxa" w:w="60"/>
              <w:right w:type="dxa" w:w="100"/>
            </w:tcMar>
            <w:vAlign w:val="center"/>
          </w:tcPr>
          <w:p>
            <w:pPr>
              <w:jc w:val="left"/>
            </w:pPr>
            <w:r>
              <w:rPr>
                <w:b w:val="false"/>
                <w:bCs w:val="false"/>
                <w:sz w:val="18"/>
                <w:szCs w:val="18"/>
              </w:rPr>
              <w:t xml:space="preserve">Mapped from source (FR-MAP-001) → validated (FR-VAL-001, including BR-INV-001 opening/closing check) → consumed by Inventory Valuation Engine (FR-INV-001).</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Output</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Contributes to period-end inventory valuation and, via issues linked to production, to Product Costing material cost.</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Status lifecycle</w:t>
            </w:r>
          </w:p>
        </w:tc>
        <w:tc>
          <w:tcPr>
            <w:tcW w:type="dxa" w:w="7400"/>
            <w:tcMar>
              <w:top w:type="dxa" w:w="60"/>
              <w:left w:type="dxa" w:w="100"/>
              <w:bottom w:type="dxa" w:w="60"/>
              <w:right w:type="dxa" w:w="100"/>
            </w:tcMar>
            <w:vAlign w:val="center"/>
          </w:tcPr>
          <w:p>
            <w:pPr>
              <w:jc w:val="left"/>
            </w:pPr>
            <w:r>
              <w:rPr>
                <w:b w:val="false"/>
                <w:bCs w:val="false"/>
                <w:sz w:val="18"/>
                <w:szCs w:val="18"/>
              </w:rPr>
              <w:t xml:space="preserve">Staged → Validated → Processed (locked with period).</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Quantity &gt; 0; Item/Warehouse must exist and be active; Issue quantity cannot exceed available balance unless negative-inventory override is explicitly logged (BR-INV-002, Proposed).</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Approval</w:t>
            </w:r>
          </w:p>
        </w:tc>
        <w:tc>
          <w:tcPr>
            <w:tcW w:type="dxa" w:w="7400"/>
            <w:tcMar>
              <w:top w:type="dxa" w:w="60"/>
              <w:left w:type="dxa" w:w="100"/>
              <w:bottom w:type="dxa" w:w="60"/>
              <w:right w:type="dxa" w:w="100"/>
            </w:tcMar>
            <w:vAlign w:val="center"/>
          </w:tcPr>
          <w:p>
            <w:pPr>
              <w:jc w:val="left"/>
            </w:pPr>
            <w:r>
              <w:rPr>
                <w:b w:val="false"/>
                <w:bCs w:val="false"/>
                <w:sz w:val="18"/>
                <w:szCs w:val="18"/>
              </w:rPr>
              <w:t xml:space="preserve">Not individually approved; approved in aggregate via Inventory Valuation sign-off (FR-INV-001 output) and Period Close (FR-AUD-002).</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Reversal / correction</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A processed transaction is never edited; a correcting Adjustment transaction is posted with a reference back to the original, preserving full history.</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Audit trail</w:t>
            </w:r>
          </w:p>
        </w:tc>
        <w:tc>
          <w:tcPr>
            <w:tcW w:type="dxa" w:w="7400"/>
            <w:tcMar>
              <w:top w:type="dxa" w:w="60"/>
              <w:left w:type="dxa" w:w="100"/>
              <w:bottom w:type="dxa" w:w="60"/>
              <w:right w:type="dxa" w:w="100"/>
            </w:tcMar>
            <w:vAlign w:val="center"/>
          </w:tcPr>
          <w:p>
            <w:pPr>
              <w:jc w:val="left"/>
            </w:pPr>
            <w:r>
              <w:rPr>
                <w:b w:val="false"/>
                <w:bCs w:val="false"/>
                <w:sz w:val="18"/>
                <w:szCs w:val="18"/>
              </w:rPr>
              <w:t xml:space="preserve">Every transaction retains its source upload/row lineage (Section 30, Part 3).</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Related master data</w:t>
            </w:r>
          </w:p>
        </w:tc>
        <w:tc>
          <w:tcPr>
            <w:tcW w:type="dxa" w:w="7400"/>
            <w:shd w:fill="F2F2F2" w:color="auto" w:val="clear"/>
            <w:tcMar>
              <w:top w:type="dxa" w:w="60"/>
              <w:left w:type="dxa" w:w="100"/>
              <w:bottom w:type="dxa" w:w="60"/>
              <w:right w:type="dxa" w:w="100"/>
            </w:tcMar>
            <w:vAlign w:val="center"/>
          </w:tcPr>
          <w:p>
            <w:pPr>
              <w:jc w:val="left"/>
            </w:pPr>
            <w:r>
              <w:rPr>
                <w:b w:val="false"/>
                <w:bCs w:val="false"/>
                <w:sz w:val="18"/>
                <w:szCs w:val="18"/>
              </w:rPr>
              <w:t xml:space="preserve">Item Master, Warehouse Master, UOM Master, UOM Conversion.</w:t>
            </w:r>
          </w:p>
        </w:tc>
      </w:tr>
    </w:tbl>
    <w:p>
      <w:r>
        <w:br w:type="page"/>
      </w:r>
    </w:p>
    <w:p>
      <w:pPr>
        <w:pStyle w:val="Heading1"/>
        <w:spacing w:after="240" w:before="480"/>
      </w:pPr>
      <w:r>
        <w:rPr>
          <w:b/>
          <w:bCs/>
        </w:rPr>
        <w:t xml:space="preserve">15. Database Requirements</w:t>
      </w:r>
    </w:p>
    <w:p>
      <w:pPr>
        <w:spacing w:after="160"/>
      </w:pPr>
      <w:r>
        <w:t xml:space="preserve">Cost360's database must support: (a) strict referential integrity across a multi-tenant hierarchy; (b) effective-dated master data so historical costing runs remain reproducible even after masters change; (c) an append-only audit trail; (d) efficient querying of large transactional volumes (inventory, production, GL) scoped by tenant/period; and (e) transactional (ACID) guarantees around any multi-step costing or reconciliation run, so a partially-completed run never leaves inconsistent results visible.</w:t>
      </w:r>
    </w:p>
    <w:p>
      <w:pPr>
        <w:pStyle w:val="ListParagraph"/>
        <w:numPr>
          <w:ilvl w:val="0"/>
          <w:numId w:val="2"/>
        </w:numPr>
        <w:spacing w:after="80"/>
      </w:pPr>
      <w:r>
        <w:t xml:space="preserve">Referential integrity enforced via foreign keys at the database level, not only in application code.</w:t>
      </w:r>
    </w:p>
    <w:p>
      <w:pPr>
        <w:pStyle w:val="ListParagraph"/>
        <w:numPr>
          <w:ilvl w:val="0"/>
          <w:numId w:val="2"/>
        </w:numPr>
        <w:spacing w:after="80"/>
      </w:pPr>
      <w:r>
        <w:t xml:space="preserve">All monetary values stored as NUMERIC (never FLOAT/DOUBLE) to avoid rounding drift in financial calculations.</w:t>
      </w:r>
    </w:p>
    <w:p>
      <w:pPr>
        <w:pStyle w:val="ListParagraph"/>
        <w:numPr>
          <w:ilvl w:val="0"/>
          <w:numId w:val="2"/>
        </w:numPr>
        <w:spacing w:after="80"/>
      </w:pPr>
      <w:r>
        <w:t xml:space="preserve">All timestamps stored as TIMESTAMPTZ; all business dates as DATE.</w:t>
      </w:r>
    </w:p>
    <w:p>
      <w:pPr>
        <w:pStyle w:val="ListParagraph"/>
        <w:numPr>
          <w:ilvl w:val="0"/>
          <w:numId w:val="2"/>
        </w:numPr>
        <w:spacing w:after="80"/>
      </w:pPr>
      <w:r>
        <w:t xml:space="preserve">Tenant isolation enforced by a mandatory tenant_id (directly or via parent) on every tenant-scoped table, validated at the Data Access Layer — see Section 17.12.</w:t>
      </w:r>
    </w:p>
    <w:p>
      <w:pPr>
        <w:pStyle w:val="ListParagraph"/>
        <w:numPr>
          <w:ilvl w:val="0"/>
          <w:numId w:val="2"/>
        </w:numPr>
        <w:spacing w:after="80"/>
      </w:pPr>
      <w:r>
        <w:t xml:space="preserve">Financial/transactional tables are insert-mostly; corrections are modelled as new linked transactions, never destructive UPDATE/DELETE, once a row belongs to a locked period (Section 43).</w:t>
      </w:r>
    </w:p>
    <w:p>
      <w:pPr>
        <w:pStyle w:val="ListParagraph"/>
        <w:numPr>
          <w:ilvl w:val="0"/>
          <w:numId w:val="2"/>
        </w:numPr>
        <w:spacing w:after="80"/>
      </w:pPr>
      <w:r>
        <w:t xml:space="preserve">Target data volumes: Proposed / To Be Confirmed against the academic deployment's sample dataset; design should not preclude scaling to multi-year, multi-plant transaction volumes (see Section 25, Part 3).</w:t>
      </w:r>
    </w:p>
    <w:p>
      <w:pPr>
        <w:spacing w:after="200"/>
      </w:pPr>
    </w:p>
    <w:p>
      <w:pPr>
        <w:pStyle w:val="Heading1"/>
        <w:spacing w:after="240" w:before="480"/>
      </w:pPr>
      <w:r>
        <w:rPr>
          <w:b/>
          <w:bCs/>
        </w:rPr>
        <w:t xml:space="preserve">16. Data Dictionary</w:t>
      </w:r>
    </w:p>
    <w:p>
      <w:pPr>
        <w:spacing w:after="160"/>
      </w:pPr>
      <w:r>
        <w:t xml:space="preserve">This section defines the logical schema for Cost360's canonical Standard Data Model. Nineteen core tables — covering identity/tenancy, organisation, master data, data intake, costing engines and audit — are specified at full column level below. A further set of supporting tables (Section 16.2) is catalogued by name and purpose only at this stage and marked Proposed for full column-level specification in a later revision, to keep this document's core entities unambiguous while still giving the complete table inventory a developer needs to plan the schema.</w:t>
      </w:r>
    </w:p>
    <w:p>
      <w:pPr>
        <w:pStyle w:val="Heading2"/>
        <w:spacing w:after="160" w:before="320"/>
      </w:pPr>
      <w:r>
        <w:rPr>
          <w:b/>
          <w:bCs/>
        </w:rPr>
        <w:t xml:space="preserve">16.1 Core Entities — Full Column Specification</w:t>
      </w:r>
    </w:p>
    <w:p>
      <w:pPr>
        <w:pStyle w:val="Heading3"/>
        <w:spacing w:after="120" w:before="240"/>
      </w:pPr>
      <w:r>
        <w:rPr>
          <w:b/>
          <w:bCs/>
        </w:rPr>
        <w:t xml:space="preserve">Identity, Tenancy and Organisation</w:t>
      </w:r>
    </w:p>
    <w:p>
      <w:pPr>
        <w:pStyle w:val="Heading3"/>
        <w:spacing w:after="120" w:before="240"/>
      </w:pPr>
      <w:r>
        <w:rPr>
          <w:b/>
          <w:bCs/>
        </w:rPr>
        <w:t xml:space="preserve">tenants</w:t>
      </w:r>
    </w:p>
    <w:p>
      <w:pPr>
        <w:spacing w:after="160"/>
      </w:pPr>
      <w:r>
        <w:t xml:space="preserve">Top-level entity representing a Cost360 customer organisation (multi-tenant root).</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tenant_code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VARCHAR(30)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Short unique tenant code.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tenant_name</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VARCHAR(150)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Legal / display name.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subscription_plan</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VARCHAR(30)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'standard'</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 subscription tier.</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'active'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active / suspended / archived.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now()</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created_by</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Audit column.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updated_by</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Audit column.</w:t>
            </w:r>
          </w:p>
        </w:tc>
      </w:tr>
    </w:tbl>
    <w:p>
      <w:pPr>
        <w:spacing w:after="200"/>
      </w:pPr>
    </w:p>
    <w:p>
      <w:pPr>
        <w:pStyle w:val="Heading3"/>
        <w:spacing w:after="120" w:before="240"/>
      </w:pPr>
      <w:r>
        <w:rPr>
          <w:b/>
          <w:bCs/>
        </w:rPr>
        <w:t xml:space="preserve">users</w:t>
      </w:r>
    </w:p>
    <w:p>
      <w:pPr>
        <w:spacing w:after="160"/>
      </w:pPr>
      <w:r>
        <w:t xml:space="preserve">All Cost360 users across all tenants; Platform Administrators have tenant_id = NULL.</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user_id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NULL for Platform Administrator.</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email</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VARCHAR(150)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w:t>
            </w:r>
          </w:p>
        </w:tc>
        <w:tc>
          <w:tcPr>
            <w:tcW w:type="dxa" w:w="2350"/>
            <w:tcMar>
              <w:top w:type="dxa" w:w="60"/>
              <w:left w:type="dxa" w:w="100"/>
              <w:bottom w:type="dxa" w:w="60"/>
              <w:right w:type="dxa" w:w="100"/>
            </w:tcMar>
            <w:vAlign w:val="center"/>
          </w:tcPr>
          <w:p>
            <w:pPr>
              <w:jc w:val="left"/>
            </w:pPr>
            <w:r>
              <w:rPr>
                <w:b w:val="false"/>
                <w:bCs w:val="false"/>
                <w:sz w:val="18"/>
                <w:szCs w:val="18"/>
              </w:rPr>
              <w:t xml:space="preserve">Unique within tenant (composite unique with tenant_id — Proposed).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full_name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VARCHAR(150)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Display name.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password_hash</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VARCHAR(255)</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Hashed password (bcrypt/argon2 — Proposed).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'invited'</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invited / active / locked / disabled.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failed_login_count</w:t>
            </w:r>
          </w:p>
        </w:tc>
        <w:tc>
          <w:tcPr>
            <w:tcW w:type="dxa" w:w="1300"/>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0</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For lockout policy (BR-SEC-004).</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now()</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created_by</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Audit column (self-reference).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updated_at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bl>
    <w:p>
      <w:pPr>
        <w:spacing w:after="200"/>
      </w:pPr>
    </w:p>
    <w:p>
      <w:pPr>
        <w:pStyle w:val="Heading3"/>
        <w:spacing w:after="120" w:before="240"/>
      </w:pPr>
      <w:r>
        <w:rPr>
          <w:b/>
          <w:bCs/>
        </w:rPr>
        <w:t xml:space="preserve">roles</w:t>
      </w:r>
    </w:p>
    <w:p>
      <w:pPr>
        <w:spacing w:after="160"/>
      </w:pPr>
      <w:r>
        <w:t xml:space="preserve">Defines the fixed role catalogue (Platform Administrator, CMA, Customer Administrator, Management, Auditor) and any tenant-custom roles — Proposed / To Be Confirmed whether custom roles are in MVP scope.</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role_id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role_code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VARCHAR(30)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e.g. CMA, CUST_ADMIN, MGMT, AUDITOR, PLATFORM_ADMIN.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role_name</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VARCHAR(100)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Display name.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is_system_role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true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True for the five baseline roles; false for tenant-custom roles.</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NULL for system roles.</w:t>
            </w:r>
          </w:p>
        </w:tc>
      </w:tr>
    </w:tbl>
    <w:p>
      <w:pPr>
        <w:spacing w:after="200"/>
      </w:pPr>
    </w:p>
    <w:p>
      <w:pPr>
        <w:pStyle w:val="Heading3"/>
        <w:spacing w:after="120" w:before="240"/>
      </w:pPr>
      <w:r>
        <w:rPr>
          <w:b/>
          <w:bCs/>
        </w:rPr>
        <w:t xml:space="preserve">user_roles</w:t>
      </w:r>
    </w:p>
    <w:p>
      <w:pPr>
        <w:spacing w:after="160"/>
      </w:pPr>
      <w:r>
        <w:t xml:space="preserve">Assigns one or more roles, each scoped to an organisational unit, to a user.</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user_role_id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user_id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user.</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role_id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roles.role_id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Assigned role.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org_unit_id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org_units.org_unit_id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Scope of the assignment; NULL = whole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assigned_at</w:t>
            </w:r>
          </w:p>
        </w:tc>
        <w:tc>
          <w:tcPr>
            <w:tcW w:type="dxa" w:w="13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now()</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Audit column.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assigned_by</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bl>
    <w:p>
      <w:pPr>
        <w:spacing w:after="200"/>
      </w:pPr>
    </w:p>
    <w:p>
      <w:pPr>
        <w:pStyle w:val="Heading3"/>
        <w:spacing w:after="120" w:before="240"/>
      </w:pPr>
      <w:r>
        <w:rPr>
          <w:b/>
          <w:bCs/>
        </w:rPr>
        <w:t xml:space="preserve">org_units</w:t>
      </w:r>
    </w:p>
    <w:p>
      <w:pPr>
        <w:spacing w:after="160"/>
      </w:pPr>
      <w:r>
        <w:t xml:space="preserve">Proposed Implementation Decision: Company, Division, Plant and Warehouse are modelled as a single self-referential hierarchy table distinguished by unit_type, rather than four separate tables, to keep hierarchy traversal (and future new levels) simple. Confirm before final implementation if the source note requires physically separate tables.</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org_unit_id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parent_org_unit_id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org_units.org_unit_id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NULL for Company (top level).</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unit_type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COMPANY / DIVISION / PLANT / WAREHOUSE.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unit_code</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VARCHAR(30)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w:t>
            </w:r>
          </w:p>
        </w:tc>
        <w:tc>
          <w:tcPr>
            <w:tcW w:type="dxa" w:w="2350"/>
            <w:tcMar>
              <w:top w:type="dxa" w:w="60"/>
              <w:left w:type="dxa" w:w="100"/>
              <w:bottom w:type="dxa" w:w="60"/>
              <w:right w:type="dxa" w:w="100"/>
            </w:tcMar>
            <w:vAlign w:val="center"/>
          </w:tcPr>
          <w:p>
            <w:pPr>
              <w:jc w:val="left"/>
            </w:pPr>
            <w:r>
              <w:rPr>
                <w:b w:val="false"/>
                <w:bCs w:val="false"/>
                <w:sz w:val="18"/>
                <w:szCs w:val="18"/>
              </w:rPr>
              <w:t xml:space="preserve">Unique within tenant.</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unit_name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VARCHAR(150)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Display name.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currency_code</w:t>
            </w:r>
          </w:p>
        </w:tc>
        <w:tc>
          <w:tcPr>
            <w:tcW w:type="dxa" w:w="1300"/>
            <w:tcMar>
              <w:top w:type="dxa" w:w="60"/>
              <w:left w:type="dxa" w:w="100"/>
              <w:bottom w:type="dxa" w:w="60"/>
              <w:right w:type="dxa" w:w="100"/>
            </w:tcMar>
            <w:vAlign w:val="center"/>
          </w:tcPr>
          <w:p>
            <w:pPr>
              <w:jc w:val="left"/>
            </w:pPr>
            <w:r>
              <w:rPr>
                <w:b w:val="false"/>
                <w:bCs w:val="false"/>
                <w:sz w:val="18"/>
                <w:szCs w:val="18"/>
              </w:rPr>
              <w:t xml:space="preserve">CHAR(3)</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currencies.currency_code</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Applicable at Company level typically.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'active'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active / inactive.</w:t>
            </w:r>
          </w:p>
        </w:tc>
      </w:tr>
    </w:tbl>
    <w:p>
      <w:pPr>
        <w:spacing w:after="200"/>
      </w:pPr>
    </w:p>
    <w:p>
      <w:pPr>
        <w:pStyle w:val="Heading3"/>
        <w:spacing w:after="120" w:before="240"/>
      </w:pPr>
      <w:r>
        <w:rPr>
          <w:b/>
          <w:bCs/>
        </w:rPr>
        <w:t xml:space="preserve">periods</w:t>
      </w:r>
    </w:p>
    <w:p>
      <w:pPr>
        <w:spacing w:after="160"/>
      </w:pPr>
      <w:r>
        <w:t xml:space="preserve">Financial periods per tenant/company, with lock status controlling data mutability (FR-AUD-002).</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period_id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org_unit_id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org_units.org_unit_id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Company the period belongs to.</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period_code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VARCHAR(10)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e.g. 2026-09.</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start_date</w:t>
            </w:r>
          </w:p>
        </w:tc>
        <w:tc>
          <w:tcPr>
            <w:tcW w:type="dxa" w:w="1300"/>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Period start.</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end_date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end.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'open'</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open / locked.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locked_at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Set on lock (FR-AUD-002).</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locked_by</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Set on lock.</w:t>
            </w:r>
          </w:p>
        </w:tc>
      </w:tr>
    </w:tbl>
    <w:p>
      <w:pPr>
        <w:spacing w:after="200"/>
      </w:pPr>
    </w:p>
    <w:p>
      <w:pPr>
        <w:pStyle w:val="Heading3"/>
        <w:spacing w:after="120" w:before="240"/>
      </w:pPr>
      <w:r>
        <w:rPr>
          <w:b/>
          <w:bCs/>
        </w:rPr>
        <w:t xml:space="preserve">Master Data</w:t>
      </w:r>
    </w:p>
    <w:p>
      <w:pPr>
        <w:pStyle w:val="Heading3"/>
        <w:spacing w:after="120" w:before="240"/>
      </w:pPr>
      <w:r>
        <w:rPr>
          <w:b/>
          <w:bCs/>
        </w:rPr>
        <w:t xml:space="preserve">items</w:t>
      </w:r>
    </w:p>
    <w:p>
      <w:pPr>
        <w:spacing w:after="160"/>
      </w:pPr>
      <w:r>
        <w:t xml:space="preserve">Item Master (MD-01) — canonical record for every raw material, semi-finished, finished or service item.</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item_id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item_code</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VARCHAR(50)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w:t>
            </w:r>
          </w:p>
        </w:tc>
        <w:tc>
          <w:tcPr>
            <w:tcW w:type="dxa" w:w="2350"/>
            <w:tcMar>
              <w:top w:type="dxa" w:w="60"/>
              <w:left w:type="dxa" w:w="100"/>
              <w:bottom w:type="dxa" w:w="60"/>
              <w:right w:type="dxa" w:w="100"/>
            </w:tcMar>
            <w:vAlign w:val="center"/>
          </w:tcPr>
          <w:p>
            <w:pPr>
              <w:jc w:val="left"/>
            </w:pPr>
            <w:r>
              <w:rPr>
                <w:b w:val="false"/>
                <w:bCs w:val="false"/>
                <w:sz w:val="18"/>
                <w:szCs w:val="18"/>
              </w:rPr>
              <w:t xml:space="preserve">Unique within tenant.</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item_name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VARCHAR(200)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Display name.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item_category_id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item_categories.item_category_id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Classification.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item_type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RAW / SEMI_FINISHED / FINISHED / SERVICE.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base_uom_id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uom.uom_id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Base unit of measure.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valuation_method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FIFO / PERIODIC_WAC / MOVING_WAC / SPECIFIC.</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'active'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active / inactive, effective-dated (see governance).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now()</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bl>
    <w:p>
      <w:pPr>
        <w:spacing w:after="200"/>
      </w:pPr>
    </w:p>
    <w:p>
      <w:pPr>
        <w:pStyle w:val="Heading3"/>
        <w:spacing w:after="120" w:before="240"/>
      </w:pPr>
      <w:r>
        <w:rPr>
          <w:b/>
          <w:bCs/>
        </w:rPr>
        <w:t xml:space="preserve">bom_header</w:t>
      </w:r>
    </w:p>
    <w:p>
      <w:pPr>
        <w:spacing w:after="160"/>
      </w:pPr>
      <w:r>
        <w:t xml:space="preserve">BOM Master header (MD-15) — one row per BOM version of a parent item.</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bom_id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parent_item_id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items.item_id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Item this BOM produces.</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bom_version</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Sequential version number per item.</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base_quantity</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NUMERIC(18,4)</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1</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Quantity of parent this BOM produces.</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base_uom_id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uom.uom_id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UOM of base_quantity.</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effective_from</w:t>
            </w:r>
          </w:p>
        </w:tc>
        <w:tc>
          <w:tcPr>
            <w:tcW w:type="dxa" w:w="1300"/>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Effective-dating start.</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effective_to</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Effective-dating end; NULL = open-ended.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'draft'</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draft / active / obsolete (BR-BOM-002).</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approved_by</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Master Data Governance approval.</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approved_at</w:t>
            </w:r>
          </w:p>
        </w:tc>
        <w:tc>
          <w:tcPr>
            <w:tcW w:type="dxa" w:w="13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Approval timestamp.</w:t>
            </w:r>
          </w:p>
        </w:tc>
      </w:tr>
    </w:tbl>
    <w:p>
      <w:pPr>
        <w:spacing w:after="200"/>
      </w:pPr>
    </w:p>
    <w:p>
      <w:pPr>
        <w:pStyle w:val="Heading3"/>
        <w:spacing w:after="120" w:before="240"/>
      </w:pPr>
      <w:r>
        <w:rPr>
          <w:b/>
          <w:bCs/>
        </w:rPr>
        <w:t xml:space="preserve">bom_components</w:t>
      </w:r>
    </w:p>
    <w:p>
      <w:pPr>
        <w:spacing w:after="160"/>
      </w:pPr>
      <w:r>
        <w:t xml:space="preserve">BOM Master component lines (MD-15) — supports multi-level BOM via self-reference through parent_item_id on the component's own bom_header.</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bom_component_id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bom_id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bom_header.bom_id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BOM header.</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line_no</w:t>
            </w:r>
          </w:p>
        </w:tc>
        <w:tc>
          <w:tcPr>
            <w:tcW w:type="dxa" w:w="1300"/>
            <w:tcMar>
              <w:top w:type="dxa" w:w="60"/>
              <w:left w:type="dxa" w:w="100"/>
              <w:bottom w:type="dxa" w:w="60"/>
              <w:right w:type="dxa" w:w="100"/>
            </w:tcMar>
            <w:vAlign w:val="center"/>
          </w:tcPr>
          <w:p>
            <w:pPr>
              <w:jc w:val="left"/>
            </w:pPr>
            <w:r>
              <w:rPr>
                <w:b w:val="false"/>
                <w:bCs w:val="false"/>
                <w:sz w:val="18"/>
                <w:szCs w:val="18"/>
              </w:rPr>
              <w:t xml:space="preserve">INTEGER</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Line sequence.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component_item_id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items.item_id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Component item (CHECK: ≠ parent_item_id, BR-BOM-001).</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quantity_per</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NUMERIC(18,6)</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Quantity of component per base_quantity of parent.</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uom_id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uom.uom_id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UOM of quantity_per.</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scrap_pct</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NUMERIC(5,2)</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0</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Optional scrap allowance.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is_phantom</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false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Proposed — pass-through component flag.</w:t>
            </w:r>
          </w:p>
        </w:tc>
      </w:tr>
    </w:tbl>
    <w:p>
      <w:pPr>
        <w:spacing w:after="200"/>
      </w:pPr>
    </w:p>
    <w:p>
      <w:pPr>
        <w:pStyle w:val="Heading3"/>
        <w:spacing w:after="120" w:before="240"/>
      </w:pPr>
      <w:r>
        <w:rPr>
          <w:b/>
          <w:bCs/>
        </w:rPr>
        <w:t xml:space="preserve">standard_costs</w:t>
      </w:r>
    </w:p>
    <w:p>
      <w:pPr>
        <w:spacing w:after="160"/>
      </w:pPr>
      <w:r>
        <w:t xml:space="preserve">Standard Cost Master (MD-16) — effective-dated standard rate per item/cost component.</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standard_cost_id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item_id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items.item_id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Item being costed.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cost_component_id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cost_components.cost_component_id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Material/Labour/Machine/Overhead/Other Direct.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standard_rate</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NUMERIC(18,4)</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Rate/amount, ≥ 0 (CHECK constraint).</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uom_id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uom.uom_id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UOM the rate applies to, where relevant.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effective_from</w:t>
            </w:r>
          </w:p>
        </w:tc>
        <w:tc>
          <w:tcPr>
            <w:tcW w:type="dxa" w:w="1300"/>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Effective-dating start.</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effective_to</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Effective-dating end.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costing_version_id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costing_versions.costing_version_id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Version this rate was locked under, once used.</w:t>
            </w:r>
          </w:p>
        </w:tc>
      </w:tr>
    </w:tbl>
    <w:p>
      <w:pPr>
        <w:spacing w:after="200"/>
      </w:pPr>
    </w:p>
    <w:p>
      <w:pPr>
        <w:pStyle w:val="Heading3"/>
        <w:spacing w:after="120" w:before="240"/>
      </w:pPr>
      <w:r>
        <w:rPr>
          <w:b/>
          <w:bCs/>
        </w:rPr>
        <w:t xml:space="preserve">Data Intake</w:t>
      </w:r>
    </w:p>
    <w:p>
      <w:pPr>
        <w:pStyle w:val="Heading3"/>
        <w:spacing w:after="120" w:before="240"/>
      </w:pPr>
      <w:r>
        <w:rPr>
          <w:b/>
          <w:bCs/>
        </w:rPr>
        <w:t xml:space="preserve">uploads</w:t>
      </w:r>
    </w:p>
    <w:p>
      <w:pPr>
        <w:spacing w:after="160"/>
      </w:pPr>
      <w:r>
        <w:t xml:space="preserve">One row per source file uploaded via Upload Centre (FR-UPL-001).</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upload_id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org_unit_id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org_units.org_unit_id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Company/Plant scope.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periods.period_id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Target period.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source_type</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VARCHAR(30)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TRIAL_BALANCE / STOCK / BOM / PRODUCTION / etc.</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source_system_id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source_systems.source_system_id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Registered source layout, if recognised.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file_name</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VARCHAR(255)</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Original file name.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file_hash</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VARCHAR(128)</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SHA-256 hash for immutability verification.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storage_path</w:t>
            </w:r>
          </w:p>
        </w:tc>
        <w:tc>
          <w:tcPr>
            <w:tcW w:type="dxa" w:w="1300"/>
            <w:tcMar>
              <w:top w:type="dxa" w:w="60"/>
              <w:left w:type="dxa" w:w="100"/>
              <w:bottom w:type="dxa" w:w="60"/>
              <w:right w:type="dxa" w:w="100"/>
            </w:tcMar>
            <w:vAlign w:val="center"/>
          </w:tcPr>
          <w:p>
            <w:pPr>
              <w:jc w:val="left"/>
            </w:pPr>
            <w:r>
              <w:rPr>
                <w:b w:val="false"/>
                <w:bCs w:val="false"/>
                <w:sz w:val="18"/>
                <w:szCs w:val="18"/>
              </w:rPr>
              <w:t xml:space="preserve">TEXT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Path in File/Source Data Storage.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VARCHAR(30)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'uploaded'</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uploaded / pending_mapping / pending_validation / validated / processed / error.</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uploaded_by</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Actor (audit).</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now()</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 lineage root timestamp.</w:t>
            </w:r>
          </w:p>
        </w:tc>
      </w:tr>
    </w:tbl>
    <w:p>
      <w:pPr>
        <w:spacing w:after="200"/>
      </w:pPr>
    </w:p>
    <w:p>
      <w:pPr>
        <w:pStyle w:val="Heading3"/>
        <w:spacing w:after="120" w:before="240"/>
      </w:pPr>
      <w:r>
        <w:rPr>
          <w:b/>
          <w:bCs/>
        </w:rPr>
        <w:t xml:space="preserve">mapping_configurations</w:t>
      </w:r>
    </w:p>
    <w:p>
      <w:pPr>
        <w:spacing w:after="160"/>
      </w:pPr>
      <w:r>
        <w:t xml:space="preserve">Saved/applied field mappings from a source layout to the canonical Standard Data Model (FR-MAP-001).</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mapping_id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source_system_id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source_systems.source_system_id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Source layout this mapping applies to.</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source_type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VARCHAR(30)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Matches uploads.source_type.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mapping_json</w:t>
            </w:r>
          </w:p>
        </w:tc>
        <w:tc>
          <w:tcPr>
            <w:tcW w:type="dxa" w:w="1300"/>
            <w:tcMar>
              <w:top w:type="dxa" w:w="60"/>
              <w:left w:type="dxa" w:w="100"/>
              <w:bottom w:type="dxa" w:w="60"/>
              <w:right w:type="dxa" w:w="100"/>
            </w:tcMar>
            <w:vAlign w:val="center"/>
          </w:tcPr>
          <w:p>
            <w:pPr>
              <w:jc w:val="left"/>
            </w:pPr>
            <w:r>
              <w:rPr>
                <w:b w:val="false"/>
                <w:bCs w:val="false"/>
                <w:sz w:val="18"/>
                <w:szCs w:val="18"/>
              </w:rPr>
              <w:t xml:space="preserve">JSONB</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Column-to-field mapping + transformations; kept as JSONB since structure is inherently variable per source (justified use per Section 14.x, Part 2 database design notes).</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is_ai_assisted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false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True if AI suggestions contributed (FR-MAP-002).</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created_by</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Audit column.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now()</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bl>
    <w:p>
      <w:pPr>
        <w:spacing w:after="200"/>
      </w:pPr>
    </w:p>
    <w:p>
      <w:pPr>
        <w:pStyle w:val="Heading3"/>
        <w:spacing w:after="120" w:before="240"/>
      </w:pPr>
      <w:r>
        <w:rPr>
          <w:b/>
          <w:bCs/>
        </w:rPr>
        <w:t xml:space="preserve">validation_results</w:t>
      </w:r>
    </w:p>
    <w:p>
      <w:pPr>
        <w:spacing w:after="160"/>
      </w:pPr>
      <w:r>
        <w:t xml:space="preserve">Row/field-level validation findings for an upload (FR-VAL-001).</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validation_result_id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uploads.upload_id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upload.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source_row_ref</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Reference to the raw source row.</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rule_code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VARCHAR(50)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 rule identifier (Section 19, Part 3).</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severity</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VARCHAR(15)</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ERROR / WARNING / INFORMATION.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message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TEXT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Human-readable finding.</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resolved</w:t>
            </w:r>
          </w:p>
        </w:tc>
        <w:tc>
          <w:tcPr>
            <w:tcW w:type="dxa" w:w="1300"/>
            <w:tcMar>
              <w:top w:type="dxa" w:w="60"/>
              <w:left w:type="dxa" w:w="100"/>
              <w:bottom w:type="dxa" w:w="60"/>
              <w:right w:type="dxa" w:w="100"/>
            </w:tcMar>
            <w:vAlign w:val="center"/>
          </w:tcPr>
          <w:p>
            <w:pPr>
              <w:jc w:val="left"/>
            </w:pPr>
            <w:r>
              <w:rPr>
                <w:b w:val="false"/>
                <w:bCs w:val="false"/>
                <w:sz w:val="18"/>
                <w:szCs w:val="18"/>
              </w:rPr>
              <w:t xml:space="preserve">BOOLEAN</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false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True once corrected or overridden.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resolved_by</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bl>
    <w:p>
      <w:pPr>
        <w:spacing w:after="200"/>
      </w:pPr>
    </w:p>
    <w:p>
      <w:pPr>
        <w:pStyle w:val="Heading3"/>
        <w:spacing w:after="120" w:before="240"/>
      </w:pPr>
      <w:r>
        <w:rPr>
          <w:b/>
          <w:bCs/>
        </w:rPr>
        <w:t xml:space="preserve">Transactions and Costing Engine Output</w:t>
      </w:r>
    </w:p>
    <w:p>
      <w:pPr>
        <w:pStyle w:val="Heading3"/>
        <w:spacing w:after="120" w:before="240"/>
      </w:pPr>
      <w:r>
        <w:rPr>
          <w:b/>
          <w:bCs/>
        </w:rPr>
        <w:t xml:space="preserve">inventory_transactions</w:t>
      </w:r>
    </w:p>
    <w:p>
      <w:pPr>
        <w:spacing w:after="160"/>
      </w:pPr>
      <w:r>
        <w:t xml:space="preserve">Canonical inventory movement records (Section 11.1).</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inv_txn_id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item_id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items.item_id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Item moved.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warehouse_org_unit_id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org_units.org_unit_id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Warehouse (unit_type = WAREHOUSE).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period_id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periods.period_id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Period the transaction belongs to.</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txn_type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VARCHAR(15)</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RECEIPT / ISSUE / ADJUSTMENT.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quantity</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NUMERIC(18,4)</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CHECK &gt; 0.</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uom_id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uom.uom_id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Transaction UOM.</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unit_cost</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NUMERIC(18,6)</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Required for RECEIPT.</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txn_date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DATE</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Business date.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source_upload_id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uploads.upload_id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Lineage back-reference.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reversal_of_txn_id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inventory_transactions.inv_txn_id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Set for correcting transactions.</w:t>
            </w:r>
          </w:p>
        </w:tc>
      </w:tr>
    </w:tbl>
    <w:p>
      <w:pPr>
        <w:spacing w:after="200"/>
      </w:pPr>
    </w:p>
    <w:p>
      <w:pPr>
        <w:pStyle w:val="Heading3"/>
        <w:spacing w:after="120" w:before="240"/>
      </w:pPr>
      <w:r>
        <w:rPr>
          <w:b/>
          <w:bCs/>
        </w:rPr>
        <w:t xml:space="preserve">inventory_valuation_results</w:t>
      </w:r>
    </w:p>
    <w:p>
      <w:pPr>
        <w:spacing w:after="160"/>
      </w:pPr>
      <w:r>
        <w:t xml:space="preserve">Output of the Inventory Valuation Engine (FR-INV-001) per item/warehouse/period.</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valuation_result_id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item_id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items.item_id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Item valued.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warehouse_org_unit_id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org_units.org_unit_id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Warehouse.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periods.period_id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Period.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valuation_method</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Method applied for this run.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opening_qty</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NUMERIC(18,4)</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Opening quantity.</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opening_value</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Opening value.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closing_qty</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NUMERIC(18,4)</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Closing quantity.</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closing_value</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Closing value (must satisfy BR-INV-001, CHECK via engine, not DB-level).</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costing_run_id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costing_runs.costing_run_id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Run that produced this result.</w:t>
            </w:r>
          </w:p>
        </w:tc>
      </w:tr>
    </w:tbl>
    <w:p>
      <w:pPr>
        <w:spacing w:after="200"/>
      </w:pPr>
    </w:p>
    <w:p>
      <w:pPr>
        <w:pStyle w:val="Heading3"/>
        <w:spacing w:after="120" w:before="240"/>
      </w:pPr>
      <w:r>
        <w:rPr>
          <w:b/>
          <w:bCs/>
        </w:rPr>
        <w:t xml:space="preserve">costing_runs</w:t>
      </w:r>
    </w:p>
    <w:p>
      <w:pPr>
        <w:spacing w:after="160"/>
      </w:pPr>
      <w:r>
        <w:t xml:space="preserve">One row per execution of any costing engine (Inventory Valuation, BOM Roll-up, Product Costing, Overhead Allocation, Variance, Reconciliation).</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costing_run_id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tenant.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period_id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periods.period_id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Period run for.</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run_type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VARCHAR(30)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INVENTORY_VALUATION / BOM_ROLLUP / PRODUCT_COSTING / OVERHEAD_ALLOC / VARIANCE / RECONCILIATION.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mode</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VARCHAR(10)</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STANDARD / ACTUAL, where applicable.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'running'</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running / completed / failed / finalised.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triggered_by</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Audit column.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started_at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now()</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completed_at</w:t>
            </w:r>
          </w:p>
        </w:tc>
        <w:tc>
          <w:tcPr>
            <w:tcW w:type="dxa" w:w="1300"/>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Audit column.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costing_version_id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costing_versions.costing_version_id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Version this run is locked under, once finalised.</w:t>
            </w:r>
          </w:p>
        </w:tc>
      </w:tr>
    </w:tbl>
    <w:p>
      <w:pPr>
        <w:spacing w:after="200"/>
      </w:pPr>
    </w:p>
    <w:p>
      <w:pPr>
        <w:pStyle w:val="Heading3"/>
        <w:spacing w:after="120" w:before="240"/>
      </w:pPr>
      <w:r>
        <w:rPr>
          <w:b/>
          <w:bCs/>
        </w:rPr>
        <w:t xml:space="preserve">costing_results</w:t>
      </w:r>
    </w:p>
    <w:p>
      <w:pPr>
        <w:spacing w:after="160"/>
      </w:pPr>
      <w:r>
        <w:t xml:space="preserve">Output of Product Costing (FR-COST-001) per item/period/mode/version.</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costing_result_id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costing_run_id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costing_runs.costing_run_id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Owning run.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item_id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items.item_id</w:t>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Product costed.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material_cost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0</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From BOM roll-up.</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labour_cost</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0</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From labour data.</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machine_cost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0</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From machine data.</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overhead_cost</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0</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From Overhead Allocation.</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other_direct_cost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0</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Other direct cost.</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total_cost</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Sum of the above (BR-COST-001; enforced by engine and a CHECK/trigger — Proposed).</w:t>
            </w:r>
          </w:p>
        </w:tc>
      </w:tr>
    </w:tbl>
    <w:p>
      <w:pPr>
        <w:spacing w:after="200"/>
      </w:pPr>
    </w:p>
    <w:p>
      <w:pPr>
        <w:pStyle w:val="Heading3"/>
        <w:spacing w:after="120" w:before="240"/>
      </w:pPr>
      <w:r>
        <w:rPr>
          <w:b/>
          <w:bCs/>
        </w:rPr>
        <w:t xml:space="preserve">reconciliations</w:t>
      </w:r>
    </w:p>
    <w:p>
      <w:pPr>
        <w:spacing w:after="160"/>
      </w:pPr>
      <w:r>
        <w:t xml:space="preserve">Output of a Reconciliation run (FR-REC-001).</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reconciliation_id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periods.period_id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reconciled.</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recon_type</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TB / INVENTORY / PRODUCTION / CONSUMPTION / COSTING.</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computed_value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Cost360-computed figure.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source_value</w:t>
            </w:r>
          </w:p>
        </w:tc>
        <w:tc>
          <w:tcPr>
            <w:tcW w:type="dxa" w:w="1300"/>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TB/source figure.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variance_amount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NUMERIC(18,2)</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computed_value − source_value.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status</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VARCHAR(20)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'open'</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open / resolved / accepted.</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resolved_by</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Audit column.</w:t>
            </w:r>
          </w:p>
        </w:tc>
      </w:tr>
    </w:tbl>
    <w:p>
      <w:pPr>
        <w:spacing w:after="200"/>
      </w:pPr>
    </w:p>
    <w:p>
      <w:pPr>
        <w:pStyle w:val="Heading3"/>
        <w:spacing w:after="120" w:before="240"/>
      </w:pPr>
      <w:r>
        <w:rPr>
          <w:b/>
          <w:bCs/>
        </w:rPr>
        <w:t xml:space="preserve">Governance</w:t>
      </w:r>
    </w:p>
    <w:p>
      <w:pPr>
        <w:pStyle w:val="Heading3"/>
        <w:spacing w:after="120" w:before="240"/>
      </w:pPr>
      <w:r>
        <w:rPr>
          <w:b/>
          <w:bCs/>
        </w:rPr>
        <w:t xml:space="preserve">audit_trail</w:t>
      </w:r>
    </w:p>
    <w:p>
      <w:pPr>
        <w:spacing w:after="160"/>
      </w:pPr>
      <w:r>
        <w:t xml:space="preserve">Immutable append-only log of every material action across the platform (Section 21, Part 3).</w:t>
      </w:r>
    </w:p>
    <w:tbl>
      <w:tblPr>
        <w:tblW w:type="dxa" w:w="92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300"/>
        <w:gridCol w:w="550"/>
        <w:gridCol w:w="900"/>
        <w:gridCol w:w="500"/>
        <w:gridCol w:w="1500"/>
        <w:gridCol w:w="600"/>
        <w:gridCol w:w="235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Column</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Data Type</w:t>
            </w:r>
          </w:p>
        </w:tc>
        <w:tc>
          <w:tcPr>
            <w:tcW w:type="dxa" w:w="550"/>
            <w:shd w:fill="1F3864" w:color="auto" w:val="clear"/>
            <w:tcMar>
              <w:top w:type="dxa" w:w="60"/>
              <w:left w:type="dxa" w:w="100"/>
              <w:bottom w:type="dxa" w:w="60"/>
              <w:right w:type="dxa" w:w="100"/>
            </w:tcMar>
            <w:vAlign w:val="center"/>
          </w:tcPr>
          <w:p>
            <w:pPr>
              <w:jc w:val="left"/>
            </w:pPr>
            <w:r>
              <w:rPr>
                <w:b/>
                <w:bCs/>
                <w:color w:val="FFFFFF"/>
                <w:sz w:val="18"/>
                <w:szCs w:val="18"/>
              </w:rPr>
              <w:t xml:space="preserve">Null</w:t>
            </w:r>
          </w:p>
        </w:tc>
        <w:tc>
          <w:tcPr>
            <w:tcW w:type="dxa" w:w="900"/>
            <w:shd w:fill="1F3864" w:color="auto" w:val="clear"/>
            <w:tcMar>
              <w:top w:type="dxa" w:w="60"/>
              <w:left w:type="dxa" w:w="100"/>
              <w:bottom w:type="dxa" w:w="60"/>
              <w:right w:type="dxa" w:w="100"/>
            </w:tcMar>
            <w:vAlign w:val="center"/>
          </w:tcPr>
          <w:p>
            <w:pPr>
              <w:jc w:val="left"/>
            </w:pPr>
            <w:r>
              <w:rPr>
                <w:b/>
                <w:bCs/>
                <w:color w:val="FFFFFF"/>
                <w:sz w:val="18"/>
                <w:szCs w:val="18"/>
              </w:rPr>
              <w:t xml:space="preserve">Default</w:t>
            </w:r>
          </w:p>
        </w:tc>
        <w:tc>
          <w:tcPr>
            <w:tcW w:type="dxa" w:w="500"/>
            <w:shd w:fill="1F3864" w:color="auto" w:val="clear"/>
            <w:tcMar>
              <w:top w:type="dxa" w:w="60"/>
              <w:left w:type="dxa" w:w="100"/>
              <w:bottom w:type="dxa" w:w="60"/>
              <w:right w:type="dxa" w:w="100"/>
            </w:tcMar>
            <w:vAlign w:val="center"/>
          </w:tcPr>
          <w:p>
            <w:pPr>
              <w:jc w:val="left"/>
            </w:pPr>
            <w:r>
              <w:rPr>
                <w:b/>
                <w:bCs/>
                <w:color w:val="FFFFFF"/>
                <w:sz w:val="18"/>
                <w:szCs w:val="18"/>
              </w:rPr>
              <w:t xml:space="preserve">PK</w:t>
            </w:r>
          </w:p>
        </w:tc>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FK</w:t>
            </w:r>
          </w:p>
        </w:tc>
        <w:tc>
          <w:tcPr>
            <w:tcW w:type="dxa" w:w="600"/>
            <w:shd w:fill="1F3864" w:color="auto" w:val="clear"/>
            <w:tcMar>
              <w:top w:type="dxa" w:w="60"/>
              <w:left w:type="dxa" w:w="100"/>
              <w:bottom w:type="dxa" w:w="60"/>
              <w:right w:type="dxa" w:w="100"/>
            </w:tcMar>
            <w:vAlign w:val="center"/>
          </w:tcPr>
          <w:p>
            <w:pPr>
              <w:jc w:val="left"/>
            </w:pPr>
            <w:r>
              <w:rPr>
                <w:b/>
                <w:bCs/>
                <w:color w:val="FFFFFF"/>
                <w:sz w:val="18"/>
                <w:szCs w:val="18"/>
              </w:rPr>
              <w:t xml:space="preserve">Uniq</w:t>
            </w:r>
          </w:p>
        </w:tc>
        <w:tc>
          <w:tcPr>
            <w:tcW w:type="dxa" w:w="235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audit_id</w:t>
            </w:r>
          </w:p>
        </w:tc>
        <w:tc>
          <w:tcPr>
            <w:tcW w:type="dxa" w:w="1300"/>
            <w:tcMar>
              <w:top w:type="dxa" w:w="60"/>
              <w:left w:type="dxa" w:w="100"/>
              <w:bottom w:type="dxa" w:w="60"/>
              <w:right w:type="dxa" w:w="100"/>
            </w:tcMar>
            <w:vAlign w:val="center"/>
          </w:tcPr>
          <w:p>
            <w:pPr>
              <w:jc w:val="left"/>
            </w:pPr>
            <w:r>
              <w:rPr>
                <w:b w:val="false"/>
                <w:bCs w:val="false"/>
                <w:sz w:val="18"/>
                <w:szCs w:val="18"/>
              </w:rPr>
              <w:t xml:space="preserve">BIGSERIAL</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auto</w:t>
            </w:r>
          </w:p>
        </w:tc>
        <w:tc>
          <w:tcPr>
            <w:tcW w:type="dxa" w:w="500"/>
            <w:tcMar>
              <w:top w:type="dxa" w:w="60"/>
              <w:left w:type="dxa" w:w="100"/>
              <w:bottom w:type="dxa" w:w="60"/>
              <w:right w:type="dxa" w:w="100"/>
            </w:tcMar>
            <w:vAlign w:val="center"/>
          </w:tcPr>
          <w:p>
            <w:pPr>
              <w:jc w:val="left"/>
            </w:pPr>
            <w:r>
              <w:rPr>
                <w:b w:val="false"/>
                <w:bCs w:val="false"/>
                <w:sz w:val="18"/>
                <w:szCs w:val="18"/>
              </w:rPr>
              <w:t xml:space="preserve">✓</w:t>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Primary key.</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tenants.tenant_id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NULL for platform-level events.</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entity_type</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VARCHAR(50)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e.g. 'bom_header', 'periods'.</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entity_id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PK of the affected row.</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action</w:t>
            </w:r>
          </w:p>
        </w:tc>
        <w:tc>
          <w:tcPr>
            <w:tcW w:type="dxa" w:w="1300"/>
            <w:tcMar>
              <w:top w:type="dxa" w:w="60"/>
              <w:left w:type="dxa" w:w="100"/>
              <w:bottom w:type="dxa" w:w="60"/>
              <w:right w:type="dxa" w:w="100"/>
            </w:tcMar>
            <w:vAlign w:val="center"/>
          </w:tcPr>
          <w:p>
            <w:pPr>
              <w:jc w:val="left"/>
            </w:pPr>
            <w:r>
              <w:rPr>
                <w:b w:val="false"/>
                <w:bCs w:val="false"/>
                <w:sz w:val="18"/>
                <w:szCs w:val="18"/>
              </w:rPr>
              <w:t xml:space="preserve">VARCHAR(30)</w:t>
            </w:r>
          </w:p>
        </w:tc>
        <w:tc>
          <w:tcPr>
            <w:tcW w:type="dxa" w:w="550"/>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CREATE / UPDATE / APPROVE / REJECT / LOCK / REOPEN / etc.</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old_value</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JSONB</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Prior state (JSONB justified: heterogeneous entity shapes).</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new_value</w:t>
            </w:r>
          </w:p>
        </w:tc>
        <w:tc>
          <w:tcPr>
            <w:tcW w:type="dxa" w:w="1300"/>
            <w:tcMar>
              <w:top w:type="dxa" w:w="60"/>
              <w:left w:type="dxa" w:w="100"/>
              <w:bottom w:type="dxa" w:w="60"/>
              <w:right w:type="dxa" w:w="100"/>
            </w:tcMar>
            <w:vAlign w:val="center"/>
          </w:tcPr>
          <w:p>
            <w:pPr>
              <w:jc w:val="left"/>
            </w:pPr>
            <w:r>
              <w:rPr>
                <w:b w:val="false"/>
                <w:bCs w:val="false"/>
                <w:sz w:val="18"/>
                <w:szCs w:val="18"/>
              </w:rPr>
              <w:t xml:space="preserve">JSONB</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New state.</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actor_id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BIGINT</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users.user_id</w:t>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Who performed the action.</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reason</w:t>
            </w:r>
          </w:p>
        </w:tc>
        <w:tc>
          <w:tcPr>
            <w:tcW w:type="dxa" w:w="1300"/>
            <w:tcMar>
              <w:top w:type="dxa" w:w="60"/>
              <w:left w:type="dxa" w:w="100"/>
              <w:bottom w:type="dxa" w:w="60"/>
              <w:right w:type="dxa" w:w="100"/>
            </w:tcMar>
            <w:vAlign w:val="center"/>
          </w:tcPr>
          <w:p>
            <w:pPr>
              <w:jc w:val="left"/>
            </w:pPr>
            <w:r>
              <w:rPr>
                <w:b w:val="false"/>
                <w:bCs w:val="false"/>
                <w:sz w:val="18"/>
                <w:szCs w:val="18"/>
              </w:rPr>
              <w:t xml:space="preserve">TEXT</w:t>
            </w:r>
          </w:p>
        </w:tc>
        <w:tc>
          <w:tcPr>
            <w:tcW w:type="dxa" w:w="550"/>
            <w:tcMar>
              <w:top w:type="dxa" w:w="60"/>
              <w:left w:type="dxa" w:w="100"/>
              <w:bottom w:type="dxa" w:w="60"/>
              <w:right w:type="dxa" w:w="100"/>
            </w:tcMar>
            <w:vAlign w:val="center"/>
          </w:tcPr>
          <w:p>
            <w:pPr>
              <w:jc w:val="left"/>
            </w:pPr>
            <w:r>
              <w:rPr>
                <w:b w:val="false"/>
                <w:bCs w:val="false"/>
                <w:sz w:val="18"/>
                <w:szCs w:val="18"/>
              </w:rPr>
              <w:t xml:space="preserve">Yes</w:t>
            </w:r>
          </w:p>
        </w:tc>
        <w:tc>
          <w:tcPr>
            <w:tcW w:type="dxa" w:w="900"/>
            <w:tcMar>
              <w:top w:type="dxa" w:w="60"/>
              <w:left w:type="dxa" w:w="100"/>
              <w:bottom w:type="dxa" w:w="60"/>
              <w:right w:type="dxa" w:w="100"/>
            </w:tcMar>
            <w:vAlign w:val="center"/>
          </w:tcPr>
          <w:p>
            <w:pPr>
              <w:jc w:val="left"/>
            </w:pPr>
            <w:r>
              <w:rPr>
                <w:b w:val="false"/>
                <w:bCs w:val="false"/>
                <w:sz w:val="18"/>
                <w:szCs w:val="18"/>
              </w:rPr>
              <w:t xml:space="preserve">–</w:t>
            </w:r>
          </w:p>
        </w:tc>
        <w:tc>
          <w:tcPr>
            <w:tcW w:type="dxa" w:w="500"/>
            <w:tcMar>
              <w:top w:type="dxa" w:w="60"/>
              <w:left w:type="dxa" w:w="100"/>
              <w:bottom w:type="dxa" w:w="60"/>
              <w:right w:type="dxa" w:w="100"/>
            </w:tcMar>
            <w:vAlign w:val="center"/>
          </w:tcPr>
          <w:p>
            <w:pPr>
              <w:jc w:val="left"/>
            </w:pPr>
            <w:r>
              <w:rPr>
                <w:b w:val="false"/>
                <w:bCs w:val="false"/>
                <w:sz w:val="18"/>
                <w:szCs w:val="18"/>
              </w:rPr>
              <w:t xml:space="preserve"/>
            </w:r>
          </w:p>
        </w:tc>
        <w:tc>
          <w:tcPr>
            <w:tcW w:type="dxa" w:w="1500"/>
            <w:tcMar>
              <w:top w:type="dxa" w:w="60"/>
              <w:left w:type="dxa" w:w="100"/>
              <w:bottom w:type="dxa" w:w="60"/>
              <w:right w:type="dxa" w:w="100"/>
            </w:tcMar>
            <w:vAlign w:val="center"/>
          </w:tcPr>
          <w:p>
            <w:pPr>
              <w:jc w:val="left"/>
            </w:pPr>
            <w:r>
              <w:rPr>
                <w:b w:val="false"/>
                <w:bCs w:val="false"/>
                <w:sz w:val="18"/>
                <w:szCs w:val="18"/>
              </w:rPr>
              <w:t xml:space="preserve"/>
            </w:r>
          </w:p>
        </w:tc>
        <w:tc>
          <w:tcPr>
            <w:tcW w:type="dxa" w:w="600"/>
            <w:tcMar>
              <w:top w:type="dxa" w:w="60"/>
              <w:left w:type="dxa" w:w="100"/>
              <w:bottom w:type="dxa" w:w="60"/>
              <w:right w:type="dxa" w:w="100"/>
            </w:tcMar>
            <w:vAlign w:val="center"/>
          </w:tcPr>
          <w:p>
            <w:pPr>
              <w:jc w:val="left"/>
            </w:pPr>
            <w:r>
              <w:rPr>
                <w:b w:val="false"/>
                <w:bCs w:val="false"/>
                <w:sz w:val="18"/>
                <w:szCs w:val="18"/>
              </w:rPr>
              <w:t xml:space="preserve"/>
            </w:r>
          </w:p>
        </w:tc>
        <w:tc>
          <w:tcPr>
            <w:tcW w:type="dxa" w:w="2350"/>
            <w:tcMar>
              <w:top w:type="dxa" w:w="60"/>
              <w:left w:type="dxa" w:w="100"/>
              <w:bottom w:type="dxa" w:w="60"/>
              <w:right w:type="dxa" w:w="100"/>
            </w:tcMar>
            <w:vAlign w:val="center"/>
          </w:tcPr>
          <w:p>
            <w:pPr>
              <w:jc w:val="left"/>
            </w:pPr>
            <w:r>
              <w:rPr>
                <w:b w:val="false"/>
                <w:bCs w:val="false"/>
                <w:sz w:val="18"/>
                <w:szCs w:val="18"/>
              </w:rPr>
              <w:t xml:space="preserve">Mandatory for REOPEN / overrides.</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created_at</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TIMESTAMPTZ</w:t>
            </w:r>
          </w:p>
        </w:tc>
        <w:tc>
          <w:tcPr>
            <w:tcW w:type="dxa" w:w="550"/>
            <w:shd w:fill="F2F2F2" w:color="auto" w:val="clear"/>
            <w:tcMar>
              <w:top w:type="dxa" w:w="60"/>
              <w:left w:type="dxa" w:w="100"/>
              <w:bottom w:type="dxa" w:w="60"/>
              <w:right w:type="dxa" w:w="100"/>
            </w:tcMar>
            <w:vAlign w:val="center"/>
          </w:tcPr>
          <w:p>
            <w:pPr>
              <w:jc w:val="left"/>
            </w:pPr>
            <w:r>
              <w:rPr>
                <w:b w:val="false"/>
                <w:bCs w:val="false"/>
                <w:sz w:val="18"/>
                <w:szCs w:val="18"/>
              </w:rPr>
              <w:t xml:space="preserve">No</w:t>
            </w:r>
          </w:p>
        </w:tc>
        <w:tc>
          <w:tcPr>
            <w:tcW w:type="dxa" w:w="900"/>
            <w:shd w:fill="F2F2F2" w:color="auto" w:val="clear"/>
            <w:tcMar>
              <w:top w:type="dxa" w:w="60"/>
              <w:left w:type="dxa" w:w="100"/>
              <w:bottom w:type="dxa" w:w="60"/>
              <w:right w:type="dxa" w:w="100"/>
            </w:tcMar>
            <w:vAlign w:val="center"/>
          </w:tcPr>
          <w:p>
            <w:pPr>
              <w:jc w:val="left"/>
            </w:pPr>
            <w:r>
              <w:rPr>
                <w:b w:val="false"/>
                <w:bCs w:val="false"/>
                <w:sz w:val="18"/>
                <w:szCs w:val="18"/>
              </w:rPr>
              <w:t xml:space="preserve">now()</w:t>
            </w:r>
          </w:p>
        </w:tc>
        <w:tc>
          <w:tcPr>
            <w:tcW w:type="dxa" w:w="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6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350"/>
            <w:shd w:fill="F2F2F2" w:color="auto" w:val="clear"/>
            <w:tcMar>
              <w:top w:type="dxa" w:w="60"/>
              <w:left w:type="dxa" w:w="100"/>
              <w:bottom w:type="dxa" w:w="60"/>
              <w:right w:type="dxa" w:w="100"/>
            </w:tcMar>
            <w:vAlign w:val="center"/>
          </w:tcPr>
          <w:p>
            <w:pPr>
              <w:jc w:val="left"/>
            </w:pPr>
            <w:r>
              <w:rPr>
                <w:b w:val="false"/>
                <w:bCs w:val="false"/>
                <w:sz w:val="18"/>
                <w:szCs w:val="18"/>
              </w:rPr>
              <w:t xml:space="preserve">Immutable timestamp — no updated_at (append-only).</w:t>
            </w:r>
          </w:p>
        </w:tc>
      </w:tr>
    </w:tbl>
    <w:p>
      <w:pPr>
        <w:spacing w:after="200"/>
      </w:pPr>
    </w:p>
    <w:p>
      <w:pPr>
        <w:pStyle w:val="Heading2"/>
        <w:spacing w:after="160" w:before="320"/>
      </w:pPr>
      <w:r>
        <w:rPr>
          <w:b/>
          <w:bCs/>
        </w:rPr>
        <w:t xml:space="preserve">16.2 Supporting Entities — Table Inventory (Proposed)</w:t>
      </w:r>
    </w:p>
    <w:p>
      <w:pPr>
        <w:spacing w:after="160"/>
      </w:pPr>
      <w:r>
        <w:t xml:space="preserve">These tables are required by the module and requirement specifications in this document; full column-level detail is deferred to keep Part 2 focused, and should be completed before implementation begins on the corresponding module.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720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Table</w:t>
            </w:r>
          </w:p>
        </w:tc>
        <w:tc>
          <w:tcPr>
            <w:tcW w:type="dxa" w:w="7200"/>
            <w:shd w:fill="1F3864" w:color="auto" w:val="clear"/>
            <w:tcMar>
              <w:top w:type="dxa" w:w="60"/>
              <w:left w:type="dxa" w:w="100"/>
              <w:bottom w:type="dxa" w:w="60"/>
              <w:right w:type="dxa" w:w="100"/>
            </w:tcMar>
            <w:vAlign w:val="center"/>
          </w:tcPr>
          <w:p>
            <w:pPr>
              <w:jc w:val="left"/>
            </w:pPr>
            <w:r>
              <w:rPr>
                <w:b/>
                <w:bCs/>
                <w:color w:val="FFFFFF"/>
                <w:sz w:val="18"/>
                <w:szCs w:val="18"/>
              </w:rPr>
              <w:t xml:space="preserve">Purpose (Proposed — full column-level entry to follow in a later revision)</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item_categories</w:t>
            </w:r>
          </w:p>
        </w:tc>
        <w:tc>
          <w:tcPr>
            <w:tcW w:type="dxa" w:w="7200"/>
            <w:tcMar>
              <w:top w:type="dxa" w:w="60"/>
              <w:left w:type="dxa" w:w="100"/>
              <w:bottom w:type="dxa" w:w="60"/>
              <w:right w:type="dxa" w:w="100"/>
            </w:tcMar>
            <w:vAlign w:val="center"/>
          </w:tcPr>
          <w:p>
            <w:pPr>
              <w:jc w:val="left"/>
            </w:pPr>
            <w:r>
              <w:rPr>
                <w:b w:val="false"/>
                <w:bCs w:val="false"/>
                <w:sz w:val="18"/>
                <w:szCs w:val="18"/>
              </w:rPr>
              <w:t xml:space="preserve">Classification hierarchy for items.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uom</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Unit-of-measure catalogue.</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uom_conversion</w:t>
            </w:r>
          </w:p>
        </w:tc>
        <w:tc>
          <w:tcPr>
            <w:tcW w:type="dxa" w:w="7200"/>
            <w:tcMar>
              <w:top w:type="dxa" w:w="60"/>
              <w:left w:type="dxa" w:w="100"/>
              <w:bottom w:type="dxa" w:w="60"/>
              <w:right w:type="dxa" w:w="100"/>
            </w:tcMar>
            <w:vAlign w:val="center"/>
          </w:tcPr>
          <w:p>
            <w:pPr>
              <w:jc w:val="left"/>
            </w:pPr>
            <w:r>
              <w:rPr>
                <w:b w:val="false"/>
                <w:bCs w:val="false"/>
                <w:sz w:val="18"/>
                <w:szCs w:val="18"/>
              </w:rPr>
              <w:t xml:space="preserve">Conversion factors between UOM pairs, effective-dated.</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vendors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Vendor/supplier master.</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customers_business</w:t>
            </w:r>
          </w:p>
        </w:tc>
        <w:tc>
          <w:tcPr>
            <w:tcW w:type="dxa" w:w="7200"/>
            <w:tcMar>
              <w:top w:type="dxa" w:w="60"/>
              <w:left w:type="dxa" w:w="100"/>
              <w:bottom w:type="dxa" w:w="60"/>
              <w:right w:type="dxa" w:w="100"/>
            </w:tcMar>
            <w:vAlign w:val="center"/>
          </w:tcPr>
          <w:p>
            <w:pPr>
              <w:jc w:val="left"/>
            </w:pPr>
            <w:r>
              <w:rPr>
                <w:b w:val="false"/>
                <w:bCs w:val="false"/>
                <w:sz w:val="18"/>
                <w:szCs w:val="18"/>
              </w:rPr>
              <w:t xml:space="preserve">Tenant's own sales customers (distinct from platform tenants).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accounts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Chart of accounts.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cost_centres</w:t>
            </w:r>
          </w:p>
        </w:tc>
        <w:tc>
          <w:tcPr>
            <w:tcW w:type="dxa" w:w="7200"/>
            <w:tcMar>
              <w:top w:type="dxa" w:w="60"/>
              <w:left w:type="dxa" w:w="100"/>
              <w:bottom w:type="dxa" w:w="60"/>
              <w:right w:type="dxa" w:w="100"/>
            </w:tcMar>
            <w:vAlign w:val="center"/>
          </w:tcPr>
          <w:p>
            <w:pPr>
              <w:jc w:val="left"/>
            </w:pPr>
            <w:r>
              <w:rPr>
                <w:b w:val="false"/>
                <w:bCs w:val="false"/>
                <w:sz w:val="18"/>
                <w:szCs w:val="18"/>
              </w:rPr>
              <w:t xml:space="preserve">Cost centre master.</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profit_centres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Profit centre master.</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gl_classification</w:t>
            </w:r>
          </w:p>
        </w:tc>
        <w:tc>
          <w:tcPr>
            <w:tcW w:type="dxa" w:w="7200"/>
            <w:tcMar>
              <w:top w:type="dxa" w:w="60"/>
              <w:left w:type="dxa" w:w="100"/>
              <w:bottom w:type="dxa" w:w="60"/>
              <w:right w:type="dxa" w:w="100"/>
            </w:tcMar>
            <w:vAlign w:val="center"/>
          </w:tcPr>
          <w:p>
            <w:pPr>
              <w:jc w:val="left"/>
            </w:pPr>
            <w:r>
              <w:rPr>
                <w:b w:val="false"/>
                <w:bCs w:val="false"/>
                <w:sz w:val="18"/>
                <w:szCs w:val="18"/>
              </w:rPr>
              <w:t xml:space="preserve">Maps GL accounts to cost-relevant categories.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cost_components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Material/Labour/Machine/Overhead/Other Direct categories.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labour_rates</w:t>
            </w:r>
          </w:p>
        </w:tc>
        <w:tc>
          <w:tcPr>
            <w:tcW w:type="dxa" w:w="7200"/>
            <w:tcMar>
              <w:top w:type="dxa" w:w="60"/>
              <w:left w:type="dxa" w:w="100"/>
              <w:bottom w:type="dxa" w:w="60"/>
              <w:right w:type="dxa" w:w="100"/>
            </w:tcMar>
            <w:vAlign w:val="center"/>
          </w:tcPr>
          <w:p>
            <w:pPr>
              <w:jc w:val="left"/>
            </w:pPr>
            <w:r>
              <w:rPr>
                <w:b w:val="false"/>
                <w:bCs w:val="false"/>
                <w:sz w:val="18"/>
                <w:szCs w:val="18"/>
              </w:rPr>
              <w:t xml:space="preserve">Labour rate master, effective-dated.</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machine_rates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Machine/process rate master, effective-dated.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allocation_rules</w:t>
            </w:r>
          </w:p>
        </w:tc>
        <w:tc>
          <w:tcPr>
            <w:tcW w:type="dxa" w:w="7200"/>
            <w:tcMar>
              <w:top w:type="dxa" w:w="60"/>
              <w:left w:type="dxa" w:w="100"/>
              <w:bottom w:type="dxa" w:w="60"/>
              <w:right w:type="dxa" w:w="100"/>
            </w:tcMar>
            <w:vAlign w:val="center"/>
          </w:tcPr>
          <w:p>
            <w:pPr>
              <w:jc w:val="left"/>
            </w:pPr>
            <w:r>
              <w:rPr>
                <w:b w:val="false"/>
                <w:bCs w:val="false"/>
                <w:sz w:val="18"/>
                <w:szCs w:val="18"/>
              </w:rPr>
              <w:t xml:space="preserve">Overhead allocation basis/driver configuration.</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source_systems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Registered customer source layouts.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mapping_dictionary</w:t>
            </w:r>
          </w:p>
        </w:tc>
        <w:tc>
          <w:tcPr>
            <w:tcW w:type="dxa" w:w="7200"/>
            <w:tcMar>
              <w:top w:type="dxa" w:w="60"/>
              <w:left w:type="dxa" w:w="100"/>
              <w:bottom w:type="dxa" w:w="60"/>
              <w:right w:type="dxa" w:w="100"/>
            </w:tcMar>
            <w:vAlign w:val="center"/>
          </w:tcPr>
          <w:p>
            <w:pPr>
              <w:jc w:val="left"/>
            </w:pPr>
            <w:r>
              <w:rPr>
                <w:b w:val="false"/>
                <w:bCs w:val="false"/>
                <w:sz w:val="18"/>
                <w:szCs w:val="18"/>
              </w:rPr>
              <w:t xml:space="preserve">Reusable library of field-mapping definitions.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data_quality_scores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Computed data-quality score per upload.</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trial_balance</w:t>
            </w:r>
          </w:p>
        </w:tc>
        <w:tc>
          <w:tcPr>
            <w:tcW w:type="dxa" w:w="7200"/>
            <w:tcMar>
              <w:top w:type="dxa" w:w="60"/>
              <w:left w:type="dxa" w:w="100"/>
              <w:bottom w:type="dxa" w:w="60"/>
              <w:right w:type="dxa" w:w="100"/>
            </w:tcMar>
            <w:vAlign w:val="center"/>
          </w:tcPr>
          <w:p>
            <w:pPr>
              <w:jc w:val="left"/>
            </w:pPr>
            <w:r>
              <w:rPr>
                <w:b w:val="false"/>
                <w:bCs w:val="false"/>
                <w:sz w:val="18"/>
                <w:szCs w:val="18"/>
              </w:rPr>
              <w:t xml:space="preserve">Uploaded/validated trial balance lines.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purchase_transactions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Procurement receipt records.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production_transactions</w:t>
            </w:r>
          </w:p>
        </w:tc>
        <w:tc>
          <w:tcPr>
            <w:tcW w:type="dxa" w:w="7200"/>
            <w:tcMar>
              <w:top w:type="dxa" w:w="60"/>
              <w:left w:type="dxa" w:w="100"/>
              <w:bottom w:type="dxa" w:w="60"/>
              <w:right w:type="dxa" w:w="100"/>
            </w:tcMar>
            <w:vAlign w:val="center"/>
          </w:tcPr>
          <w:p>
            <w:pPr>
              <w:jc w:val="left"/>
            </w:pPr>
            <w:r>
              <w:rPr>
                <w:b w:val="false"/>
                <w:bCs w:val="false"/>
                <w:sz w:val="18"/>
                <w:szCs w:val="18"/>
              </w:rPr>
              <w:t xml:space="preserve">Production output records.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labour_transactions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Labour consumption records.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machine_transactions</w:t>
            </w:r>
          </w:p>
        </w:tc>
        <w:tc>
          <w:tcPr>
            <w:tcW w:type="dxa" w:w="7200"/>
            <w:tcMar>
              <w:top w:type="dxa" w:w="60"/>
              <w:left w:type="dxa" w:w="100"/>
              <w:bottom w:type="dxa" w:w="60"/>
              <w:right w:type="dxa" w:w="100"/>
            </w:tcMar>
            <w:vAlign w:val="center"/>
          </w:tcPr>
          <w:p>
            <w:pPr>
              <w:jc w:val="left"/>
            </w:pPr>
            <w:r>
              <w:rPr>
                <w:b w:val="false"/>
                <w:bCs w:val="false"/>
                <w:sz w:val="18"/>
                <w:szCs w:val="18"/>
              </w:rPr>
              <w:t xml:space="preserve">Machine/process consumption records.</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overhead_allocations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Result of an Overhead Allocation run.</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variances</w:t>
            </w:r>
          </w:p>
        </w:tc>
        <w:tc>
          <w:tcPr>
            <w:tcW w:type="dxa" w:w="7200"/>
            <w:tcMar>
              <w:top w:type="dxa" w:w="60"/>
              <w:left w:type="dxa" w:w="100"/>
              <w:bottom w:type="dxa" w:w="60"/>
              <w:right w:type="dxa" w:w="100"/>
            </w:tcMar>
            <w:vAlign w:val="center"/>
          </w:tcPr>
          <w:p>
            <w:pPr>
              <w:jc w:val="left"/>
            </w:pPr>
            <w:r>
              <w:rPr>
                <w:b w:val="false"/>
                <w:bCs w:val="false"/>
                <w:sz w:val="18"/>
                <w:szCs w:val="18"/>
              </w:rPr>
              <w:t xml:space="preserve">Decomposed variance figures (FR-COST-003).</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cost_bridge_segments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Waterfall segments for the Cost Bridge view.</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exceptions</w:t>
            </w:r>
          </w:p>
        </w:tc>
        <w:tc>
          <w:tcPr>
            <w:tcW w:type="dxa" w:w="7200"/>
            <w:tcMar>
              <w:top w:type="dxa" w:w="60"/>
              <w:left w:type="dxa" w:w="100"/>
              <w:bottom w:type="dxa" w:w="60"/>
              <w:right w:type="dxa" w:w="100"/>
            </w:tcMar>
            <w:vAlign w:val="center"/>
          </w:tcPr>
          <w:p>
            <w:pPr>
              <w:jc w:val="left"/>
            </w:pPr>
            <w:r>
              <w:rPr>
                <w:b w:val="false"/>
                <w:bCs w:val="false"/>
                <w:sz w:val="18"/>
                <w:szCs w:val="18"/>
              </w:rPr>
              <w:t xml:space="preserve">Consolidated exception queue (Audit Desk).</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data_lineage</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Graph linking a result to its originating source row.</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costing_versions</w:t>
            </w:r>
          </w:p>
        </w:tc>
        <w:tc>
          <w:tcPr>
            <w:tcW w:type="dxa" w:w="7200"/>
            <w:tcMar>
              <w:top w:type="dxa" w:w="60"/>
              <w:left w:type="dxa" w:w="100"/>
              <w:bottom w:type="dxa" w:w="60"/>
              <w:right w:type="dxa" w:w="100"/>
            </w:tcMar>
            <w:vAlign w:val="center"/>
          </w:tcPr>
          <w:p>
            <w:pPr>
              <w:jc w:val="left"/>
            </w:pPr>
            <w:r>
              <w:rPr>
                <w:b w:val="false"/>
                <w:bCs w:val="false"/>
                <w:sz w:val="18"/>
                <w:szCs w:val="18"/>
              </w:rPr>
              <w:t xml:space="preserve">Immutable snapshot metadata per lock/reopen event.</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notifications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In-app notification records.</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background_jobs</w:t>
            </w:r>
          </w:p>
        </w:tc>
        <w:tc>
          <w:tcPr>
            <w:tcW w:type="dxa" w:w="7200"/>
            <w:tcMar>
              <w:top w:type="dxa" w:w="60"/>
              <w:left w:type="dxa" w:w="100"/>
              <w:bottom w:type="dxa" w:w="60"/>
              <w:right w:type="dxa" w:w="100"/>
            </w:tcMar>
            <w:vAlign w:val="center"/>
          </w:tcPr>
          <w:p>
            <w:pPr>
              <w:jc w:val="left"/>
            </w:pPr>
            <w:r>
              <w:rPr>
                <w:b w:val="false"/>
                <w:bCs w:val="false"/>
                <w:sz w:val="18"/>
                <w:szCs w:val="18"/>
              </w:rPr>
              <w:t xml:space="preserve">Async job status/progress tracking.</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ai_observations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AI Copilot query/response log (Fact/Calculation/Inference/Prediction).</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ai_mapping_results</w:t>
            </w:r>
          </w:p>
        </w:tc>
        <w:tc>
          <w:tcPr>
            <w:tcW w:type="dxa" w:w="7200"/>
            <w:tcMar>
              <w:top w:type="dxa" w:w="60"/>
              <w:left w:type="dxa" w:w="100"/>
              <w:bottom w:type="dxa" w:w="60"/>
              <w:right w:type="dxa" w:w="100"/>
            </w:tcMar>
            <w:vAlign w:val="center"/>
          </w:tcPr>
          <w:p>
            <w:pPr>
              <w:jc w:val="left"/>
            </w:pPr>
            <w:r>
              <w:rPr>
                <w:b w:val="false"/>
                <w:bCs w:val="false"/>
                <w:sz w:val="18"/>
                <w:szCs w:val="18"/>
              </w:rPr>
              <w:t xml:space="preserve">AI mapping suggestion log with confidence and outcome.</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simulations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Cost Simulation scenario runs (Phase 2).</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report_logs</w:t>
            </w:r>
          </w:p>
        </w:tc>
        <w:tc>
          <w:tcPr>
            <w:tcW w:type="dxa" w:w="7200"/>
            <w:tcMar>
              <w:top w:type="dxa" w:w="60"/>
              <w:left w:type="dxa" w:w="100"/>
              <w:bottom w:type="dxa" w:w="60"/>
              <w:right w:type="dxa" w:w="100"/>
            </w:tcMar>
            <w:vAlign w:val="center"/>
          </w:tcPr>
          <w:p>
            <w:pPr>
              <w:jc w:val="left"/>
            </w:pPr>
            <w:r>
              <w:rPr>
                <w:b w:val="false"/>
                <w:bCs w:val="false"/>
                <w:sz w:val="18"/>
                <w:szCs w:val="18"/>
              </w:rPr>
              <w:t xml:space="preserve">Report generation/view audit log.</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currencies</w:t>
            </w:r>
          </w:p>
        </w:tc>
        <w:tc>
          <w:tcPr>
            <w:tcW w:type="dxa" w:w="7200"/>
            <w:shd w:fill="F2F2F2" w:color="auto" w:val="clear"/>
            <w:tcMar>
              <w:top w:type="dxa" w:w="60"/>
              <w:left w:type="dxa" w:w="100"/>
              <w:bottom w:type="dxa" w:w="60"/>
              <w:right w:type="dxa" w:w="100"/>
            </w:tcMar>
            <w:vAlign w:val="center"/>
          </w:tcPr>
          <w:p>
            <w:pPr>
              <w:jc w:val="left"/>
            </w:pPr>
            <w:r>
              <w:rPr>
                <w:b w:val="false"/>
                <w:bCs w:val="false"/>
                <w:sz w:val="18"/>
                <w:szCs w:val="18"/>
              </w:rPr>
              <w:t xml:space="preserve">Currency master.</w:t>
            </w:r>
          </w:p>
        </w:tc>
      </w:tr>
    </w:tbl>
    <w:p>
      <w:pPr>
        <w:spacing w:after="200"/>
      </w:pPr>
    </w:p>
    <w:p>
      <w:pPr>
        <w:pStyle w:val="Heading1"/>
        <w:spacing w:after="240" w:before="480"/>
      </w:pPr>
      <w:r>
        <w:rPr>
          <w:b/>
          <w:bCs/>
        </w:rPr>
        <w:t xml:space="preserve">17. PostgreSQL Database Implementation Specification</w:t>
      </w:r>
    </w:p>
    <w:p>
      <w:pPr>
        <w:pStyle w:val="Heading2"/>
        <w:spacing w:after="160" w:before="320"/>
      </w:pPr>
      <w:r>
        <w:rPr>
          <w:b/>
          <w:bCs/>
        </w:rPr>
        <w:t xml:space="preserve">17.1 Database Architecture</w:t>
      </w:r>
    </w:p>
    <w:p>
      <w:pPr>
        <w:spacing w:after="160"/>
      </w:pPr>
      <w:r>
        <w:t xml:space="preserve">Single PostgreSQL database for the academic deployment, with tenant isolation enforced at the row level (shared schema, tenant_id discriminator) rather than schema-per-tenant or database-per-tenant — Proposed / To Be Confirmed; the row-level approach is recommended for the MVP as it is simplest to implement correctly in PHP without an ORM's automatic tenant-scoping.</w:t>
      </w:r>
    </w:p>
    <w:p>
      <w:pPr>
        <w:pStyle w:val="Heading2"/>
        <w:spacing w:after="160" w:before="320"/>
      </w:pPr>
      <w:r>
        <w:rPr>
          <w:b/>
          <w:bCs/>
        </w:rPr>
        <w:t xml:space="preserve">17.2 Schema Strategy</w:t>
      </w:r>
    </w:p>
    <w:p>
      <w:pPr>
        <w:spacing w:after="160"/>
      </w:pPr>
      <w:r>
        <w:t xml:space="preserve">A single schema (public, or a named application schema e.g. cost360) holding all application tables. Reference/lookup tables (currencies, uom) are tenant-agnostic; all transactional and master-data tables carry tenant_id directly or transitively via a foreign key to a tenant-scoped parent.</w:t>
      </w:r>
    </w:p>
    <w:p>
      <w:pPr>
        <w:pStyle w:val="Heading2"/>
        <w:spacing w:after="160" w:before="320"/>
      </w:pPr>
      <w:r>
        <w:rPr>
          <w:b/>
          <w:bCs/>
        </w:rPr>
        <w:t xml:space="preserve">17.3 Naming Conventions</w:t>
      </w:r>
    </w:p>
    <w:p>
      <w:pPr>
        <w:pStyle w:val="ListParagraph"/>
        <w:numPr>
          <w:ilvl w:val="0"/>
          <w:numId w:val="2"/>
        </w:numPr>
        <w:spacing w:after="80"/>
      </w:pPr>
      <w:r>
        <w:t xml:space="preserve">Tables: lower_snake_case, plural (e.g. bom_components).</w:t>
      </w:r>
    </w:p>
    <w:p>
      <w:pPr>
        <w:pStyle w:val="ListParagraph"/>
        <w:numPr>
          <w:ilvl w:val="0"/>
          <w:numId w:val="2"/>
        </w:numPr>
        <w:spacing w:after="80"/>
      </w:pPr>
      <w:r>
        <w:t xml:space="preserve">Primary keys: &lt;table_singular&gt;_id, e.g. item_id, bom_id.</w:t>
      </w:r>
    </w:p>
    <w:p>
      <w:pPr>
        <w:pStyle w:val="ListParagraph"/>
        <w:numPr>
          <w:ilvl w:val="0"/>
          <w:numId w:val="2"/>
        </w:numPr>
        <w:spacing w:after="80"/>
      </w:pPr>
      <w:r>
        <w:t xml:space="preserve">Foreign keys: named after the referenced entity, e.g. item_id, tenant_id.</w:t>
      </w:r>
    </w:p>
    <w:p>
      <w:pPr>
        <w:pStyle w:val="ListParagraph"/>
        <w:numPr>
          <w:ilvl w:val="0"/>
          <w:numId w:val="2"/>
        </w:numPr>
        <w:spacing w:after="80"/>
      </w:pPr>
      <w:r>
        <w:t xml:space="preserve">Boolean columns: is_/has_ prefix (e.g. is_phantom).</w:t>
      </w:r>
    </w:p>
    <w:p>
      <w:pPr>
        <w:pStyle w:val="ListParagraph"/>
        <w:numPr>
          <w:ilvl w:val="0"/>
          <w:numId w:val="2"/>
        </w:numPr>
        <w:spacing w:after="80"/>
      </w:pPr>
      <w:r>
        <w:t xml:space="preserve">Timestamps: _at suffix (created_at); actor references: _by suffix (created_by).</w:t>
      </w:r>
    </w:p>
    <w:p>
      <w:pPr>
        <w:pStyle w:val="Heading2"/>
        <w:spacing w:after="160" w:before="320"/>
      </w:pPr>
      <w:r>
        <w:rPr>
          <w:b/>
          <w:bCs/>
        </w:rPr>
        <w:t xml:space="preserve">17.4 Primary Key Strategy</w:t>
      </w:r>
    </w:p>
    <w:p>
      <w:pPr>
        <w:spacing w:after="160"/>
      </w:pPr>
      <w:r>
        <w:t xml:space="preserve">BIGSERIAL (or GENERATED ALWAYS AS IDENTITY — Proposed, either acceptable) surrogate integer primary keys throughout, for join performance and simplicity in PHP application code. Natural/business keys (item_code, tenant_code) are enforced via separate UNIQUE constraints rather than used as primary keys.</w:t>
      </w:r>
    </w:p>
    <w:p>
      <w:pPr>
        <w:pStyle w:val="Heading2"/>
        <w:spacing w:after="160" w:before="320"/>
      </w:pPr>
      <w:r>
        <w:rPr>
          <w:b/>
          <w:bCs/>
        </w:rPr>
        <w:t xml:space="preserve">17.5 Foreign Key Strategy</w:t>
      </w:r>
    </w:p>
    <w:p>
      <w:pPr>
        <w:spacing w:after="160"/>
      </w:pPr>
      <w:r>
        <w:t xml:space="preserve">All foreign keys declared at the database level with ON DELETE RESTRICT by default (financial/master data must not be silently orphaned or cascaded away); ON DELETE CASCADE used only for genuinely dependent child rows with no independent audit value (e.g. bom_components under bom_header) — Proposed, to be confirmed per table during implementation.</w:t>
      </w:r>
    </w:p>
    <w:p>
      <w:pPr>
        <w:pStyle w:val="Heading2"/>
        <w:spacing w:after="160" w:before="320"/>
      </w:pPr>
      <w:r>
        <w:rPr>
          <w:b/>
          <w:bCs/>
        </w:rPr>
        <w:t xml:space="preserve">17.6 Indexing Strategy</w:t>
      </w:r>
    </w:p>
    <w:p>
      <w:pPr>
        <w:pStyle w:val="ListParagraph"/>
        <w:numPr>
          <w:ilvl w:val="0"/>
          <w:numId w:val="2"/>
        </w:numPr>
        <w:spacing w:after="80"/>
      </w:pPr>
      <w:r>
        <w:t xml:space="preserve">Every foreign key column indexed.</w:t>
      </w:r>
    </w:p>
    <w:p>
      <w:pPr>
        <w:pStyle w:val="ListParagraph"/>
        <w:numPr>
          <w:ilvl w:val="0"/>
          <w:numId w:val="2"/>
        </w:numPr>
        <w:spacing w:after="80"/>
      </w:pPr>
      <w:r>
        <w:t xml:space="preserve">Composite index on (tenant_id, period_id) for all high-volume transactional tables (inventory_transactions, costing_results, etc.).</w:t>
      </w:r>
    </w:p>
    <w:p>
      <w:pPr>
        <w:pStyle w:val="ListParagraph"/>
        <w:numPr>
          <w:ilvl w:val="0"/>
          <w:numId w:val="2"/>
        </w:numPr>
        <w:spacing w:after="80"/>
      </w:pPr>
      <w:r>
        <w:t xml:space="preserve">Unique indexes backing all natural-key UNIQUE constraints (item_code per tenant, etc.).</w:t>
      </w:r>
    </w:p>
    <w:p>
      <w:pPr>
        <w:pStyle w:val="ListParagraph"/>
        <w:numPr>
          <w:ilvl w:val="0"/>
          <w:numId w:val="2"/>
        </w:numPr>
        <w:spacing w:after="80"/>
      </w:pPr>
      <w:r>
        <w:t xml:space="preserve">Partial indexes on status columns where a query pattern filters heavily on one status (e.g. WHERE status = 'open' on periods/exceptions) — Proposed, to be tuned against real query patterns.</w:t>
      </w:r>
    </w:p>
    <w:p>
      <w:pPr>
        <w:pStyle w:val="Heading2"/>
        <w:spacing w:after="160" w:before="320"/>
      </w:pPr>
      <w:r>
        <w:rPr>
          <w:b/>
          <w:bCs/>
        </w:rPr>
        <w:t xml:space="preserve">17.7 Unique Constraints</w:t>
      </w:r>
    </w:p>
    <w:p>
      <w:pPr>
        <w:spacing w:after="160"/>
      </w:pPr>
      <w:r>
        <w:t xml:space="preserve">Composite uniqueness (tenant_id, natural_key) is used wherever a natural key must only be unique within a tenant (e.g. item_code), rather than a global UNIQUE constraint, since multiple tenants may legitimately reuse the same code.</w:t>
      </w:r>
    </w:p>
    <w:p>
      <w:pPr>
        <w:pStyle w:val="Heading2"/>
        <w:spacing w:after="160" w:before="320"/>
      </w:pPr>
      <w:r>
        <w:rPr>
          <w:b/>
          <w:bCs/>
        </w:rPr>
        <w:t xml:space="preserve">17.8 Check Constraints</w:t>
      </w:r>
    </w:p>
    <w:p>
      <w:pPr>
        <w:pStyle w:val="ListParagraph"/>
        <w:numPr>
          <w:ilvl w:val="0"/>
          <w:numId w:val="2"/>
        </w:numPr>
        <w:spacing w:after="80"/>
      </w:pPr>
      <w:r>
        <w:t xml:space="preserve">Quantities and rates: CHECK (quantity &gt; 0), CHECK (standard_rate &gt;= 0), etc.</w:t>
      </w:r>
    </w:p>
    <w:p>
      <w:pPr>
        <w:pStyle w:val="ListParagraph"/>
        <w:numPr>
          <w:ilvl w:val="0"/>
          <w:numId w:val="2"/>
        </w:numPr>
        <w:spacing w:after="80"/>
      </w:pPr>
      <w:r>
        <w:t xml:space="preserve">Enumerated text columns (status, txn_type, severity, etc.): CHECK (col IN (...)) rather than free text, until/unless promoted to a lookup table.</w:t>
      </w:r>
    </w:p>
    <w:p>
      <w:pPr>
        <w:pStyle w:val="ListParagraph"/>
        <w:numPr>
          <w:ilvl w:val="0"/>
          <w:numId w:val="2"/>
        </w:numPr>
        <w:spacing w:after="80"/>
      </w:pPr>
      <w:r>
        <w:t xml:space="preserve">Date ranges: CHECK (effective_to IS NULL OR effective_to &gt;= effective_from).</w:t>
      </w:r>
    </w:p>
    <w:p>
      <w:pPr>
        <w:pStyle w:val="Heading2"/>
        <w:spacing w:after="160" w:before="320"/>
      </w:pPr>
      <w:r>
        <w:rPr>
          <w:b/>
          <w:bCs/>
        </w:rPr>
        <w:t xml:space="preserve">17.9 Audit Columns</w:t>
      </w:r>
    </w:p>
    <w:p>
      <w:pPr>
        <w:spacing w:after="160"/>
      </w:pPr>
      <w:r>
        <w:t xml:space="preserve">Every table other than pure log/audit tables carries created_at, created_by, and, where the row is mutable, updated_at/updated_by. audit_trail itself is append-only (no updated_at) by design.</w:t>
      </w:r>
    </w:p>
    <w:p>
      <w:pPr>
        <w:pStyle w:val="Heading2"/>
        <w:spacing w:after="160" w:before="320"/>
      </w:pPr>
      <w:r>
        <w:rPr>
          <w:b/>
          <w:bCs/>
        </w:rPr>
        <w:t xml:space="preserve">17.10 Effective Dating</w:t>
      </w:r>
    </w:p>
    <w:p>
      <w:pPr>
        <w:spacing w:after="160"/>
      </w:pPr>
      <w:r>
        <w:t xml:space="preserve">Tables identified in the Data Dictionary as effective-dated (BOM, Standard Cost, UOM Conversion, Labour/Machine Rate, GL Classification) use an effective_from/effective_to pair rather than in-place overwrite, with a CHECK/trigger — Proposed — preventing overlapping ranges for the same natural key.</w:t>
      </w:r>
    </w:p>
    <w:p>
      <w:pPr>
        <w:pStyle w:val="Heading2"/>
        <w:spacing w:after="160" w:before="320"/>
      </w:pPr>
      <w:r>
        <w:rPr>
          <w:b/>
          <w:bCs/>
        </w:rPr>
        <w:t xml:space="preserve">17.11 Versioning</w:t>
      </w:r>
    </w:p>
    <w:p>
      <w:pPr>
        <w:spacing w:after="160"/>
      </w:pPr>
      <w:r>
        <w:t xml:space="preserve">costing_versions holds one immutable row per Period Close lock/reopen event; costing_runs, costing_results and standard_costs reference the version under which they were produced/locked, so any historical figure can be reproduced exactly (Section 43).</w:t>
      </w:r>
    </w:p>
    <w:p>
      <w:pPr>
        <w:pStyle w:val="Heading2"/>
        <w:spacing w:after="160" w:before="320"/>
      </w:pPr>
      <w:r>
        <w:rPr>
          <w:b/>
          <w:bCs/>
        </w:rPr>
        <w:t xml:space="preserve">17.12 Tenant Isolation</w:t>
      </w:r>
    </w:p>
    <w:p>
      <w:pPr>
        <w:spacing w:after="160"/>
      </w:pPr>
      <w:r>
        <w:t xml:space="preserve">Every query issued by the Database Access Layer includes an explicit tenant_id predicate sourced from the authenticated session, never from client-supplied input — this is enforced centrally in the Data Access Layer helper functions (Section 17.14) rather than left to individual query authors, to prevent accidental cross-tenant data leakage (see Security Requirements, Section 20, Part 3).</w:t>
      </w:r>
    </w:p>
    <w:p>
      <w:pPr>
        <w:pStyle w:val="Heading2"/>
        <w:spacing w:after="160" w:before="320"/>
      </w:pPr>
      <w:r>
        <w:rPr>
          <w:b/>
          <w:bCs/>
        </w:rPr>
        <w:t xml:space="preserve">17.13 Transaction Management</w:t>
      </w:r>
    </w:p>
    <w:p>
      <w:pPr>
        <w:spacing w:after="160"/>
      </w:pPr>
      <w:r>
        <w:t xml:space="preserve">Any multi-step write (e.g. a costing run writing multiple costing_results rows and updating costing_runs.status) is wrapped in a single PostgreSQL transaction so it is atomic: pg_query_params("BEGIN") / commit / rollback via the PHP Database Access Layer (Section 17.14).</w:t>
      </w:r>
    </w:p>
    <w:p>
      <w:pPr>
        <w:pStyle w:val="Heading2"/>
        <w:spacing w:after="160" w:before="320"/>
      </w:pPr>
      <w:r>
        <w:rPr>
          <w:b/>
          <w:bCs/>
        </w:rPr>
        <w:t xml:space="preserve">17.14 Referential Integrity and PHP Database Connectivity</w:t>
      </w:r>
    </w:p>
    <w:p>
      <w:pPr>
        <w:spacing w:after="160"/>
      </w:pPr>
      <w:r>
        <w:t xml:space="preserve">Per the project's technology constraint, database connectivity uses PostgreSQL's native PHP extension (pg_* functions) exclusively — PDO is not used anywhere in this design. The Database Access Layer exposes a small set of helper functions that all application code goes through, so that tenant scoping, parameterisation and transaction handling are applied consistently rather than left to each caller.</w:t>
      </w:r>
    </w:p>
    <w:p>
      <w:pPr>
        <w:spacing w:after="40" w:before="120"/>
      </w:pPr>
      <w:r>
        <w:rPr>
          <w:b/>
          <w:bCs/>
          <w:color w:val="1F3864"/>
          <w:sz w:val="19"/>
          <w:szCs w:val="19"/>
        </w:rPr>
        <w:t xml:space="preserve">Connection management (Proposed pattern)</w:t>
      </w:r>
    </w:p>
    <w:p>
      <w:pPr>
        <w:shd w:fill="1E1E1E"/>
        <w:spacing w:after="0"/>
      </w:pPr>
      <w:r>
        <w:rPr>
          <w:rFonts w:ascii="Consolas" w:cs="Consolas" w:eastAsia="Consolas" w:hAnsi="Consolas"/>
          <w:color w:val="D4D4D4"/>
          <w:sz w:val="17"/>
          <w:szCs w:val="17"/>
        </w:rPr>
        <w:t xml:space="preserve">function db_connect(): resource {</w:t>
      </w:r>
    </w:p>
    <w:p>
      <w:pPr>
        <w:shd w:fill="1E1E1E"/>
        <w:spacing w:after="0"/>
      </w:pPr>
      <w:r>
        <w:rPr>
          <w:rFonts w:ascii="Consolas" w:cs="Consolas" w:eastAsia="Consolas" w:hAnsi="Consolas"/>
          <w:color w:val="D4D4D4"/>
          <w:sz w:val="17"/>
          <w:szCs w:val="17"/>
        </w:rPr>
        <w:t xml:space="preserve">    static $conn = null;</w:t>
      </w:r>
    </w:p>
    <w:p>
      <w:pPr>
        <w:shd w:fill="1E1E1E"/>
        <w:spacing w:after="0"/>
      </w:pPr>
      <w:r>
        <w:rPr>
          <w:rFonts w:ascii="Consolas" w:cs="Consolas" w:eastAsia="Consolas" w:hAnsi="Consolas"/>
          <w:color w:val="D4D4D4"/>
          <w:sz w:val="17"/>
          <w:szCs w:val="17"/>
        </w:rPr>
        <w:t xml:space="preserve">    if ($conn === null) {</w:t>
      </w:r>
    </w:p>
    <w:p>
      <w:pPr>
        <w:shd w:fill="1E1E1E"/>
        <w:spacing w:after="0"/>
      </w:pPr>
      <w:r>
        <w:rPr>
          <w:rFonts w:ascii="Consolas" w:cs="Consolas" w:eastAsia="Consolas" w:hAnsi="Consolas"/>
          <w:color w:val="D4D4D4"/>
          <w:sz w:val="17"/>
          <w:szCs w:val="17"/>
        </w:rPr>
        <w:t xml:space="preserve">        $conn = pg_connect(getenv('PG_DSN'));</w:t>
      </w:r>
    </w:p>
    <w:p>
      <w:pPr>
        <w:shd w:fill="1E1E1E"/>
        <w:spacing w:after="0"/>
      </w:pPr>
      <w:r>
        <w:rPr>
          <w:rFonts w:ascii="Consolas" w:cs="Consolas" w:eastAsia="Consolas" w:hAnsi="Consolas"/>
          <w:color w:val="D4D4D4"/>
          <w:sz w:val="17"/>
          <w:szCs w:val="17"/>
        </w:rPr>
        <w:t xml:space="preserve">        if (!$conn) { throw new RuntimeException('DB connection failed'); }</w:t>
      </w:r>
    </w:p>
    <w:p>
      <w:pPr>
        <w:shd w:fill="1E1E1E"/>
        <w:spacing w:after="0"/>
      </w:pPr>
      <w:r>
        <w:rPr>
          <w:rFonts w:ascii="Consolas" w:cs="Consolas" w:eastAsia="Consolas" w:hAnsi="Consolas"/>
          <w:color w:val="D4D4D4"/>
          <w:sz w:val="17"/>
          <w:szCs w:val="17"/>
        </w:rPr>
        <w:t xml:space="preserve">    }</w:t>
      </w:r>
    </w:p>
    <w:p>
      <w:pPr>
        <w:shd w:fill="1E1E1E"/>
        <w:spacing w:after="0"/>
      </w:pPr>
      <w:r>
        <w:rPr>
          <w:rFonts w:ascii="Consolas" w:cs="Consolas" w:eastAsia="Consolas" w:hAnsi="Consolas"/>
          <w:color w:val="D4D4D4"/>
          <w:sz w:val="17"/>
          <w:szCs w:val="17"/>
        </w:rPr>
        <w:t xml:space="preserve">    return $conn;</w:t>
      </w:r>
    </w:p>
    <w:p>
      <w:pPr>
        <w:shd w:fill="1E1E1E"/>
        <w:spacing w:after="0"/>
      </w:pPr>
      <w:r>
        <w:rPr>
          <w:rFonts w:ascii="Consolas" w:cs="Consolas" w:eastAsia="Consolas" w:hAnsi="Consolas"/>
          <w:color w:val="D4D4D4"/>
          <w:sz w:val="17"/>
          <w:szCs w:val="17"/>
        </w:rPr>
        <w:t xml:space="preserve">}</w:t>
      </w:r>
    </w:p>
    <w:p>
      <w:pPr>
        <w:spacing w:after="160"/>
      </w:pPr>
    </w:p>
    <w:p>
      <w:pPr>
        <w:spacing w:after="40" w:before="120"/>
      </w:pPr>
      <w:r>
        <w:rPr>
          <w:b/>
          <w:bCs/>
          <w:color w:val="1F3864"/>
          <w:sz w:val="19"/>
          <w:szCs w:val="19"/>
        </w:rPr>
        <w:t xml:space="preserve">Parameterised query execution</w:t>
      </w:r>
    </w:p>
    <w:p>
      <w:pPr>
        <w:shd w:fill="1E1E1E"/>
        <w:spacing w:after="0"/>
      </w:pPr>
      <w:r>
        <w:rPr>
          <w:rFonts w:ascii="Consolas" w:cs="Consolas" w:eastAsia="Consolas" w:hAnsi="Consolas"/>
          <w:color w:val="D4D4D4"/>
          <w:sz w:val="17"/>
          <w:szCs w:val="17"/>
        </w:rPr>
        <w:t xml:space="preserve">function db_query(string $sql, array $params = []): array {</w:t>
      </w:r>
    </w:p>
    <w:p>
      <w:pPr>
        <w:shd w:fill="1E1E1E"/>
        <w:spacing w:after="0"/>
      </w:pPr>
      <w:r>
        <w:rPr>
          <w:rFonts w:ascii="Consolas" w:cs="Consolas" w:eastAsia="Consolas" w:hAnsi="Consolas"/>
          <w:color w:val="D4D4D4"/>
          <w:sz w:val="17"/>
          <w:szCs w:val="17"/>
        </w:rPr>
        <w:t xml:space="preserve">    $conn = db_connect();</w:t>
      </w:r>
    </w:p>
    <w:p>
      <w:pPr>
        <w:shd w:fill="1E1E1E"/>
        <w:spacing w:after="0"/>
      </w:pPr>
      <w:r>
        <w:rPr>
          <w:rFonts w:ascii="Consolas" w:cs="Consolas" w:eastAsia="Consolas" w:hAnsi="Consolas"/>
          <w:color w:val="D4D4D4"/>
          <w:sz w:val="17"/>
          <w:szCs w:val="17"/>
        </w:rPr>
        <w:t xml:space="preserve">    $result = pg_query_params($conn, $sql, $params);</w:t>
      </w:r>
    </w:p>
    <w:p>
      <w:pPr>
        <w:shd w:fill="1E1E1E"/>
        <w:spacing w:after="0"/>
      </w:pPr>
      <w:r>
        <w:rPr>
          <w:rFonts w:ascii="Consolas" w:cs="Consolas" w:eastAsia="Consolas" w:hAnsi="Consolas"/>
          <w:color w:val="D4D4D4"/>
          <w:sz w:val="17"/>
          <w:szCs w:val="17"/>
        </w:rPr>
        <w:t xml:space="preserve">    if ($result === false) {</w:t>
      </w:r>
    </w:p>
    <w:p>
      <w:pPr>
        <w:shd w:fill="1E1E1E"/>
        <w:spacing w:after="0"/>
      </w:pPr>
      <w:r>
        <w:rPr>
          <w:rFonts w:ascii="Consolas" w:cs="Consolas" w:eastAsia="Consolas" w:hAnsi="Consolas"/>
          <w:color w:val="D4D4D4"/>
          <w:sz w:val="17"/>
          <w:szCs w:val="17"/>
        </w:rPr>
        <w:t xml:space="preserve">        error_log('Query failed: ' . pg_last_error($conn));</w:t>
      </w:r>
    </w:p>
    <w:p>
      <w:pPr>
        <w:shd w:fill="1E1E1E"/>
        <w:spacing w:after="0"/>
      </w:pPr>
      <w:r>
        <w:rPr>
          <w:rFonts w:ascii="Consolas" w:cs="Consolas" w:eastAsia="Consolas" w:hAnsi="Consolas"/>
          <w:color w:val="D4D4D4"/>
          <w:sz w:val="17"/>
          <w:szCs w:val="17"/>
        </w:rPr>
        <w:t xml:space="preserve">        throw new RuntimeException('Database query failed');</w:t>
      </w:r>
    </w:p>
    <w:p>
      <w:pPr>
        <w:shd w:fill="1E1E1E"/>
        <w:spacing w:after="0"/>
      </w:pPr>
      <w:r>
        <w:rPr>
          <w:rFonts w:ascii="Consolas" w:cs="Consolas" w:eastAsia="Consolas" w:hAnsi="Consolas"/>
          <w:color w:val="D4D4D4"/>
          <w:sz w:val="17"/>
          <w:szCs w:val="17"/>
        </w:rPr>
        <w:t xml:space="preserve">    }</w:t>
      </w:r>
    </w:p>
    <w:p>
      <w:pPr>
        <w:shd w:fill="1E1E1E"/>
        <w:spacing w:after="0"/>
      </w:pPr>
      <w:r>
        <w:rPr>
          <w:rFonts w:ascii="Consolas" w:cs="Consolas" w:eastAsia="Consolas" w:hAnsi="Consolas"/>
          <w:color w:val="D4D4D4"/>
          <w:sz w:val="17"/>
          <w:szCs w:val="17"/>
        </w:rPr>
        <w:t xml:space="preserve">    return pg_fetch_all($result) ?: [];</w:t>
      </w:r>
    </w:p>
    <w:p>
      <w:pPr>
        <w:shd w:fill="1E1E1E"/>
        <w:spacing w:after="0"/>
      </w:pPr>
      <w:r>
        <w:rPr>
          <w:rFonts w:ascii="Consolas" w:cs="Consolas" w:eastAsia="Consolas" w:hAnsi="Consolas"/>
          <w:color w:val="D4D4D4"/>
          <w:sz w:val="17"/>
          <w:szCs w:val="17"/>
        </w:rPr>
        <w:t xml:space="preserve">}</w:t>
      </w:r>
    </w:p>
    <w:p>
      <w:pPr>
        <w:spacing w:after="160"/>
      </w:pPr>
    </w:p>
    <w:p>
      <w:pPr>
        <w:spacing w:after="40" w:before="120"/>
      </w:pPr>
      <w:r>
        <w:rPr>
          <w:b/>
          <w:bCs/>
          <w:color w:val="1F3864"/>
          <w:sz w:val="19"/>
          <w:szCs w:val="19"/>
        </w:rPr>
        <w:t xml:space="preserve">Transaction wrapper</w:t>
      </w:r>
    </w:p>
    <w:p>
      <w:pPr>
        <w:shd w:fill="1E1E1E"/>
        <w:spacing w:after="0"/>
      </w:pPr>
      <w:r>
        <w:rPr>
          <w:rFonts w:ascii="Consolas" w:cs="Consolas" w:eastAsia="Consolas" w:hAnsi="Consolas"/>
          <w:color w:val="D4D4D4"/>
          <w:sz w:val="17"/>
          <w:szCs w:val="17"/>
        </w:rPr>
        <w:t xml:space="preserve">function db_transaction(callable $work) {</w:t>
      </w:r>
    </w:p>
    <w:p>
      <w:pPr>
        <w:shd w:fill="1E1E1E"/>
        <w:spacing w:after="0"/>
      </w:pPr>
      <w:r>
        <w:rPr>
          <w:rFonts w:ascii="Consolas" w:cs="Consolas" w:eastAsia="Consolas" w:hAnsi="Consolas"/>
          <w:color w:val="D4D4D4"/>
          <w:sz w:val="17"/>
          <w:szCs w:val="17"/>
        </w:rPr>
        <w:t xml:space="preserve">    $conn = db_connect();</w:t>
      </w:r>
    </w:p>
    <w:p>
      <w:pPr>
        <w:shd w:fill="1E1E1E"/>
        <w:spacing w:after="0"/>
      </w:pPr>
      <w:r>
        <w:rPr>
          <w:rFonts w:ascii="Consolas" w:cs="Consolas" w:eastAsia="Consolas" w:hAnsi="Consolas"/>
          <w:color w:val="D4D4D4"/>
          <w:sz w:val="17"/>
          <w:szCs w:val="17"/>
        </w:rPr>
        <w:t xml:space="preserve">    pg_query($conn, 'BEGIN');</w:t>
      </w:r>
    </w:p>
    <w:p>
      <w:pPr>
        <w:shd w:fill="1E1E1E"/>
        <w:spacing w:after="0"/>
      </w:pPr>
      <w:r>
        <w:rPr>
          <w:rFonts w:ascii="Consolas" w:cs="Consolas" w:eastAsia="Consolas" w:hAnsi="Consolas"/>
          <w:color w:val="D4D4D4"/>
          <w:sz w:val="17"/>
          <w:szCs w:val="17"/>
        </w:rPr>
        <w:t xml:space="preserve">    try {</w:t>
      </w:r>
    </w:p>
    <w:p>
      <w:pPr>
        <w:shd w:fill="1E1E1E"/>
        <w:spacing w:after="0"/>
      </w:pPr>
      <w:r>
        <w:rPr>
          <w:rFonts w:ascii="Consolas" w:cs="Consolas" w:eastAsia="Consolas" w:hAnsi="Consolas"/>
          <w:color w:val="D4D4D4"/>
          <w:sz w:val="17"/>
          <w:szCs w:val="17"/>
        </w:rPr>
        <w:t xml:space="preserve">        $result = $work($conn);</w:t>
      </w:r>
    </w:p>
    <w:p>
      <w:pPr>
        <w:shd w:fill="1E1E1E"/>
        <w:spacing w:after="0"/>
      </w:pPr>
      <w:r>
        <w:rPr>
          <w:rFonts w:ascii="Consolas" w:cs="Consolas" w:eastAsia="Consolas" w:hAnsi="Consolas"/>
          <w:color w:val="D4D4D4"/>
          <w:sz w:val="17"/>
          <w:szCs w:val="17"/>
        </w:rPr>
        <w:t xml:space="preserve">        pg_query($conn, 'COMMIT');</w:t>
      </w:r>
    </w:p>
    <w:p>
      <w:pPr>
        <w:shd w:fill="1E1E1E"/>
        <w:spacing w:after="0"/>
      </w:pPr>
      <w:r>
        <w:rPr>
          <w:rFonts w:ascii="Consolas" w:cs="Consolas" w:eastAsia="Consolas" w:hAnsi="Consolas"/>
          <w:color w:val="D4D4D4"/>
          <w:sz w:val="17"/>
          <w:szCs w:val="17"/>
        </w:rPr>
        <w:t xml:space="preserve">        return $result;</w:t>
      </w:r>
    </w:p>
    <w:p>
      <w:pPr>
        <w:shd w:fill="1E1E1E"/>
        <w:spacing w:after="0"/>
      </w:pPr>
      <w:r>
        <w:rPr>
          <w:rFonts w:ascii="Consolas" w:cs="Consolas" w:eastAsia="Consolas" w:hAnsi="Consolas"/>
          <w:color w:val="D4D4D4"/>
          <w:sz w:val="17"/>
          <w:szCs w:val="17"/>
        </w:rPr>
        <w:t xml:space="preserve">    } catch (Throwable $e) {</w:t>
      </w:r>
    </w:p>
    <w:p>
      <w:pPr>
        <w:shd w:fill="1E1E1E"/>
        <w:spacing w:after="0"/>
      </w:pPr>
      <w:r>
        <w:rPr>
          <w:rFonts w:ascii="Consolas" w:cs="Consolas" w:eastAsia="Consolas" w:hAnsi="Consolas"/>
          <w:color w:val="D4D4D4"/>
          <w:sz w:val="17"/>
          <w:szCs w:val="17"/>
        </w:rPr>
        <w:t xml:space="preserve">        pg_query($conn, 'ROLLBACK');</w:t>
      </w:r>
    </w:p>
    <w:p>
      <w:pPr>
        <w:shd w:fill="1E1E1E"/>
        <w:spacing w:after="0"/>
      </w:pPr>
      <w:r>
        <w:rPr>
          <w:rFonts w:ascii="Consolas" w:cs="Consolas" w:eastAsia="Consolas" w:hAnsi="Consolas"/>
          <w:color w:val="D4D4D4"/>
          <w:sz w:val="17"/>
          <w:szCs w:val="17"/>
        </w:rPr>
        <w:t xml:space="preserve">        error_log('Transaction rolled back: ' . $e-&gt;getMessage());</w:t>
      </w:r>
    </w:p>
    <w:p>
      <w:pPr>
        <w:shd w:fill="1E1E1E"/>
        <w:spacing w:after="0"/>
      </w:pPr>
      <w:r>
        <w:rPr>
          <w:rFonts w:ascii="Consolas" w:cs="Consolas" w:eastAsia="Consolas" w:hAnsi="Consolas"/>
          <w:color w:val="D4D4D4"/>
          <w:sz w:val="17"/>
          <w:szCs w:val="17"/>
        </w:rPr>
        <w:t xml:space="preserve">        throw $e;</w:t>
      </w:r>
    </w:p>
    <w:p>
      <w:pPr>
        <w:shd w:fill="1E1E1E"/>
        <w:spacing w:after="0"/>
      </w:pPr>
      <w:r>
        <w:rPr>
          <w:rFonts w:ascii="Consolas" w:cs="Consolas" w:eastAsia="Consolas" w:hAnsi="Consolas"/>
          <w:color w:val="D4D4D4"/>
          <w:sz w:val="17"/>
          <w:szCs w:val="17"/>
        </w:rPr>
        <w:t xml:space="preserve">    }</w:t>
      </w:r>
    </w:p>
    <w:p>
      <w:pPr>
        <w:shd w:fill="1E1E1E"/>
        <w:spacing w:after="0"/>
      </w:pPr>
      <w:r>
        <w:rPr>
          <w:rFonts w:ascii="Consolas" w:cs="Consolas" w:eastAsia="Consolas" w:hAnsi="Consolas"/>
          <w:color w:val="D4D4D4"/>
          <w:sz w:val="17"/>
          <w:szCs w:val="17"/>
        </w:rPr>
        <w:t xml:space="preserve">}</w:t>
      </w:r>
    </w:p>
    <w:p>
      <w:pPr>
        <w:spacing w:after="160"/>
      </w:pPr>
    </w:p>
    <w:p>
      <w:pPr>
        <w:spacing w:after="160"/>
      </w:pPr>
      <w:r>
        <w:t xml:space="preserve">Environment configuration (DSN, credentials) is read from environment variables, never hard-coded — Proposed / To Be Confirmed exact secrets-management approach for the academic deployment. Query logging and error logging write to the application log (Section 24, Part 3) with query text and parameter count (not parameter values, to avoid logging sensitive data) on failure. Connection pooling is not required for the single-server academic MVP; PgBouncer is noted as a Phase 2/3 scaling option (Section 25, Part 3).</w:t>
      </w:r>
    </w:p>
    <w:p>
      <w:pPr>
        <w:pStyle w:val="Heading2"/>
        <w:spacing w:after="160" w:before="320"/>
      </w:pPr>
      <w:r>
        <w:rPr>
          <w:b/>
          <w:bCs/>
        </w:rPr>
        <w:t xml:space="preserve">17.15 Illustrative DDL — Core Tables</w:t>
      </w:r>
    </w:p>
    <w:p>
      <w:pPr>
        <w:spacing w:after="160"/>
      </w:pPr>
      <w:r>
        <w:t xml:space="preserve">The following PostgreSQL DDL illustrates the core tables from Section 16.1. Full DDL for every table in the Data Dictionary should be generated following the same conventions before implementation begins.</w:t>
      </w:r>
    </w:p>
    <w:p>
      <w:pPr>
        <w:spacing w:after="40" w:before="120"/>
      </w:pPr>
      <w:r>
        <w:rPr>
          <w:b/>
          <w:bCs/>
          <w:color w:val="1F3864"/>
          <w:sz w:val="19"/>
          <w:szCs w:val="19"/>
        </w:rPr>
        <w:t xml:space="preserve">tenants, users, roles</w:t>
      </w:r>
    </w:p>
    <w:p>
      <w:pPr>
        <w:shd w:fill="1E1E1E"/>
        <w:spacing w:after="0"/>
      </w:pPr>
      <w:r>
        <w:rPr>
          <w:rFonts w:ascii="Consolas" w:cs="Consolas" w:eastAsia="Consolas" w:hAnsi="Consolas"/>
          <w:color w:val="D4D4D4"/>
          <w:sz w:val="17"/>
          <w:szCs w:val="17"/>
        </w:rPr>
        <w:t xml:space="preserve">CREATE TABLE tenants (</w:t>
      </w:r>
    </w:p>
    <w:p>
      <w:pPr>
        <w:shd w:fill="1E1E1E"/>
        <w:spacing w:after="0"/>
      </w:pPr>
      <w:r>
        <w:rPr>
          <w:rFonts w:ascii="Consolas" w:cs="Consolas" w:eastAsia="Consolas" w:hAnsi="Consolas"/>
          <w:color w:val="D4D4D4"/>
          <w:sz w:val="17"/>
          <w:szCs w:val="17"/>
        </w:rPr>
        <w:t xml:space="preserve">    tenant_id       BIGSERIAL PRIMARY KEY,</w:t>
      </w:r>
    </w:p>
    <w:p>
      <w:pPr>
        <w:shd w:fill="1E1E1E"/>
        <w:spacing w:after="0"/>
      </w:pPr>
      <w:r>
        <w:rPr>
          <w:rFonts w:ascii="Consolas" w:cs="Consolas" w:eastAsia="Consolas" w:hAnsi="Consolas"/>
          <w:color w:val="D4D4D4"/>
          <w:sz w:val="17"/>
          <w:szCs w:val="17"/>
        </w:rPr>
        <w:t xml:space="preserve">    tenant_code     VARCHAR(30) NOT NULL UNIQUE,</w:t>
      </w:r>
    </w:p>
    <w:p>
      <w:pPr>
        <w:shd w:fill="1E1E1E"/>
        <w:spacing w:after="0"/>
      </w:pPr>
      <w:r>
        <w:rPr>
          <w:rFonts w:ascii="Consolas" w:cs="Consolas" w:eastAsia="Consolas" w:hAnsi="Consolas"/>
          <w:color w:val="D4D4D4"/>
          <w:sz w:val="17"/>
          <w:szCs w:val="17"/>
        </w:rPr>
        <w:t xml:space="preserve">    tenant_name     VARCHAR(150) NOT NULL,</w:t>
      </w:r>
    </w:p>
    <w:p>
      <w:pPr>
        <w:shd w:fill="1E1E1E"/>
        <w:spacing w:after="0"/>
      </w:pPr>
      <w:r>
        <w:rPr>
          <w:rFonts w:ascii="Consolas" w:cs="Consolas" w:eastAsia="Consolas" w:hAnsi="Consolas"/>
          <w:color w:val="D4D4D4"/>
          <w:sz w:val="17"/>
          <w:szCs w:val="17"/>
        </w:rPr>
        <w:t xml:space="preserve">    subscription_plan VARCHAR(30) NOT NULL DEFAULT 'standard',</w:t>
      </w:r>
    </w:p>
    <w:p>
      <w:pPr>
        <w:shd w:fill="1E1E1E"/>
        <w:spacing w:after="0"/>
      </w:pPr>
      <w:r>
        <w:rPr>
          <w:rFonts w:ascii="Consolas" w:cs="Consolas" w:eastAsia="Consolas" w:hAnsi="Consolas"/>
          <w:color w:val="D4D4D4"/>
          <w:sz w:val="17"/>
          <w:szCs w:val="17"/>
        </w:rPr>
        <w:t xml:space="preserve">    status          VARCHAR(20) NOT NULL DEFAULT 'active'</w:t>
      </w:r>
    </w:p>
    <w:p>
      <w:pPr>
        <w:shd w:fill="1E1E1E"/>
        <w:spacing w:after="0"/>
      </w:pPr>
      <w:r>
        <w:rPr>
          <w:rFonts w:ascii="Consolas" w:cs="Consolas" w:eastAsia="Consolas" w:hAnsi="Consolas"/>
          <w:color w:val="D4D4D4"/>
          <w:sz w:val="17"/>
          <w:szCs w:val="17"/>
        </w:rPr>
        <w:t xml:space="preserve">                        CHECK (status IN ('active','suspended','archived')),</w:t>
      </w:r>
    </w:p>
    <w:p>
      <w:pPr>
        <w:shd w:fill="1E1E1E"/>
        <w:spacing w:after="0"/>
      </w:pPr>
      <w:r>
        <w:rPr>
          <w:rFonts w:ascii="Consolas" w:cs="Consolas" w:eastAsia="Consolas" w:hAnsi="Consolas"/>
          <w:color w:val="D4D4D4"/>
          <w:sz w:val="17"/>
          <w:szCs w:val="17"/>
        </w:rPr>
        <w:t xml:space="preserve">    created_at      TIMESTAMPTZ NOT NULL DEFAULT now(),</w:t>
      </w:r>
    </w:p>
    <w:p>
      <w:pPr>
        <w:shd w:fill="1E1E1E"/>
        <w:spacing w:after="0"/>
      </w:pPr>
      <w:r>
        <w:rPr>
          <w:rFonts w:ascii="Consolas" w:cs="Consolas" w:eastAsia="Consolas" w:hAnsi="Consolas"/>
          <w:color w:val="D4D4D4"/>
          <w:sz w:val="17"/>
          <w:szCs w:val="17"/>
        </w:rPr>
        <w:t xml:space="preserve">    created_by      BIGINT,</w:t>
      </w:r>
    </w:p>
    <w:p>
      <w:pPr>
        <w:shd w:fill="1E1E1E"/>
        <w:spacing w:after="0"/>
      </w:pPr>
      <w:r>
        <w:rPr>
          <w:rFonts w:ascii="Consolas" w:cs="Consolas" w:eastAsia="Consolas" w:hAnsi="Consolas"/>
          <w:color w:val="D4D4D4"/>
          <w:sz w:val="17"/>
          <w:szCs w:val="17"/>
        </w:rPr>
        <w:t xml:space="preserve">    updated_at      TIMESTAMPTZ,</w:t>
      </w:r>
    </w:p>
    <w:p>
      <w:pPr>
        <w:shd w:fill="1E1E1E"/>
        <w:spacing w:after="0"/>
      </w:pPr>
      <w:r>
        <w:rPr>
          <w:rFonts w:ascii="Consolas" w:cs="Consolas" w:eastAsia="Consolas" w:hAnsi="Consolas"/>
          <w:color w:val="D4D4D4"/>
          <w:sz w:val="17"/>
          <w:szCs w:val="17"/>
        </w:rPr>
        <w:t xml:space="preserve">    updated_by      BIGINT</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 </w:t>
      </w:r>
    </w:p>
    <w:p>
      <w:pPr>
        <w:shd w:fill="1E1E1E"/>
        <w:spacing w:after="0"/>
      </w:pPr>
      <w:r>
        <w:rPr>
          <w:rFonts w:ascii="Consolas" w:cs="Consolas" w:eastAsia="Consolas" w:hAnsi="Consolas"/>
          <w:color w:val="D4D4D4"/>
          <w:sz w:val="17"/>
          <w:szCs w:val="17"/>
        </w:rPr>
        <w:t xml:space="preserve">CREATE TABLE users (</w:t>
      </w:r>
    </w:p>
    <w:p>
      <w:pPr>
        <w:shd w:fill="1E1E1E"/>
        <w:spacing w:after="0"/>
      </w:pPr>
      <w:r>
        <w:rPr>
          <w:rFonts w:ascii="Consolas" w:cs="Consolas" w:eastAsia="Consolas" w:hAnsi="Consolas"/>
          <w:color w:val="D4D4D4"/>
          <w:sz w:val="17"/>
          <w:szCs w:val="17"/>
        </w:rPr>
        <w:t xml:space="preserve">    user_id         BIGSERIAL PRIMARY KEY,</w:t>
      </w:r>
    </w:p>
    <w:p>
      <w:pPr>
        <w:shd w:fill="1E1E1E"/>
        <w:spacing w:after="0"/>
      </w:pPr>
      <w:r>
        <w:rPr>
          <w:rFonts w:ascii="Consolas" w:cs="Consolas" w:eastAsia="Consolas" w:hAnsi="Consolas"/>
          <w:color w:val="D4D4D4"/>
          <w:sz w:val="17"/>
          <w:szCs w:val="17"/>
        </w:rPr>
        <w:t xml:space="preserve">    tenant_id       BIGINT REFERENCES tenants(tenant_id) ON DELETE RESTRICT,</w:t>
      </w:r>
    </w:p>
    <w:p>
      <w:pPr>
        <w:shd w:fill="1E1E1E"/>
        <w:spacing w:after="0"/>
      </w:pPr>
      <w:r>
        <w:rPr>
          <w:rFonts w:ascii="Consolas" w:cs="Consolas" w:eastAsia="Consolas" w:hAnsi="Consolas"/>
          <w:color w:val="D4D4D4"/>
          <w:sz w:val="17"/>
          <w:szCs w:val="17"/>
        </w:rPr>
        <w:t xml:space="preserve">    email           VARCHAR(150) NOT NULL,</w:t>
      </w:r>
    </w:p>
    <w:p>
      <w:pPr>
        <w:shd w:fill="1E1E1E"/>
        <w:spacing w:after="0"/>
      </w:pPr>
      <w:r>
        <w:rPr>
          <w:rFonts w:ascii="Consolas" w:cs="Consolas" w:eastAsia="Consolas" w:hAnsi="Consolas"/>
          <w:color w:val="D4D4D4"/>
          <w:sz w:val="17"/>
          <w:szCs w:val="17"/>
        </w:rPr>
        <w:t xml:space="preserve">    full_name       VARCHAR(150) NOT NULL,</w:t>
      </w:r>
    </w:p>
    <w:p>
      <w:pPr>
        <w:shd w:fill="1E1E1E"/>
        <w:spacing w:after="0"/>
      </w:pPr>
      <w:r>
        <w:rPr>
          <w:rFonts w:ascii="Consolas" w:cs="Consolas" w:eastAsia="Consolas" w:hAnsi="Consolas"/>
          <w:color w:val="D4D4D4"/>
          <w:sz w:val="17"/>
          <w:szCs w:val="17"/>
        </w:rPr>
        <w:t xml:space="preserve">    password_hash   VARCHAR(255) NOT NULL,</w:t>
      </w:r>
    </w:p>
    <w:p>
      <w:pPr>
        <w:shd w:fill="1E1E1E"/>
        <w:spacing w:after="0"/>
      </w:pPr>
      <w:r>
        <w:rPr>
          <w:rFonts w:ascii="Consolas" w:cs="Consolas" w:eastAsia="Consolas" w:hAnsi="Consolas"/>
          <w:color w:val="D4D4D4"/>
          <w:sz w:val="17"/>
          <w:szCs w:val="17"/>
        </w:rPr>
        <w:t xml:space="preserve">    status          VARCHAR(20) NOT NULL DEFAULT 'invited'</w:t>
      </w:r>
    </w:p>
    <w:p>
      <w:pPr>
        <w:shd w:fill="1E1E1E"/>
        <w:spacing w:after="0"/>
      </w:pPr>
      <w:r>
        <w:rPr>
          <w:rFonts w:ascii="Consolas" w:cs="Consolas" w:eastAsia="Consolas" w:hAnsi="Consolas"/>
          <w:color w:val="D4D4D4"/>
          <w:sz w:val="17"/>
          <w:szCs w:val="17"/>
        </w:rPr>
        <w:t xml:space="preserve">                        CHECK (status IN ('invited','active','locked','disabled')),</w:t>
      </w:r>
    </w:p>
    <w:p>
      <w:pPr>
        <w:shd w:fill="1E1E1E"/>
        <w:spacing w:after="0"/>
      </w:pPr>
      <w:r>
        <w:rPr>
          <w:rFonts w:ascii="Consolas" w:cs="Consolas" w:eastAsia="Consolas" w:hAnsi="Consolas"/>
          <w:color w:val="D4D4D4"/>
          <w:sz w:val="17"/>
          <w:szCs w:val="17"/>
        </w:rPr>
        <w:t xml:space="preserve">    failed_login_count INTEGER NOT NULL DEFAULT 0,</w:t>
      </w:r>
    </w:p>
    <w:p>
      <w:pPr>
        <w:shd w:fill="1E1E1E"/>
        <w:spacing w:after="0"/>
      </w:pPr>
      <w:r>
        <w:rPr>
          <w:rFonts w:ascii="Consolas" w:cs="Consolas" w:eastAsia="Consolas" w:hAnsi="Consolas"/>
          <w:color w:val="D4D4D4"/>
          <w:sz w:val="17"/>
          <w:szCs w:val="17"/>
        </w:rPr>
        <w:t xml:space="preserve">    created_at      TIMESTAMPTZ NOT NULL DEFAULT now(),</w:t>
      </w:r>
    </w:p>
    <w:p>
      <w:pPr>
        <w:shd w:fill="1E1E1E"/>
        <w:spacing w:after="0"/>
      </w:pPr>
      <w:r>
        <w:rPr>
          <w:rFonts w:ascii="Consolas" w:cs="Consolas" w:eastAsia="Consolas" w:hAnsi="Consolas"/>
          <w:color w:val="D4D4D4"/>
          <w:sz w:val="17"/>
          <w:szCs w:val="17"/>
        </w:rPr>
        <w:t xml:space="preserve">    created_by      BIGINT REFERENCES users(user_id),</w:t>
      </w:r>
    </w:p>
    <w:p>
      <w:pPr>
        <w:shd w:fill="1E1E1E"/>
        <w:spacing w:after="0"/>
      </w:pPr>
      <w:r>
        <w:rPr>
          <w:rFonts w:ascii="Consolas" w:cs="Consolas" w:eastAsia="Consolas" w:hAnsi="Consolas"/>
          <w:color w:val="D4D4D4"/>
          <w:sz w:val="17"/>
          <w:szCs w:val="17"/>
        </w:rPr>
        <w:t xml:space="preserve">    updated_at      TIMESTAMPTZ,</w:t>
      </w:r>
    </w:p>
    <w:p>
      <w:pPr>
        <w:shd w:fill="1E1E1E"/>
        <w:spacing w:after="0"/>
      </w:pPr>
      <w:r>
        <w:rPr>
          <w:rFonts w:ascii="Consolas" w:cs="Consolas" w:eastAsia="Consolas" w:hAnsi="Consolas"/>
          <w:color w:val="D4D4D4"/>
          <w:sz w:val="17"/>
          <w:szCs w:val="17"/>
        </w:rPr>
        <w:t xml:space="preserve">    UNIQUE (tenant_id, email)</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 </w:t>
      </w:r>
    </w:p>
    <w:p>
      <w:pPr>
        <w:shd w:fill="1E1E1E"/>
        <w:spacing w:after="0"/>
      </w:pPr>
      <w:r>
        <w:rPr>
          <w:rFonts w:ascii="Consolas" w:cs="Consolas" w:eastAsia="Consolas" w:hAnsi="Consolas"/>
          <w:color w:val="D4D4D4"/>
          <w:sz w:val="17"/>
          <w:szCs w:val="17"/>
        </w:rPr>
        <w:t xml:space="preserve">CREATE TABLE roles (</w:t>
      </w:r>
    </w:p>
    <w:p>
      <w:pPr>
        <w:shd w:fill="1E1E1E"/>
        <w:spacing w:after="0"/>
      </w:pPr>
      <w:r>
        <w:rPr>
          <w:rFonts w:ascii="Consolas" w:cs="Consolas" w:eastAsia="Consolas" w:hAnsi="Consolas"/>
          <w:color w:val="D4D4D4"/>
          <w:sz w:val="17"/>
          <w:szCs w:val="17"/>
        </w:rPr>
        <w:t xml:space="preserve">    role_id         BIGSERIAL PRIMARY KEY,</w:t>
      </w:r>
    </w:p>
    <w:p>
      <w:pPr>
        <w:shd w:fill="1E1E1E"/>
        <w:spacing w:after="0"/>
      </w:pPr>
      <w:r>
        <w:rPr>
          <w:rFonts w:ascii="Consolas" w:cs="Consolas" w:eastAsia="Consolas" w:hAnsi="Consolas"/>
          <w:color w:val="D4D4D4"/>
          <w:sz w:val="17"/>
          <w:szCs w:val="17"/>
        </w:rPr>
        <w:t xml:space="preserve">    role_code       VARCHAR(30) NOT NULL UNIQUE,</w:t>
      </w:r>
    </w:p>
    <w:p>
      <w:pPr>
        <w:shd w:fill="1E1E1E"/>
        <w:spacing w:after="0"/>
      </w:pPr>
      <w:r>
        <w:rPr>
          <w:rFonts w:ascii="Consolas" w:cs="Consolas" w:eastAsia="Consolas" w:hAnsi="Consolas"/>
          <w:color w:val="D4D4D4"/>
          <w:sz w:val="17"/>
          <w:szCs w:val="17"/>
        </w:rPr>
        <w:t xml:space="preserve">    role_name       VARCHAR(100) NOT NULL,</w:t>
      </w:r>
    </w:p>
    <w:p>
      <w:pPr>
        <w:shd w:fill="1E1E1E"/>
        <w:spacing w:after="0"/>
      </w:pPr>
      <w:r>
        <w:rPr>
          <w:rFonts w:ascii="Consolas" w:cs="Consolas" w:eastAsia="Consolas" w:hAnsi="Consolas"/>
          <w:color w:val="D4D4D4"/>
          <w:sz w:val="17"/>
          <w:szCs w:val="17"/>
        </w:rPr>
        <w:t xml:space="preserve">    is_system_role  BOOLEAN NOT NULL DEFAULT true,</w:t>
      </w:r>
    </w:p>
    <w:p>
      <w:pPr>
        <w:shd w:fill="1E1E1E"/>
        <w:spacing w:after="0"/>
      </w:pPr>
      <w:r>
        <w:rPr>
          <w:rFonts w:ascii="Consolas" w:cs="Consolas" w:eastAsia="Consolas" w:hAnsi="Consolas"/>
          <w:color w:val="D4D4D4"/>
          <w:sz w:val="17"/>
          <w:szCs w:val="17"/>
        </w:rPr>
        <w:t xml:space="preserve">    tenant_id       BIGINT REFERENCES tenants(tenant_id)</w:t>
      </w:r>
    </w:p>
    <w:p>
      <w:pPr>
        <w:shd w:fill="1E1E1E"/>
        <w:spacing w:after="0"/>
      </w:pPr>
      <w:r>
        <w:rPr>
          <w:rFonts w:ascii="Consolas" w:cs="Consolas" w:eastAsia="Consolas" w:hAnsi="Consolas"/>
          <w:color w:val="D4D4D4"/>
          <w:sz w:val="17"/>
          <w:szCs w:val="17"/>
        </w:rPr>
        <w:t xml:space="preserve">);</w:t>
      </w:r>
    </w:p>
    <w:p>
      <w:pPr>
        <w:spacing w:after="160"/>
      </w:pPr>
    </w:p>
    <w:p>
      <w:pPr>
        <w:spacing w:after="40" w:before="120"/>
      </w:pPr>
      <w:r>
        <w:rPr>
          <w:b/>
          <w:bCs/>
          <w:color w:val="1F3864"/>
          <w:sz w:val="19"/>
          <w:szCs w:val="19"/>
        </w:rPr>
        <w:t xml:space="preserve">org_units (Company / Division / Plant / Warehouse)</w:t>
      </w:r>
    </w:p>
    <w:p>
      <w:pPr>
        <w:shd w:fill="1E1E1E"/>
        <w:spacing w:after="0"/>
      </w:pPr>
      <w:r>
        <w:rPr>
          <w:rFonts w:ascii="Consolas" w:cs="Consolas" w:eastAsia="Consolas" w:hAnsi="Consolas"/>
          <w:color w:val="D4D4D4"/>
          <w:sz w:val="17"/>
          <w:szCs w:val="17"/>
        </w:rPr>
        <w:t xml:space="preserve">CREATE TABLE org_units (</w:t>
      </w:r>
    </w:p>
    <w:p>
      <w:pPr>
        <w:shd w:fill="1E1E1E"/>
        <w:spacing w:after="0"/>
      </w:pPr>
      <w:r>
        <w:rPr>
          <w:rFonts w:ascii="Consolas" w:cs="Consolas" w:eastAsia="Consolas" w:hAnsi="Consolas"/>
          <w:color w:val="D4D4D4"/>
          <w:sz w:val="17"/>
          <w:szCs w:val="17"/>
        </w:rPr>
        <w:t xml:space="preserve">    org_unit_id         BIGSERIAL PRIMARY KEY,</w:t>
      </w:r>
    </w:p>
    <w:p>
      <w:pPr>
        <w:shd w:fill="1E1E1E"/>
        <w:spacing w:after="0"/>
      </w:pPr>
      <w:r>
        <w:rPr>
          <w:rFonts w:ascii="Consolas" w:cs="Consolas" w:eastAsia="Consolas" w:hAnsi="Consolas"/>
          <w:color w:val="D4D4D4"/>
          <w:sz w:val="17"/>
          <w:szCs w:val="17"/>
        </w:rPr>
        <w:t xml:space="preserve">    tenant_id           BIGINT NOT NULL REFERENCES tenants(tenant_id),</w:t>
      </w:r>
    </w:p>
    <w:p>
      <w:pPr>
        <w:shd w:fill="1E1E1E"/>
        <w:spacing w:after="0"/>
      </w:pPr>
      <w:r>
        <w:rPr>
          <w:rFonts w:ascii="Consolas" w:cs="Consolas" w:eastAsia="Consolas" w:hAnsi="Consolas"/>
          <w:color w:val="D4D4D4"/>
          <w:sz w:val="17"/>
          <w:szCs w:val="17"/>
        </w:rPr>
        <w:t xml:space="preserve">    parent_org_unit_id  BIGINT REFERENCES org_units(org_unit_id),</w:t>
      </w:r>
    </w:p>
    <w:p>
      <w:pPr>
        <w:shd w:fill="1E1E1E"/>
        <w:spacing w:after="0"/>
      </w:pPr>
      <w:r>
        <w:rPr>
          <w:rFonts w:ascii="Consolas" w:cs="Consolas" w:eastAsia="Consolas" w:hAnsi="Consolas"/>
          <w:color w:val="D4D4D4"/>
          <w:sz w:val="17"/>
          <w:szCs w:val="17"/>
        </w:rPr>
        <w:t xml:space="preserve">    unit_type           VARCHAR(20) NOT NULL</w:t>
      </w:r>
    </w:p>
    <w:p>
      <w:pPr>
        <w:shd w:fill="1E1E1E"/>
        <w:spacing w:after="0"/>
      </w:pPr>
      <w:r>
        <w:rPr>
          <w:rFonts w:ascii="Consolas" w:cs="Consolas" w:eastAsia="Consolas" w:hAnsi="Consolas"/>
          <w:color w:val="D4D4D4"/>
          <w:sz w:val="17"/>
          <w:szCs w:val="17"/>
        </w:rPr>
        <w:t xml:space="preserve">                            CHECK (unit_type IN ('COMPANY','DIVISION','PLANT','WAREHOUSE')),</w:t>
      </w:r>
    </w:p>
    <w:p>
      <w:pPr>
        <w:shd w:fill="1E1E1E"/>
        <w:spacing w:after="0"/>
      </w:pPr>
      <w:r>
        <w:rPr>
          <w:rFonts w:ascii="Consolas" w:cs="Consolas" w:eastAsia="Consolas" w:hAnsi="Consolas"/>
          <w:color w:val="D4D4D4"/>
          <w:sz w:val="17"/>
          <w:szCs w:val="17"/>
        </w:rPr>
        <w:t xml:space="preserve">    unit_code           VARCHAR(30) NOT NULL,</w:t>
      </w:r>
    </w:p>
    <w:p>
      <w:pPr>
        <w:shd w:fill="1E1E1E"/>
        <w:spacing w:after="0"/>
      </w:pPr>
      <w:r>
        <w:rPr>
          <w:rFonts w:ascii="Consolas" w:cs="Consolas" w:eastAsia="Consolas" w:hAnsi="Consolas"/>
          <w:color w:val="D4D4D4"/>
          <w:sz w:val="17"/>
          <w:szCs w:val="17"/>
        </w:rPr>
        <w:t xml:space="preserve">    unit_name           VARCHAR(150) NOT NULL,</w:t>
      </w:r>
    </w:p>
    <w:p>
      <w:pPr>
        <w:shd w:fill="1E1E1E"/>
        <w:spacing w:after="0"/>
      </w:pPr>
      <w:r>
        <w:rPr>
          <w:rFonts w:ascii="Consolas" w:cs="Consolas" w:eastAsia="Consolas" w:hAnsi="Consolas"/>
          <w:color w:val="D4D4D4"/>
          <w:sz w:val="17"/>
          <w:szCs w:val="17"/>
        </w:rPr>
        <w:t xml:space="preserve">    currency_code       CHAR(3),</w:t>
      </w:r>
    </w:p>
    <w:p>
      <w:pPr>
        <w:shd w:fill="1E1E1E"/>
        <w:spacing w:after="0"/>
      </w:pPr>
      <w:r>
        <w:rPr>
          <w:rFonts w:ascii="Consolas" w:cs="Consolas" w:eastAsia="Consolas" w:hAnsi="Consolas"/>
          <w:color w:val="D4D4D4"/>
          <w:sz w:val="17"/>
          <w:szCs w:val="17"/>
        </w:rPr>
        <w:t xml:space="preserve">    status              VARCHAR(20) NOT NULL DEFAULT 'active',</w:t>
      </w:r>
    </w:p>
    <w:p>
      <w:pPr>
        <w:shd w:fill="1E1E1E"/>
        <w:spacing w:after="0"/>
      </w:pPr>
      <w:r>
        <w:rPr>
          <w:rFonts w:ascii="Consolas" w:cs="Consolas" w:eastAsia="Consolas" w:hAnsi="Consolas"/>
          <w:color w:val="D4D4D4"/>
          <w:sz w:val="17"/>
          <w:szCs w:val="17"/>
        </w:rPr>
        <w:t xml:space="preserve">    UNIQUE (tenant_id, unit_code)</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CREATE INDEX idx_org_units_parent ON org_units(parent_org_unit_id);</w:t>
      </w:r>
    </w:p>
    <w:p>
      <w:pPr>
        <w:spacing w:after="160"/>
      </w:pPr>
    </w:p>
    <w:p>
      <w:pPr>
        <w:spacing w:after="40" w:before="120"/>
      </w:pPr>
      <w:r>
        <w:rPr>
          <w:b/>
          <w:bCs/>
          <w:color w:val="1F3864"/>
          <w:sz w:val="19"/>
          <w:szCs w:val="19"/>
        </w:rPr>
        <w:t xml:space="preserve">items, bom_header, bom_components</w:t>
      </w:r>
    </w:p>
    <w:p>
      <w:pPr>
        <w:shd w:fill="1E1E1E"/>
        <w:spacing w:after="0"/>
      </w:pPr>
      <w:r>
        <w:rPr>
          <w:rFonts w:ascii="Consolas" w:cs="Consolas" w:eastAsia="Consolas" w:hAnsi="Consolas"/>
          <w:color w:val="D4D4D4"/>
          <w:sz w:val="17"/>
          <w:szCs w:val="17"/>
        </w:rPr>
        <w:t xml:space="preserve">CREATE TABLE items (</w:t>
      </w:r>
    </w:p>
    <w:p>
      <w:pPr>
        <w:shd w:fill="1E1E1E"/>
        <w:spacing w:after="0"/>
      </w:pPr>
      <w:r>
        <w:rPr>
          <w:rFonts w:ascii="Consolas" w:cs="Consolas" w:eastAsia="Consolas" w:hAnsi="Consolas"/>
          <w:color w:val="D4D4D4"/>
          <w:sz w:val="17"/>
          <w:szCs w:val="17"/>
        </w:rPr>
        <w:t xml:space="preserve">    item_id             BIGSERIAL PRIMARY KEY,</w:t>
      </w:r>
    </w:p>
    <w:p>
      <w:pPr>
        <w:shd w:fill="1E1E1E"/>
        <w:spacing w:after="0"/>
      </w:pPr>
      <w:r>
        <w:rPr>
          <w:rFonts w:ascii="Consolas" w:cs="Consolas" w:eastAsia="Consolas" w:hAnsi="Consolas"/>
          <w:color w:val="D4D4D4"/>
          <w:sz w:val="17"/>
          <w:szCs w:val="17"/>
        </w:rPr>
        <w:t xml:space="preserve">    tenant_id           BIGINT NOT NULL REFERENCES tenants(tenant_id),</w:t>
      </w:r>
    </w:p>
    <w:p>
      <w:pPr>
        <w:shd w:fill="1E1E1E"/>
        <w:spacing w:after="0"/>
      </w:pPr>
      <w:r>
        <w:rPr>
          <w:rFonts w:ascii="Consolas" w:cs="Consolas" w:eastAsia="Consolas" w:hAnsi="Consolas"/>
          <w:color w:val="D4D4D4"/>
          <w:sz w:val="17"/>
          <w:szCs w:val="17"/>
        </w:rPr>
        <w:t xml:space="preserve">    item_code           VARCHAR(50) NOT NULL,</w:t>
      </w:r>
    </w:p>
    <w:p>
      <w:pPr>
        <w:shd w:fill="1E1E1E"/>
        <w:spacing w:after="0"/>
      </w:pPr>
      <w:r>
        <w:rPr>
          <w:rFonts w:ascii="Consolas" w:cs="Consolas" w:eastAsia="Consolas" w:hAnsi="Consolas"/>
          <w:color w:val="D4D4D4"/>
          <w:sz w:val="17"/>
          <w:szCs w:val="17"/>
        </w:rPr>
        <w:t xml:space="preserve">    item_name           VARCHAR(200) NOT NULL,</w:t>
      </w:r>
    </w:p>
    <w:p>
      <w:pPr>
        <w:shd w:fill="1E1E1E"/>
        <w:spacing w:after="0"/>
      </w:pPr>
      <w:r>
        <w:rPr>
          <w:rFonts w:ascii="Consolas" w:cs="Consolas" w:eastAsia="Consolas" w:hAnsi="Consolas"/>
          <w:color w:val="D4D4D4"/>
          <w:sz w:val="17"/>
          <w:szCs w:val="17"/>
        </w:rPr>
        <w:t xml:space="preserve">    item_category_id    BIGINT,</w:t>
      </w:r>
    </w:p>
    <w:p>
      <w:pPr>
        <w:shd w:fill="1E1E1E"/>
        <w:spacing w:after="0"/>
      </w:pPr>
      <w:r>
        <w:rPr>
          <w:rFonts w:ascii="Consolas" w:cs="Consolas" w:eastAsia="Consolas" w:hAnsi="Consolas"/>
          <w:color w:val="D4D4D4"/>
          <w:sz w:val="17"/>
          <w:szCs w:val="17"/>
        </w:rPr>
        <w:t xml:space="preserve">    item_type           VARCHAR(20) NOT NULL</w:t>
      </w:r>
    </w:p>
    <w:p>
      <w:pPr>
        <w:shd w:fill="1E1E1E"/>
        <w:spacing w:after="0"/>
      </w:pPr>
      <w:r>
        <w:rPr>
          <w:rFonts w:ascii="Consolas" w:cs="Consolas" w:eastAsia="Consolas" w:hAnsi="Consolas"/>
          <w:color w:val="D4D4D4"/>
          <w:sz w:val="17"/>
          <w:szCs w:val="17"/>
        </w:rPr>
        <w:t xml:space="preserve">                            CHECK (item_type IN ('RAW','SEMI_FINISHED','FINISHED','SERVICE')),</w:t>
      </w:r>
    </w:p>
    <w:p>
      <w:pPr>
        <w:shd w:fill="1E1E1E"/>
        <w:spacing w:after="0"/>
      </w:pPr>
      <w:r>
        <w:rPr>
          <w:rFonts w:ascii="Consolas" w:cs="Consolas" w:eastAsia="Consolas" w:hAnsi="Consolas"/>
          <w:color w:val="D4D4D4"/>
          <w:sz w:val="17"/>
          <w:szCs w:val="17"/>
        </w:rPr>
        <w:t xml:space="preserve">    base_uom_id         BIGINT NOT NULL,</w:t>
      </w:r>
    </w:p>
    <w:p>
      <w:pPr>
        <w:shd w:fill="1E1E1E"/>
        <w:spacing w:after="0"/>
      </w:pPr>
      <w:r>
        <w:rPr>
          <w:rFonts w:ascii="Consolas" w:cs="Consolas" w:eastAsia="Consolas" w:hAnsi="Consolas"/>
          <w:color w:val="D4D4D4"/>
          <w:sz w:val="17"/>
          <w:szCs w:val="17"/>
        </w:rPr>
        <w:t xml:space="preserve">    valuation_method    VARCHAR(20) NOT NULL</w:t>
      </w:r>
    </w:p>
    <w:p>
      <w:pPr>
        <w:shd w:fill="1E1E1E"/>
        <w:spacing w:after="0"/>
      </w:pPr>
      <w:r>
        <w:rPr>
          <w:rFonts w:ascii="Consolas" w:cs="Consolas" w:eastAsia="Consolas" w:hAnsi="Consolas"/>
          <w:color w:val="D4D4D4"/>
          <w:sz w:val="17"/>
          <w:szCs w:val="17"/>
        </w:rPr>
        <w:t xml:space="preserve">                            CHECK (valuation_method IN ('FIFO','PERIODIC_WAC','MOVING_WAC','SPECIFIC')),</w:t>
      </w:r>
    </w:p>
    <w:p>
      <w:pPr>
        <w:shd w:fill="1E1E1E"/>
        <w:spacing w:after="0"/>
      </w:pPr>
      <w:r>
        <w:rPr>
          <w:rFonts w:ascii="Consolas" w:cs="Consolas" w:eastAsia="Consolas" w:hAnsi="Consolas"/>
          <w:color w:val="D4D4D4"/>
          <w:sz w:val="17"/>
          <w:szCs w:val="17"/>
        </w:rPr>
        <w:t xml:space="preserve">    status              VARCHAR(20) NOT NULL DEFAULT 'active',</w:t>
      </w:r>
    </w:p>
    <w:p>
      <w:pPr>
        <w:shd w:fill="1E1E1E"/>
        <w:spacing w:after="0"/>
      </w:pPr>
      <w:r>
        <w:rPr>
          <w:rFonts w:ascii="Consolas" w:cs="Consolas" w:eastAsia="Consolas" w:hAnsi="Consolas"/>
          <w:color w:val="D4D4D4"/>
          <w:sz w:val="17"/>
          <w:szCs w:val="17"/>
        </w:rPr>
        <w:t xml:space="preserve">    created_at          TIMESTAMPTZ NOT NULL DEFAULT now(),</w:t>
      </w:r>
    </w:p>
    <w:p>
      <w:pPr>
        <w:shd w:fill="1E1E1E"/>
        <w:spacing w:after="0"/>
      </w:pPr>
      <w:r>
        <w:rPr>
          <w:rFonts w:ascii="Consolas" w:cs="Consolas" w:eastAsia="Consolas" w:hAnsi="Consolas"/>
          <w:color w:val="D4D4D4"/>
          <w:sz w:val="17"/>
          <w:szCs w:val="17"/>
        </w:rPr>
        <w:t xml:space="preserve">    UNIQUE (tenant_id, item_code)</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 </w:t>
      </w:r>
    </w:p>
    <w:p>
      <w:pPr>
        <w:shd w:fill="1E1E1E"/>
        <w:spacing w:after="0"/>
      </w:pPr>
      <w:r>
        <w:rPr>
          <w:rFonts w:ascii="Consolas" w:cs="Consolas" w:eastAsia="Consolas" w:hAnsi="Consolas"/>
          <w:color w:val="D4D4D4"/>
          <w:sz w:val="17"/>
          <w:szCs w:val="17"/>
        </w:rPr>
        <w:t xml:space="preserve">CREATE TABLE bom_header (</w:t>
      </w:r>
    </w:p>
    <w:p>
      <w:pPr>
        <w:shd w:fill="1E1E1E"/>
        <w:spacing w:after="0"/>
      </w:pPr>
      <w:r>
        <w:rPr>
          <w:rFonts w:ascii="Consolas" w:cs="Consolas" w:eastAsia="Consolas" w:hAnsi="Consolas"/>
          <w:color w:val="D4D4D4"/>
          <w:sz w:val="17"/>
          <w:szCs w:val="17"/>
        </w:rPr>
        <w:t xml:space="preserve">    bom_id              BIGSERIAL PRIMARY KEY,</w:t>
      </w:r>
    </w:p>
    <w:p>
      <w:pPr>
        <w:shd w:fill="1E1E1E"/>
        <w:spacing w:after="0"/>
      </w:pPr>
      <w:r>
        <w:rPr>
          <w:rFonts w:ascii="Consolas" w:cs="Consolas" w:eastAsia="Consolas" w:hAnsi="Consolas"/>
          <w:color w:val="D4D4D4"/>
          <w:sz w:val="17"/>
          <w:szCs w:val="17"/>
        </w:rPr>
        <w:t xml:space="preserve">    tenant_id           BIGINT NOT NULL REFERENCES tenants(tenant_id),</w:t>
      </w:r>
    </w:p>
    <w:p>
      <w:pPr>
        <w:shd w:fill="1E1E1E"/>
        <w:spacing w:after="0"/>
      </w:pPr>
      <w:r>
        <w:rPr>
          <w:rFonts w:ascii="Consolas" w:cs="Consolas" w:eastAsia="Consolas" w:hAnsi="Consolas"/>
          <w:color w:val="D4D4D4"/>
          <w:sz w:val="17"/>
          <w:szCs w:val="17"/>
        </w:rPr>
        <w:t xml:space="preserve">    parent_item_id      BIGINT NOT NULL REFERENCES items(item_id),</w:t>
      </w:r>
    </w:p>
    <w:p>
      <w:pPr>
        <w:shd w:fill="1E1E1E"/>
        <w:spacing w:after="0"/>
      </w:pPr>
      <w:r>
        <w:rPr>
          <w:rFonts w:ascii="Consolas" w:cs="Consolas" w:eastAsia="Consolas" w:hAnsi="Consolas"/>
          <w:color w:val="D4D4D4"/>
          <w:sz w:val="17"/>
          <w:szCs w:val="17"/>
        </w:rPr>
        <w:t xml:space="preserve">    bom_version         INTEGER NOT NULL,</w:t>
      </w:r>
    </w:p>
    <w:p>
      <w:pPr>
        <w:shd w:fill="1E1E1E"/>
        <w:spacing w:after="0"/>
      </w:pPr>
      <w:r>
        <w:rPr>
          <w:rFonts w:ascii="Consolas" w:cs="Consolas" w:eastAsia="Consolas" w:hAnsi="Consolas"/>
          <w:color w:val="D4D4D4"/>
          <w:sz w:val="17"/>
          <w:szCs w:val="17"/>
        </w:rPr>
        <w:t xml:space="preserve">    base_quantity       NUMERIC(18,4) NOT NULL DEFAULT 1 CHECK (base_quantity &gt; 0),</w:t>
      </w:r>
    </w:p>
    <w:p>
      <w:pPr>
        <w:shd w:fill="1E1E1E"/>
        <w:spacing w:after="0"/>
      </w:pPr>
      <w:r>
        <w:rPr>
          <w:rFonts w:ascii="Consolas" w:cs="Consolas" w:eastAsia="Consolas" w:hAnsi="Consolas"/>
          <w:color w:val="D4D4D4"/>
          <w:sz w:val="17"/>
          <w:szCs w:val="17"/>
        </w:rPr>
        <w:t xml:space="preserve">    base_uom_id         BIGINT NOT NULL,</w:t>
      </w:r>
    </w:p>
    <w:p>
      <w:pPr>
        <w:shd w:fill="1E1E1E"/>
        <w:spacing w:after="0"/>
      </w:pPr>
      <w:r>
        <w:rPr>
          <w:rFonts w:ascii="Consolas" w:cs="Consolas" w:eastAsia="Consolas" w:hAnsi="Consolas"/>
          <w:color w:val="D4D4D4"/>
          <w:sz w:val="17"/>
          <w:szCs w:val="17"/>
        </w:rPr>
        <w:t xml:space="preserve">    effective_from      DATE NOT NULL,</w:t>
      </w:r>
    </w:p>
    <w:p>
      <w:pPr>
        <w:shd w:fill="1E1E1E"/>
        <w:spacing w:after="0"/>
      </w:pPr>
      <w:r>
        <w:rPr>
          <w:rFonts w:ascii="Consolas" w:cs="Consolas" w:eastAsia="Consolas" w:hAnsi="Consolas"/>
          <w:color w:val="D4D4D4"/>
          <w:sz w:val="17"/>
          <w:szCs w:val="17"/>
        </w:rPr>
        <w:t xml:space="preserve">    effective_to        DATE CHECK (effective_to IS NULL OR effective_to &gt;= effective_from),</w:t>
      </w:r>
    </w:p>
    <w:p>
      <w:pPr>
        <w:shd w:fill="1E1E1E"/>
        <w:spacing w:after="0"/>
      </w:pPr>
      <w:r>
        <w:rPr>
          <w:rFonts w:ascii="Consolas" w:cs="Consolas" w:eastAsia="Consolas" w:hAnsi="Consolas"/>
          <w:color w:val="D4D4D4"/>
          <w:sz w:val="17"/>
          <w:szCs w:val="17"/>
        </w:rPr>
        <w:t xml:space="preserve">    status              VARCHAR(20) NOT NULL DEFAULT 'draft'</w:t>
      </w:r>
    </w:p>
    <w:p>
      <w:pPr>
        <w:shd w:fill="1E1E1E"/>
        <w:spacing w:after="0"/>
      </w:pPr>
      <w:r>
        <w:rPr>
          <w:rFonts w:ascii="Consolas" w:cs="Consolas" w:eastAsia="Consolas" w:hAnsi="Consolas"/>
          <w:color w:val="D4D4D4"/>
          <w:sz w:val="17"/>
          <w:szCs w:val="17"/>
        </w:rPr>
        <w:t xml:space="preserve">                            CHECK (status IN ('draft','active','obsolete')),</w:t>
      </w:r>
    </w:p>
    <w:p>
      <w:pPr>
        <w:shd w:fill="1E1E1E"/>
        <w:spacing w:after="0"/>
      </w:pPr>
      <w:r>
        <w:rPr>
          <w:rFonts w:ascii="Consolas" w:cs="Consolas" w:eastAsia="Consolas" w:hAnsi="Consolas"/>
          <w:color w:val="D4D4D4"/>
          <w:sz w:val="17"/>
          <w:szCs w:val="17"/>
        </w:rPr>
        <w:t xml:space="preserve">    approved_by         BIGINT REFERENCES users(user_id),</w:t>
      </w:r>
    </w:p>
    <w:p>
      <w:pPr>
        <w:shd w:fill="1E1E1E"/>
        <w:spacing w:after="0"/>
      </w:pPr>
      <w:r>
        <w:rPr>
          <w:rFonts w:ascii="Consolas" w:cs="Consolas" w:eastAsia="Consolas" w:hAnsi="Consolas"/>
          <w:color w:val="D4D4D4"/>
          <w:sz w:val="17"/>
          <w:szCs w:val="17"/>
        </w:rPr>
        <w:t xml:space="preserve">    approved_at         TIMESTAMPTZ,</w:t>
      </w:r>
    </w:p>
    <w:p>
      <w:pPr>
        <w:shd w:fill="1E1E1E"/>
        <w:spacing w:after="0"/>
      </w:pPr>
      <w:r>
        <w:rPr>
          <w:rFonts w:ascii="Consolas" w:cs="Consolas" w:eastAsia="Consolas" w:hAnsi="Consolas"/>
          <w:color w:val="D4D4D4"/>
          <w:sz w:val="17"/>
          <w:szCs w:val="17"/>
        </w:rPr>
        <w:t xml:space="preserve">    UNIQUE (parent_item_id, bom_version)</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 </w:t>
      </w:r>
    </w:p>
    <w:p>
      <w:pPr>
        <w:shd w:fill="1E1E1E"/>
        <w:spacing w:after="0"/>
      </w:pPr>
      <w:r>
        <w:rPr>
          <w:rFonts w:ascii="Consolas" w:cs="Consolas" w:eastAsia="Consolas" w:hAnsi="Consolas"/>
          <w:color w:val="D4D4D4"/>
          <w:sz w:val="17"/>
          <w:szCs w:val="17"/>
        </w:rPr>
        <w:t xml:space="preserve">CREATE TABLE bom_components (</w:t>
      </w:r>
    </w:p>
    <w:p>
      <w:pPr>
        <w:shd w:fill="1E1E1E"/>
        <w:spacing w:after="0"/>
      </w:pPr>
      <w:r>
        <w:rPr>
          <w:rFonts w:ascii="Consolas" w:cs="Consolas" w:eastAsia="Consolas" w:hAnsi="Consolas"/>
          <w:color w:val="D4D4D4"/>
          <w:sz w:val="17"/>
          <w:szCs w:val="17"/>
        </w:rPr>
        <w:t xml:space="preserve">    bom_component_id    BIGSERIAL PRIMARY KEY,</w:t>
      </w:r>
    </w:p>
    <w:p>
      <w:pPr>
        <w:shd w:fill="1E1E1E"/>
        <w:spacing w:after="0"/>
      </w:pPr>
      <w:r>
        <w:rPr>
          <w:rFonts w:ascii="Consolas" w:cs="Consolas" w:eastAsia="Consolas" w:hAnsi="Consolas"/>
          <w:color w:val="D4D4D4"/>
          <w:sz w:val="17"/>
          <w:szCs w:val="17"/>
        </w:rPr>
        <w:t xml:space="preserve">    bom_id              BIGINT NOT NULL REFERENCES bom_header(bom_id) ON DELETE CASCADE,</w:t>
      </w:r>
    </w:p>
    <w:p>
      <w:pPr>
        <w:shd w:fill="1E1E1E"/>
        <w:spacing w:after="0"/>
      </w:pPr>
      <w:r>
        <w:rPr>
          <w:rFonts w:ascii="Consolas" w:cs="Consolas" w:eastAsia="Consolas" w:hAnsi="Consolas"/>
          <w:color w:val="D4D4D4"/>
          <w:sz w:val="17"/>
          <w:szCs w:val="17"/>
        </w:rPr>
        <w:t xml:space="preserve">    line_no             INTEGER NOT NULL,</w:t>
      </w:r>
    </w:p>
    <w:p>
      <w:pPr>
        <w:shd w:fill="1E1E1E"/>
        <w:spacing w:after="0"/>
      </w:pPr>
      <w:r>
        <w:rPr>
          <w:rFonts w:ascii="Consolas" w:cs="Consolas" w:eastAsia="Consolas" w:hAnsi="Consolas"/>
          <w:color w:val="D4D4D4"/>
          <w:sz w:val="17"/>
          <w:szCs w:val="17"/>
        </w:rPr>
        <w:t xml:space="preserve">    component_item_id   BIGINT NOT NULL REFERENCES items(item_id),</w:t>
      </w:r>
    </w:p>
    <w:p>
      <w:pPr>
        <w:shd w:fill="1E1E1E"/>
        <w:spacing w:after="0"/>
      </w:pPr>
      <w:r>
        <w:rPr>
          <w:rFonts w:ascii="Consolas" w:cs="Consolas" w:eastAsia="Consolas" w:hAnsi="Consolas"/>
          <w:color w:val="D4D4D4"/>
          <w:sz w:val="17"/>
          <w:szCs w:val="17"/>
        </w:rPr>
        <w:t xml:space="preserve">    quantity_per        NUMERIC(18,6) NOT NULL CHECK (quantity_per &gt; 0),</w:t>
      </w:r>
    </w:p>
    <w:p>
      <w:pPr>
        <w:shd w:fill="1E1E1E"/>
        <w:spacing w:after="0"/>
      </w:pPr>
      <w:r>
        <w:rPr>
          <w:rFonts w:ascii="Consolas" w:cs="Consolas" w:eastAsia="Consolas" w:hAnsi="Consolas"/>
          <w:color w:val="D4D4D4"/>
          <w:sz w:val="17"/>
          <w:szCs w:val="17"/>
        </w:rPr>
        <w:t xml:space="preserve">    uom_id              BIGINT NOT NULL,</w:t>
      </w:r>
    </w:p>
    <w:p>
      <w:pPr>
        <w:shd w:fill="1E1E1E"/>
        <w:spacing w:after="0"/>
      </w:pPr>
      <w:r>
        <w:rPr>
          <w:rFonts w:ascii="Consolas" w:cs="Consolas" w:eastAsia="Consolas" w:hAnsi="Consolas"/>
          <w:color w:val="D4D4D4"/>
          <w:sz w:val="17"/>
          <w:szCs w:val="17"/>
        </w:rPr>
        <w:t xml:space="preserve">    scrap_pct           NUMERIC(5,2) NOT NULL DEFAULT 0,</w:t>
      </w:r>
    </w:p>
    <w:p>
      <w:pPr>
        <w:shd w:fill="1E1E1E"/>
        <w:spacing w:after="0"/>
      </w:pPr>
      <w:r>
        <w:rPr>
          <w:rFonts w:ascii="Consolas" w:cs="Consolas" w:eastAsia="Consolas" w:hAnsi="Consolas"/>
          <w:color w:val="D4D4D4"/>
          <w:sz w:val="17"/>
          <w:szCs w:val="17"/>
        </w:rPr>
        <w:t xml:space="preserve">    is_phantom          BOOLEAN NOT NULL DEFAULT false,</w:t>
      </w:r>
    </w:p>
    <w:p>
      <w:pPr>
        <w:shd w:fill="1E1E1E"/>
        <w:spacing w:after="0"/>
      </w:pPr>
      <w:r>
        <w:rPr>
          <w:rFonts w:ascii="Consolas" w:cs="Consolas" w:eastAsia="Consolas" w:hAnsi="Consolas"/>
          <w:color w:val="D4D4D4"/>
          <w:sz w:val="17"/>
          <w:szCs w:val="17"/>
        </w:rPr>
        <w:t xml:space="preserve">    UNIQUE (bom_id, line_no)</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 BR-BOM-001 (no direct self-reference) enforced at application/engine layer,</w:t>
      </w:r>
    </w:p>
    <w:p>
      <w:pPr>
        <w:shd w:fill="1E1E1E"/>
        <w:spacing w:after="0"/>
      </w:pPr>
      <w:r>
        <w:rPr>
          <w:rFonts w:ascii="Consolas" w:cs="Consolas" w:eastAsia="Consolas" w:hAnsi="Consolas"/>
          <w:color w:val="D4D4D4"/>
          <w:sz w:val="17"/>
          <w:szCs w:val="17"/>
        </w:rPr>
        <w:t xml:space="preserve">-- since full-cycle detection requires recursive traversal beyond a simple CHECK.</w:t>
      </w:r>
    </w:p>
    <w:p>
      <w:pPr>
        <w:spacing w:after="160"/>
      </w:pPr>
    </w:p>
    <w:p>
      <w:pPr>
        <w:spacing w:after="40" w:before="120"/>
      </w:pPr>
      <w:r>
        <w:rPr>
          <w:b/>
          <w:bCs/>
          <w:color w:val="1F3864"/>
          <w:sz w:val="19"/>
          <w:szCs w:val="19"/>
        </w:rPr>
        <w:t xml:space="preserve">costing_runs, costing_results, audit_trail</w:t>
      </w:r>
    </w:p>
    <w:p>
      <w:pPr>
        <w:shd w:fill="1E1E1E"/>
        <w:spacing w:after="0"/>
      </w:pPr>
      <w:r>
        <w:rPr>
          <w:rFonts w:ascii="Consolas" w:cs="Consolas" w:eastAsia="Consolas" w:hAnsi="Consolas"/>
          <w:color w:val="D4D4D4"/>
          <w:sz w:val="17"/>
          <w:szCs w:val="17"/>
        </w:rPr>
        <w:t xml:space="preserve">CREATE TABLE costing_runs (</w:t>
      </w:r>
    </w:p>
    <w:p>
      <w:pPr>
        <w:shd w:fill="1E1E1E"/>
        <w:spacing w:after="0"/>
      </w:pPr>
      <w:r>
        <w:rPr>
          <w:rFonts w:ascii="Consolas" w:cs="Consolas" w:eastAsia="Consolas" w:hAnsi="Consolas"/>
          <w:color w:val="D4D4D4"/>
          <w:sz w:val="17"/>
          <w:szCs w:val="17"/>
        </w:rPr>
        <w:t xml:space="preserve">    costing_run_id      BIGSERIAL PRIMARY KEY,</w:t>
      </w:r>
    </w:p>
    <w:p>
      <w:pPr>
        <w:shd w:fill="1E1E1E"/>
        <w:spacing w:after="0"/>
      </w:pPr>
      <w:r>
        <w:rPr>
          <w:rFonts w:ascii="Consolas" w:cs="Consolas" w:eastAsia="Consolas" w:hAnsi="Consolas"/>
          <w:color w:val="D4D4D4"/>
          <w:sz w:val="17"/>
          <w:szCs w:val="17"/>
        </w:rPr>
        <w:t xml:space="preserve">    tenant_id           BIGINT NOT NULL REFERENCES tenants(tenant_id),</w:t>
      </w:r>
    </w:p>
    <w:p>
      <w:pPr>
        <w:shd w:fill="1E1E1E"/>
        <w:spacing w:after="0"/>
      </w:pPr>
      <w:r>
        <w:rPr>
          <w:rFonts w:ascii="Consolas" w:cs="Consolas" w:eastAsia="Consolas" w:hAnsi="Consolas"/>
          <w:color w:val="D4D4D4"/>
          <w:sz w:val="17"/>
          <w:szCs w:val="17"/>
        </w:rPr>
        <w:t xml:space="preserve">    period_id           BIGINT NOT NULL REFERENCES periods(period_id),</w:t>
      </w:r>
    </w:p>
    <w:p>
      <w:pPr>
        <w:shd w:fill="1E1E1E"/>
        <w:spacing w:after="0"/>
      </w:pPr>
      <w:r>
        <w:rPr>
          <w:rFonts w:ascii="Consolas" w:cs="Consolas" w:eastAsia="Consolas" w:hAnsi="Consolas"/>
          <w:color w:val="D4D4D4"/>
          <w:sz w:val="17"/>
          <w:szCs w:val="17"/>
        </w:rPr>
        <w:t xml:space="preserve">    run_type            VARCHAR(30) NOT NULL,</w:t>
      </w:r>
    </w:p>
    <w:p>
      <w:pPr>
        <w:shd w:fill="1E1E1E"/>
        <w:spacing w:after="0"/>
      </w:pPr>
      <w:r>
        <w:rPr>
          <w:rFonts w:ascii="Consolas" w:cs="Consolas" w:eastAsia="Consolas" w:hAnsi="Consolas"/>
          <w:color w:val="D4D4D4"/>
          <w:sz w:val="17"/>
          <w:szCs w:val="17"/>
        </w:rPr>
        <w:t xml:space="preserve">    mode                VARCHAR(10) CHECK (mode IN ('STANDARD','ACTUAL')),</w:t>
      </w:r>
    </w:p>
    <w:p>
      <w:pPr>
        <w:shd w:fill="1E1E1E"/>
        <w:spacing w:after="0"/>
      </w:pPr>
      <w:r>
        <w:rPr>
          <w:rFonts w:ascii="Consolas" w:cs="Consolas" w:eastAsia="Consolas" w:hAnsi="Consolas"/>
          <w:color w:val="D4D4D4"/>
          <w:sz w:val="17"/>
          <w:szCs w:val="17"/>
        </w:rPr>
        <w:t xml:space="preserve">    status              VARCHAR(20) NOT NULL DEFAULT 'running',</w:t>
      </w:r>
    </w:p>
    <w:p>
      <w:pPr>
        <w:shd w:fill="1E1E1E"/>
        <w:spacing w:after="0"/>
      </w:pPr>
      <w:r>
        <w:rPr>
          <w:rFonts w:ascii="Consolas" w:cs="Consolas" w:eastAsia="Consolas" w:hAnsi="Consolas"/>
          <w:color w:val="D4D4D4"/>
          <w:sz w:val="17"/>
          <w:szCs w:val="17"/>
        </w:rPr>
        <w:t xml:space="preserve">    triggered_by        BIGINT NOT NULL REFERENCES users(user_id),</w:t>
      </w:r>
    </w:p>
    <w:p>
      <w:pPr>
        <w:shd w:fill="1E1E1E"/>
        <w:spacing w:after="0"/>
      </w:pPr>
      <w:r>
        <w:rPr>
          <w:rFonts w:ascii="Consolas" w:cs="Consolas" w:eastAsia="Consolas" w:hAnsi="Consolas"/>
          <w:color w:val="D4D4D4"/>
          <w:sz w:val="17"/>
          <w:szCs w:val="17"/>
        </w:rPr>
        <w:t xml:space="preserve">    started_at          TIMESTAMPTZ NOT NULL DEFAULT now(),</w:t>
      </w:r>
    </w:p>
    <w:p>
      <w:pPr>
        <w:shd w:fill="1E1E1E"/>
        <w:spacing w:after="0"/>
      </w:pPr>
      <w:r>
        <w:rPr>
          <w:rFonts w:ascii="Consolas" w:cs="Consolas" w:eastAsia="Consolas" w:hAnsi="Consolas"/>
          <w:color w:val="D4D4D4"/>
          <w:sz w:val="17"/>
          <w:szCs w:val="17"/>
        </w:rPr>
        <w:t xml:space="preserve">    completed_at        TIMESTAMPTZ,</w:t>
      </w:r>
    </w:p>
    <w:p>
      <w:pPr>
        <w:shd w:fill="1E1E1E"/>
        <w:spacing w:after="0"/>
      </w:pPr>
      <w:r>
        <w:rPr>
          <w:rFonts w:ascii="Consolas" w:cs="Consolas" w:eastAsia="Consolas" w:hAnsi="Consolas"/>
          <w:color w:val="D4D4D4"/>
          <w:sz w:val="17"/>
          <w:szCs w:val="17"/>
        </w:rPr>
        <w:t xml:space="preserve">    costing_version_id  BIGINT</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CREATE INDEX idx_costing_runs_tenant_period ON costing_runs(tenant_id, period_id);</w:t>
      </w:r>
    </w:p>
    <w:p>
      <w:pPr>
        <w:shd w:fill="1E1E1E"/>
        <w:spacing w:after="0"/>
      </w:pPr>
      <w:r>
        <w:rPr>
          <w:rFonts w:ascii="Consolas" w:cs="Consolas" w:eastAsia="Consolas" w:hAnsi="Consolas"/>
          <w:color w:val="D4D4D4"/>
          <w:sz w:val="17"/>
          <w:szCs w:val="17"/>
        </w:rPr>
        <w:t xml:space="preserve"> </w:t>
      </w:r>
    </w:p>
    <w:p>
      <w:pPr>
        <w:shd w:fill="1E1E1E"/>
        <w:spacing w:after="0"/>
      </w:pPr>
      <w:r>
        <w:rPr>
          <w:rFonts w:ascii="Consolas" w:cs="Consolas" w:eastAsia="Consolas" w:hAnsi="Consolas"/>
          <w:color w:val="D4D4D4"/>
          <w:sz w:val="17"/>
          <w:szCs w:val="17"/>
        </w:rPr>
        <w:t xml:space="preserve">CREATE TABLE costing_results (</w:t>
      </w:r>
    </w:p>
    <w:p>
      <w:pPr>
        <w:shd w:fill="1E1E1E"/>
        <w:spacing w:after="0"/>
      </w:pPr>
      <w:r>
        <w:rPr>
          <w:rFonts w:ascii="Consolas" w:cs="Consolas" w:eastAsia="Consolas" w:hAnsi="Consolas"/>
          <w:color w:val="D4D4D4"/>
          <w:sz w:val="17"/>
          <w:szCs w:val="17"/>
        </w:rPr>
        <w:t xml:space="preserve">    costing_result_id   BIGSERIAL PRIMARY KEY,</w:t>
      </w:r>
    </w:p>
    <w:p>
      <w:pPr>
        <w:shd w:fill="1E1E1E"/>
        <w:spacing w:after="0"/>
      </w:pPr>
      <w:r>
        <w:rPr>
          <w:rFonts w:ascii="Consolas" w:cs="Consolas" w:eastAsia="Consolas" w:hAnsi="Consolas"/>
          <w:color w:val="D4D4D4"/>
          <w:sz w:val="17"/>
          <w:szCs w:val="17"/>
        </w:rPr>
        <w:t xml:space="preserve">    costing_run_id      BIGINT NOT NULL REFERENCES costing_runs(costing_run_id),</w:t>
      </w:r>
    </w:p>
    <w:p>
      <w:pPr>
        <w:shd w:fill="1E1E1E"/>
        <w:spacing w:after="0"/>
      </w:pPr>
      <w:r>
        <w:rPr>
          <w:rFonts w:ascii="Consolas" w:cs="Consolas" w:eastAsia="Consolas" w:hAnsi="Consolas"/>
          <w:color w:val="D4D4D4"/>
          <w:sz w:val="17"/>
          <w:szCs w:val="17"/>
        </w:rPr>
        <w:t xml:space="preserve">    item_id             BIGINT NOT NULL REFERENCES items(item_id),</w:t>
      </w:r>
    </w:p>
    <w:p>
      <w:pPr>
        <w:shd w:fill="1E1E1E"/>
        <w:spacing w:after="0"/>
      </w:pPr>
      <w:r>
        <w:rPr>
          <w:rFonts w:ascii="Consolas" w:cs="Consolas" w:eastAsia="Consolas" w:hAnsi="Consolas"/>
          <w:color w:val="D4D4D4"/>
          <w:sz w:val="17"/>
          <w:szCs w:val="17"/>
        </w:rPr>
        <w:t xml:space="preserve">    material_cost        NUMERIC(18,2) NOT NULL DEFAULT 0,</w:t>
      </w:r>
    </w:p>
    <w:p>
      <w:pPr>
        <w:shd w:fill="1E1E1E"/>
        <w:spacing w:after="0"/>
      </w:pPr>
      <w:r>
        <w:rPr>
          <w:rFonts w:ascii="Consolas" w:cs="Consolas" w:eastAsia="Consolas" w:hAnsi="Consolas"/>
          <w:color w:val="D4D4D4"/>
          <w:sz w:val="17"/>
          <w:szCs w:val="17"/>
        </w:rPr>
        <w:t xml:space="preserve">    labour_cost          NUMERIC(18,2) NOT NULL DEFAULT 0,</w:t>
      </w:r>
    </w:p>
    <w:p>
      <w:pPr>
        <w:shd w:fill="1E1E1E"/>
        <w:spacing w:after="0"/>
      </w:pPr>
      <w:r>
        <w:rPr>
          <w:rFonts w:ascii="Consolas" w:cs="Consolas" w:eastAsia="Consolas" w:hAnsi="Consolas"/>
          <w:color w:val="D4D4D4"/>
          <w:sz w:val="17"/>
          <w:szCs w:val="17"/>
        </w:rPr>
        <w:t xml:space="preserve">    machine_cost         NUMERIC(18,2) NOT NULL DEFAULT 0,</w:t>
      </w:r>
    </w:p>
    <w:p>
      <w:pPr>
        <w:shd w:fill="1E1E1E"/>
        <w:spacing w:after="0"/>
      </w:pPr>
      <w:r>
        <w:rPr>
          <w:rFonts w:ascii="Consolas" w:cs="Consolas" w:eastAsia="Consolas" w:hAnsi="Consolas"/>
          <w:color w:val="D4D4D4"/>
          <w:sz w:val="17"/>
          <w:szCs w:val="17"/>
        </w:rPr>
        <w:t xml:space="preserve">    overhead_cost        NUMERIC(18,2) NOT NULL DEFAULT 0,</w:t>
      </w:r>
    </w:p>
    <w:p>
      <w:pPr>
        <w:shd w:fill="1E1E1E"/>
        <w:spacing w:after="0"/>
      </w:pPr>
      <w:r>
        <w:rPr>
          <w:rFonts w:ascii="Consolas" w:cs="Consolas" w:eastAsia="Consolas" w:hAnsi="Consolas"/>
          <w:color w:val="D4D4D4"/>
          <w:sz w:val="17"/>
          <w:szCs w:val="17"/>
        </w:rPr>
        <w:t xml:space="preserve">    other_direct_cost    NUMERIC(18,2) NOT NULL DEFAULT 0,</w:t>
      </w:r>
    </w:p>
    <w:p>
      <w:pPr>
        <w:shd w:fill="1E1E1E"/>
        <w:spacing w:after="0"/>
      </w:pPr>
      <w:r>
        <w:rPr>
          <w:rFonts w:ascii="Consolas" w:cs="Consolas" w:eastAsia="Consolas" w:hAnsi="Consolas"/>
          <w:color w:val="D4D4D4"/>
          <w:sz w:val="17"/>
          <w:szCs w:val="17"/>
        </w:rPr>
        <w:t xml:space="preserve">    total_cost           NUMERIC(18,2) NOT NULL,</w:t>
      </w:r>
    </w:p>
    <w:p>
      <w:pPr>
        <w:shd w:fill="1E1E1E"/>
        <w:spacing w:after="0"/>
      </w:pPr>
      <w:r>
        <w:rPr>
          <w:rFonts w:ascii="Consolas" w:cs="Consolas" w:eastAsia="Consolas" w:hAnsi="Consolas"/>
          <w:color w:val="D4D4D4"/>
          <w:sz w:val="17"/>
          <w:szCs w:val="17"/>
        </w:rPr>
        <w:t xml:space="preserve">    CHECK (total_cost = material_cost + labour_cost + machine_cost</w:t>
      </w:r>
    </w:p>
    <w:p>
      <w:pPr>
        <w:shd w:fill="1E1E1E"/>
        <w:spacing w:after="0"/>
      </w:pPr>
      <w:r>
        <w:rPr>
          <w:rFonts w:ascii="Consolas" w:cs="Consolas" w:eastAsia="Consolas" w:hAnsi="Consolas"/>
          <w:color w:val="D4D4D4"/>
          <w:sz w:val="17"/>
          <w:szCs w:val="17"/>
        </w:rPr>
        <w:t xml:space="preserve">                        + overhead_cost + other_direct_cost)</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 </w:t>
      </w:r>
    </w:p>
    <w:p>
      <w:pPr>
        <w:shd w:fill="1E1E1E"/>
        <w:spacing w:after="0"/>
      </w:pPr>
      <w:r>
        <w:rPr>
          <w:rFonts w:ascii="Consolas" w:cs="Consolas" w:eastAsia="Consolas" w:hAnsi="Consolas"/>
          <w:color w:val="D4D4D4"/>
          <w:sz w:val="17"/>
          <w:szCs w:val="17"/>
        </w:rPr>
        <w:t xml:space="preserve">CREATE TABLE audit_trail (</w:t>
      </w:r>
    </w:p>
    <w:p>
      <w:pPr>
        <w:shd w:fill="1E1E1E"/>
        <w:spacing w:after="0"/>
      </w:pPr>
      <w:r>
        <w:rPr>
          <w:rFonts w:ascii="Consolas" w:cs="Consolas" w:eastAsia="Consolas" w:hAnsi="Consolas"/>
          <w:color w:val="D4D4D4"/>
          <w:sz w:val="17"/>
          <w:szCs w:val="17"/>
        </w:rPr>
        <w:t xml:space="preserve">    audit_id            BIGSERIAL PRIMARY KEY,</w:t>
      </w:r>
    </w:p>
    <w:p>
      <w:pPr>
        <w:shd w:fill="1E1E1E"/>
        <w:spacing w:after="0"/>
      </w:pPr>
      <w:r>
        <w:rPr>
          <w:rFonts w:ascii="Consolas" w:cs="Consolas" w:eastAsia="Consolas" w:hAnsi="Consolas"/>
          <w:color w:val="D4D4D4"/>
          <w:sz w:val="17"/>
          <w:szCs w:val="17"/>
        </w:rPr>
        <w:t xml:space="preserve">    tenant_id           BIGINT REFERENCES tenants(tenant_id),</w:t>
      </w:r>
    </w:p>
    <w:p>
      <w:pPr>
        <w:shd w:fill="1E1E1E"/>
        <w:spacing w:after="0"/>
      </w:pPr>
      <w:r>
        <w:rPr>
          <w:rFonts w:ascii="Consolas" w:cs="Consolas" w:eastAsia="Consolas" w:hAnsi="Consolas"/>
          <w:color w:val="D4D4D4"/>
          <w:sz w:val="17"/>
          <w:szCs w:val="17"/>
        </w:rPr>
        <w:t xml:space="preserve">    entity_type         VARCHAR(50) NOT NULL,</w:t>
      </w:r>
    </w:p>
    <w:p>
      <w:pPr>
        <w:shd w:fill="1E1E1E"/>
        <w:spacing w:after="0"/>
      </w:pPr>
      <w:r>
        <w:rPr>
          <w:rFonts w:ascii="Consolas" w:cs="Consolas" w:eastAsia="Consolas" w:hAnsi="Consolas"/>
          <w:color w:val="D4D4D4"/>
          <w:sz w:val="17"/>
          <w:szCs w:val="17"/>
        </w:rPr>
        <w:t xml:space="preserve">    entity_id           BIGINT NOT NULL,</w:t>
      </w:r>
    </w:p>
    <w:p>
      <w:pPr>
        <w:shd w:fill="1E1E1E"/>
        <w:spacing w:after="0"/>
      </w:pPr>
      <w:r>
        <w:rPr>
          <w:rFonts w:ascii="Consolas" w:cs="Consolas" w:eastAsia="Consolas" w:hAnsi="Consolas"/>
          <w:color w:val="D4D4D4"/>
          <w:sz w:val="17"/>
          <w:szCs w:val="17"/>
        </w:rPr>
        <w:t xml:space="preserve">    action              VARCHAR(30) NOT NULL,</w:t>
      </w:r>
    </w:p>
    <w:p>
      <w:pPr>
        <w:shd w:fill="1E1E1E"/>
        <w:spacing w:after="0"/>
      </w:pPr>
      <w:r>
        <w:rPr>
          <w:rFonts w:ascii="Consolas" w:cs="Consolas" w:eastAsia="Consolas" w:hAnsi="Consolas"/>
          <w:color w:val="D4D4D4"/>
          <w:sz w:val="17"/>
          <w:szCs w:val="17"/>
        </w:rPr>
        <w:t xml:space="preserve">    old_value            JSONB,</w:t>
      </w:r>
    </w:p>
    <w:p>
      <w:pPr>
        <w:shd w:fill="1E1E1E"/>
        <w:spacing w:after="0"/>
      </w:pPr>
      <w:r>
        <w:rPr>
          <w:rFonts w:ascii="Consolas" w:cs="Consolas" w:eastAsia="Consolas" w:hAnsi="Consolas"/>
          <w:color w:val="D4D4D4"/>
          <w:sz w:val="17"/>
          <w:szCs w:val="17"/>
        </w:rPr>
        <w:t xml:space="preserve">    new_value            JSONB,</w:t>
      </w:r>
    </w:p>
    <w:p>
      <w:pPr>
        <w:shd w:fill="1E1E1E"/>
        <w:spacing w:after="0"/>
      </w:pPr>
      <w:r>
        <w:rPr>
          <w:rFonts w:ascii="Consolas" w:cs="Consolas" w:eastAsia="Consolas" w:hAnsi="Consolas"/>
          <w:color w:val="D4D4D4"/>
          <w:sz w:val="17"/>
          <w:szCs w:val="17"/>
        </w:rPr>
        <w:t xml:space="preserve">    actor_id             BIGINT NOT NULL REFERENCES users(user_id),</w:t>
      </w:r>
    </w:p>
    <w:p>
      <w:pPr>
        <w:shd w:fill="1E1E1E"/>
        <w:spacing w:after="0"/>
      </w:pPr>
      <w:r>
        <w:rPr>
          <w:rFonts w:ascii="Consolas" w:cs="Consolas" w:eastAsia="Consolas" w:hAnsi="Consolas"/>
          <w:color w:val="D4D4D4"/>
          <w:sz w:val="17"/>
          <w:szCs w:val="17"/>
        </w:rPr>
        <w:t xml:space="preserve">    reason               TEXT,</w:t>
      </w:r>
    </w:p>
    <w:p>
      <w:pPr>
        <w:shd w:fill="1E1E1E"/>
        <w:spacing w:after="0"/>
      </w:pPr>
      <w:r>
        <w:rPr>
          <w:rFonts w:ascii="Consolas" w:cs="Consolas" w:eastAsia="Consolas" w:hAnsi="Consolas"/>
          <w:color w:val="D4D4D4"/>
          <w:sz w:val="17"/>
          <w:szCs w:val="17"/>
        </w:rPr>
        <w:t xml:space="preserve">    created_at           TIMESTAMPTZ NOT NULL DEFAULT now()</w:t>
      </w:r>
    </w:p>
    <w:p>
      <w:pPr>
        <w:shd w:fill="1E1E1E"/>
        <w:spacing w:after="0"/>
      </w:pPr>
      <w:r>
        <w:rPr>
          <w:rFonts w:ascii="Consolas" w:cs="Consolas" w:eastAsia="Consolas" w:hAnsi="Consolas"/>
          <w:color w:val="D4D4D4"/>
          <w:sz w:val="17"/>
          <w:szCs w:val="17"/>
        </w:rPr>
        <w:t xml:space="preserve">);</w:t>
      </w:r>
    </w:p>
    <w:p>
      <w:pPr>
        <w:shd w:fill="1E1E1E"/>
        <w:spacing w:after="0"/>
      </w:pPr>
      <w:r>
        <w:rPr>
          <w:rFonts w:ascii="Consolas" w:cs="Consolas" w:eastAsia="Consolas" w:hAnsi="Consolas"/>
          <w:color w:val="D4D4D4"/>
          <w:sz w:val="17"/>
          <w:szCs w:val="17"/>
        </w:rPr>
        <w:t xml:space="preserve">CREATE INDEX idx_audit_entity ON audit_trail(entity_type, entity_id);</w:t>
      </w:r>
    </w:p>
    <w:p>
      <w:pPr>
        <w:spacing w:after="160"/>
      </w:pPr>
    </w:p>
    <w:p>
      <w:pPr>
        <w:spacing w:after="160"/>
      </w:pPr>
      <w:r>
        <w:t xml:space="preserve">Note: the BR-COST-001 CHECK constraint on costing_results (total_cost equals the sum of its components) demonstrates enforcing a business rule at the database level as a defensive second line, in addition to the Cost Engine computing it correctly in the first place — consistent with the “no silent modification of financial results” principle (Section 43).</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Cost360 — Software Requirements Specification (Part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2026-09-23T05:39:04.126Z</dcterms:created>
  <dcterms:modified xsi:type="dcterms:W3CDTF">2026-09-23T05:39:04.135Z</dcterms:modified>
</cp:coreProperties>
</file>

<file path=docProps/custom.xml><?xml version="1.0" encoding="utf-8"?>
<Properties xmlns="http://schemas.openxmlformats.org/officeDocument/2006/custom-properties" xmlns:vt="http://schemas.openxmlformats.org/officeDocument/2006/docPropsVTypes"/>
</file>