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72"/>
          <w:szCs w:val="72"/>
        </w:rPr>
        <w:t xml:space="preserve">COST360</w:t>
      </w:r>
    </w:p>
    <w:p>
      <w:pPr>
        <w:spacing w:after="100"/>
        <w:jc w:val="center"/>
      </w:pPr>
      <w:r>
        <w:rPr>
          <w:color w:val="595959"/>
          <w:sz w:val="28"/>
          <w:szCs w:val="28"/>
        </w:rPr>
        <w:t xml:space="preserve">Manufacturing Cost Intelligence, Product Costing &amp; Audit Platform</w:t>
      </w:r>
    </w:p>
    <w:p>
      <w:pPr>
        <w:spacing w:after="600"/>
        <w:jc w:val="center"/>
      </w:pPr>
      <w:r>
        <w:rPr>
          <w:i/>
          <w:iCs/>
          <w:color w:val="1F3864"/>
          <w:sz w:val="24"/>
          <w:szCs w:val="24"/>
        </w:rPr>
        <w:t xml:space="preserve">“Think Beyond Cost”</w:t>
      </w:r>
    </w:p>
    <w:p>
      <w:pPr>
        <w:spacing w:after="100"/>
        <w:jc w:val="center"/>
      </w:pPr>
      <w:r>
        <w:rPr>
          <w:b/>
          <w:bCs/>
          <w:sz w:val="32"/>
          <w:szCs w:val="32"/>
        </w:rPr>
        <w:t xml:space="preserve">SOFTWARE REQUIREMENTS SPECIFICATION — PART 3</w:t>
      </w:r>
    </w:p>
    <w:p>
      <w:pPr>
        <w:spacing w:after="1200"/>
        <w:jc w:val="center"/>
      </w:pPr>
      <w:r>
        <w:rPr>
          <w:color w:val="595959"/>
          <w:sz w:val="20"/>
          <w:szCs w:val="20"/>
        </w:rPr>
        <w:t xml:space="preserve">NFRs · Workflow / Dashboard / Report Specs · Business &amp; Validation Rules · Security · Audit &amp; Lineage · Integration · AI · Error Handling · Performance · Backup · Process Flows · UML</w:t>
      </w:r>
    </w:p>
    <w:p>
      <w:pPr>
        <w:spacing w:after="60"/>
        <w:jc w:val="center"/>
      </w:pPr>
      <w:r>
        <w:rPr>
          <w:sz w:val="20"/>
          <w:szCs w:val="20"/>
        </w:rPr>
        <w:t xml:space="preserve">Document ID: COST360-SRS-001</w:t>
      </w:r>
    </w:p>
    <w:p>
      <w:pPr>
        <w:spacing w:after="60"/>
        <w:jc w:val="center"/>
      </w:pPr>
      <w:r>
        <w:rPr>
          <w:sz w:val="20"/>
          <w:szCs w:val="20"/>
        </w:rPr>
        <w:t xml:space="preserve">Version: 0.1 (Draft — Part 3 of 4)</w:t>
      </w:r>
    </w:p>
    <w:p>
      <w:pPr>
        <w:spacing w:after="60"/>
        <w:jc w:val="center"/>
      </w:pPr>
      <w:r>
        <w:rPr>
          <w:sz w:val="20"/>
          <w:szCs w:val="20"/>
        </w:rPr>
        <w:t xml:space="preserve">Date: 23 September 2026</w:t>
      </w:r>
    </w:p>
    <w:p>
      <w:r>
        <w:br w:type="page"/>
      </w:r>
    </w:p>
    <w:p>
      <w:pPr>
        <w:pStyle w:val="Heading1"/>
        <w:spacing w:after="240" w:before="480"/>
      </w:pPr>
      <w:r>
        <w:rPr>
          <w:b/>
          <w:bCs/>
        </w:rPr>
        <w:t xml:space="preserve">Contents of This Part</w:t>
      </w:r>
    </w:p>
    <w:p>
      <w:pPr>
        <w:spacing w:after="160"/>
      </w:pPr>
      <w:r>
        <w:t xml:space="preserve">This is Part 3 of 4 of the Cost360 SRS. It covers:</w:t>
      </w:r>
    </w:p>
    <w:p>
      <w:pPr>
        <w:pStyle w:val="ListParagraph"/>
        <w:numPr>
          <w:ilvl w:val="0"/>
          <w:numId w:val="2"/>
        </w:numPr>
        <w:spacing w:after="80"/>
      </w:pPr>
      <w:r>
        <w:t xml:space="preserve">Section 6 — Non-Functional Requirements</w:t>
      </w:r>
    </w:p>
    <w:p>
      <w:pPr>
        <w:pStyle w:val="ListParagraph"/>
        <w:numPr>
          <w:ilvl w:val="0"/>
          <w:numId w:val="2"/>
        </w:numPr>
        <w:spacing w:after="80"/>
      </w:pPr>
      <w:r>
        <w:t xml:space="preserve">Section 12 — Workflow Specification</w:t>
      </w:r>
    </w:p>
    <w:p>
      <w:pPr>
        <w:pStyle w:val="ListParagraph"/>
        <w:numPr>
          <w:ilvl w:val="0"/>
          <w:numId w:val="2"/>
        </w:numPr>
        <w:spacing w:after="80"/>
      </w:pPr>
      <w:r>
        <w:t xml:space="preserve">Section 13 — Dashboard Specification</w:t>
      </w:r>
    </w:p>
    <w:p>
      <w:pPr>
        <w:pStyle w:val="ListParagraph"/>
        <w:numPr>
          <w:ilvl w:val="0"/>
          <w:numId w:val="2"/>
        </w:numPr>
        <w:spacing w:after="80"/>
      </w:pPr>
      <w:r>
        <w:t xml:space="preserve">Section 14 — Report Specification</w:t>
      </w:r>
    </w:p>
    <w:p>
      <w:pPr>
        <w:pStyle w:val="ListParagraph"/>
        <w:numPr>
          <w:ilvl w:val="0"/>
          <w:numId w:val="2"/>
        </w:numPr>
        <w:spacing w:after="80"/>
      </w:pPr>
      <w:r>
        <w:t xml:space="preserve">Section 18 — Business Rules</w:t>
      </w:r>
    </w:p>
    <w:p>
      <w:pPr>
        <w:pStyle w:val="ListParagraph"/>
        <w:numPr>
          <w:ilvl w:val="0"/>
          <w:numId w:val="2"/>
        </w:numPr>
        <w:spacing w:after="80"/>
      </w:pPr>
      <w:r>
        <w:t xml:space="preserve">Section 19 — Validation Rules</w:t>
      </w:r>
    </w:p>
    <w:p>
      <w:pPr>
        <w:pStyle w:val="ListParagraph"/>
        <w:numPr>
          <w:ilvl w:val="0"/>
          <w:numId w:val="2"/>
        </w:numPr>
        <w:spacing w:after="80"/>
      </w:pPr>
      <w:r>
        <w:t xml:space="preserve">Section 20 — Security Requirements</w:t>
      </w:r>
    </w:p>
    <w:p>
      <w:pPr>
        <w:pStyle w:val="ListParagraph"/>
        <w:numPr>
          <w:ilvl w:val="0"/>
          <w:numId w:val="2"/>
        </w:numPr>
        <w:spacing w:after="80"/>
      </w:pPr>
      <w:r>
        <w:t xml:space="preserve">Section 21 — Audit and Data Lineage</w:t>
      </w:r>
    </w:p>
    <w:p>
      <w:pPr>
        <w:pStyle w:val="ListParagraph"/>
        <w:numPr>
          <w:ilvl w:val="0"/>
          <w:numId w:val="2"/>
        </w:numPr>
        <w:spacing w:after="80"/>
      </w:pPr>
      <w:r>
        <w:t xml:space="preserve">Section 22 — Integration Requirements</w:t>
      </w:r>
    </w:p>
    <w:p>
      <w:pPr>
        <w:pStyle w:val="ListParagraph"/>
        <w:numPr>
          <w:ilvl w:val="0"/>
          <w:numId w:val="2"/>
        </w:numPr>
        <w:spacing w:after="80"/>
      </w:pPr>
      <w:r>
        <w:t xml:space="preserve">Section 23 — AI Requirements</w:t>
      </w:r>
    </w:p>
    <w:p>
      <w:pPr>
        <w:pStyle w:val="ListParagraph"/>
        <w:numPr>
          <w:ilvl w:val="0"/>
          <w:numId w:val="2"/>
        </w:numPr>
        <w:spacing w:after="80"/>
      </w:pPr>
      <w:r>
        <w:t xml:space="preserve">Section 24 — Error Handling and Notifications</w:t>
      </w:r>
    </w:p>
    <w:p>
      <w:pPr>
        <w:pStyle w:val="ListParagraph"/>
        <w:numPr>
          <w:ilvl w:val="0"/>
          <w:numId w:val="2"/>
        </w:numPr>
        <w:spacing w:after="80"/>
      </w:pPr>
      <w:r>
        <w:t xml:space="preserve">Section 25 — Performance and Scalability</w:t>
      </w:r>
    </w:p>
    <w:p>
      <w:pPr>
        <w:pStyle w:val="ListParagraph"/>
        <w:numPr>
          <w:ilvl w:val="0"/>
          <w:numId w:val="2"/>
        </w:numPr>
        <w:spacing w:after="80"/>
      </w:pPr>
      <w:r>
        <w:t xml:space="preserve">Section 26 — Backup and Recovery</w:t>
      </w:r>
    </w:p>
    <w:p>
      <w:pPr>
        <w:pStyle w:val="ListParagraph"/>
        <w:numPr>
          <w:ilvl w:val="0"/>
          <w:numId w:val="2"/>
        </w:numPr>
        <w:spacing w:after="80"/>
      </w:pPr>
      <w:r>
        <w:t xml:space="preserve">Section 31 — Process Flow Diagrams</w:t>
      </w:r>
    </w:p>
    <w:p>
      <w:pPr>
        <w:pStyle w:val="ListParagraph"/>
        <w:numPr>
          <w:ilvl w:val="0"/>
          <w:numId w:val="2"/>
        </w:numPr>
        <w:spacing w:after="80"/>
      </w:pPr>
      <w:r>
        <w:t xml:space="preserve">Section 32 — UML Diagrams</w:t>
      </w:r>
    </w:p>
    <w:p>
      <w:pPr>
        <w:spacing w:after="160"/>
      </w:pPr>
      <w:r>
        <w:t xml:space="preserve">Diagrams in this part are expressed as Mermaid/PlantUML source code blocks (as permitted by the project brief where native diagram rendering is unavailable in the authoring tool); paste any block into a Mermaid or PlantUML renderer (e.g. mermaid.live, or the VS Code Mermaid extension) to view it visually for the project report/viva. Part 4 will cover Screen Layouts, Deployment Architecture, the Test Plan and Test Cases, the Requirements Traceability Matrix, Assumptions, Risks, MVP/Future Scope, Glossary and Appendices.</w:t>
      </w:r>
    </w:p>
    <w:p>
      <w:r>
        <w:br w:type="page"/>
      </w:r>
    </w:p>
    <w:p>
      <w:pPr>
        <w:sectPr>
          <w:pgSz w:w="11906" w:h="16838" w:orient="portrait"/>
          <w:pgMar w:top="1440" w:right="1440" w:bottom="1440" w:left="1440" w:header="708" w:footer="708" w:gutter="0"/>
          <w:pgNumType/>
          <w:docGrid w:linePitch="360"/>
        </w:sectPr>
      </w:pPr>
    </w:p>
    <w:p>
      <w:pPr>
        <w:pStyle w:val="Heading1"/>
        <w:spacing w:after="240" w:before="480"/>
      </w:pPr>
      <w:r>
        <w:rPr>
          <w:b/>
          <w:bCs/>
        </w:rPr>
        <w:t xml:space="preserve">6. Non-Functional Requirements</w:t>
      </w:r>
    </w:p>
    <w:p>
      <w:pPr>
        <w:spacing w:after="160"/>
      </w:pPr>
      <w:r>
        <w:t xml:space="preserve">The source functional note does not specify exact non-functional targets. Every numeric target below is therefore marked Proposed Target — To Be Confirmed and should be revisited with the project guide before being treated as a fixed acceptance criterion; the qualitative requirement (that the category be addressed at all) is not optional.</w:t>
      </w:r>
    </w:p>
    <w:p>
      <w:pPr>
        <w:pStyle w:val="Heading2"/>
        <w:spacing w:after="160" w:before="320"/>
      </w:pPr>
      <w:r>
        <w:rPr>
          <w:b/>
          <w:bCs/>
        </w:rPr>
        <w:t xml:space="preserve">6.1 Performance</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700"/>
        <w:gridCol w:w="4400"/>
        <w:gridCol w:w="3500"/>
      </w:tblGrid>
      <w:tr>
        <w:trPr>
          <w:tblHeader/>
        </w:trPr>
        <w:tc>
          <w:tcPr>
            <w:tcW w:type="dxa" w:w="1700"/>
            <w:shd w:fill="1F3864" w:color="auto" w:val="clear"/>
            <w:tcMar>
              <w:top w:type="dxa" w:w="60"/>
              <w:left w:type="dxa" w:w="100"/>
              <w:bottom w:type="dxa" w:w="60"/>
              <w:right w:type="dxa" w:w="100"/>
            </w:tcMar>
            <w:vAlign w:val="center"/>
          </w:tcPr>
          <w:p>
            <w:pPr>
              <w:jc w:val="left"/>
            </w:pPr>
            <w:r>
              <w:rPr>
                <w:b/>
                <w:bCs/>
                <w:color w:val="FFFFFF"/>
                <w:sz w:val="18"/>
                <w:szCs w:val="18"/>
              </w:rPr>
              <w:t xml:space="preserve">ID</w:t>
            </w:r>
          </w:p>
        </w:tc>
        <w:tc>
          <w:tcPr>
            <w:tcW w:type="dxa" w:w="4400"/>
            <w:shd w:fill="1F3864" w:color="auto" w:val="clear"/>
            <w:tcMar>
              <w:top w:type="dxa" w:w="60"/>
              <w:left w:type="dxa" w:w="100"/>
              <w:bottom w:type="dxa" w:w="60"/>
              <w:right w:type="dxa" w:w="100"/>
            </w:tcMar>
            <w:vAlign w:val="center"/>
          </w:tcPr>
          <w:p>
            <w:pPr>
              <w:jc w:val="left"/>
            </w:pPr>
            <w:r>
              <w:rPr>
                <w:b/>
                <w:bCs/>
                <w:color w:val="FFFFFF"/>
                <w:sz w:val="18"/>
                <w:szCs w:val="18"/>
              </w:rPr>
              <w:t xml:space="preserve">Requirement</w:t>
            </w:r>
          </w:p>
        </w:tc>
        <w:tc>
          <w:tcPr>
            <w:tcW w:type="dxa" w:w="3500"/>
            <w:shd w:fill="1F3864" w:color="auto" w:val="clear"/>
            <w:tcMar>
              <w:top w:type="dxa" w:w="60"/>
              <w:left w:type="dxa" w:w="100"/>
              <w:bottom w:type="dxa" w:w="60"/>
              <w:right w:type="dxa" w:w="100"/>
            </w:tcMar>
            <w:vAlign w:val="center"/>
          </w:tcPr>
          <w:p>
            <w:pPr>
              <w:jc w:val="left"/>
            </w:pPr>
            <w:r>
              <w:rPr>
                <w:b/>
                <w:bCs/>
                <w:color w:val="FFFFFF"/>
                <w:sz w:val="18"/>
                <w:szCs w:val="18"/>
              </w:rPr>
              <w:t xml:space="preserve">Target</w:t>
            </w:r>
          </w:p>
        </w:tc>
      </w:tr>
      <w:tr>
        <w:tc>
          <w:tcPr>
            <w:tcW w:type="dxa" w:w="1700"/>
            <w:tcMar>
              <w:top w:type="dxa" w:w="60"/>
              <w:left w:type="dxa" w:w="100"/>
              <w:bottom w:type="dxa" w:w="60"/>
              <w:right w:type="dxa" w:w="100"/>
            </w:tcMar>
            <w:vAlign w:val="center"/>
          </w:tcPr>
          <w:p>
            <w:pPr>
              <w:jc w:val="left"/>
            </w:pPr>
            <w:r>
              <w:rPr>
                <w:b w:val="false"/>
                <w:bCs w:val="false"/>
                <w:sz w:val="18"/>
                <w:szCs w:val="18"/>
              </w:rPr>
              <w:t xml:space="preserve">NFR-PERF-001</w:t>
            </w:r>
          </w:p>
        </w:tc>
        <w:tc>
          <w:tcPr>
            <w:tcW w:type="dxa" w:w="4400"/>
            <w:tcMar>
              <w:top w:type="dxa" w:w="60"/>
              <w:left w:type="dxa" w:w="100"/>
              <w:bottom w:type="dxa" w:w="60"/>
              <w:right w:type="dxa" w:w="100"/>
            </w:tcMar>
            <w:vAlign w:val="center"/>
          </w:tcPr>
          <w:p>
            <w:pPr>
              <w:jc w:val="left"/>
            </w:pPr>
            <w:r>
              <w:rPr>
                <w:b w:val="false"/>
                <w:bCs w:val="false"/>
                <w:sz w:val="18"/>
                <w:szCs w:val="18"/>
              </w:rPr>
              <w:t xml:space="preserve">Dashboard and report screens render for a typical filtered view</w:t>
            </w:r>
          </w:p>
        </w:tc>
        <w:tc>
          <w:tcPr>
            <w:tcW w:type="dxa" w:w="3500"/>
            <w:tcMar>
              <w:top w:type="dxa" w:w="60"/>
              <w:left w:type="dxa" w:w="100"/>
              <w:bottom w:type="dxa" w:w="60"/>
              <w:right w:type="dxa" w:w="100"/>
            </w:tcMar>
            <w:vAlign w:val="center"/>
          </w:tcPr>
          <w:p>
            <w:pPr>
              <w:jc w:val="left"/>
            </w:pPr>
            <w:r>
              <w:rPr>
                <w:b w:val="false"/>
                <w:bCs w:val="false"/>
                <w:sz w:val="18"/>
                <w:szCs w:val="18"/>
              </w:rPr>
              <w:t xml:space="preserve">Proposed Target: ≤ 3 seconds — TBC</w:t>
            </w:r>
          </w:p>
        </w:tc>
      </w:tr>
      <w:tr>
        <w:tc>
          <w:tcPr>
            <w:tcW w:type="dxa" w:w="1700"/>
            <w:shd w:fill="F2F2F2" w:color="auto" w:val="clear"/>
            <w:tcMar>
              <w:top w:type="dxa" w:w="60"/>
              <w:left w:type="dxa" w:w="100"/>
              <w:bottom w:type="dxa" w:w="60"/>
              <w:right w:type="dxa" w:w="100"/>
            </w:tcMar>
            <w:vAlign w:val="center"/>
          </w:tcPr>
          <w:p>
            <w:pPr>
              <w:jc w:val="left"/>
            </w:pPr>
            <w:r>
              <w:rPr>
                <w:b w:val="false"/>
                <w:bCs w:val="false"/>
                <w:sz w:val="18"/>
                <w:szCs w:val="18"/>
              </w:rPr>
              <w:t xml:space="preserve">NFR-PERF-002</w:t>
            </w:r>
          </w:p>
        </w:tc>
        <w:tc>
          <w:tcPr>
            <w:tcW w:type="dxa" w:w="4400"/>
            <w:shd w:fill="F2F2F2" w:color="auto" w:val="clear"/>
            <w:tcMar>
              <w:top w:type="dxa" w:w="60"/>
              <w:left w:type="dxa" w:w="100"/>
              <w:bottom w:type="dxa" w:w="60"/>
              <w:right w:type="dxa" w:w="100"/>
            </w:tcMar>
            <w:vAlign w:val="center"/>
          </w:tcPr>
          <w:p>
            <w:pPr>
              <w:jc w:val="left"/>
            </w:pPr>
            <w:r>
              <w:rPr>
                <w:b w:val="false"/>
                <w:bCs w:val="false"/>
                <w:sz w:val="18"/>
                <w:szCs w:val="18"/>
              </w:rPr>
              <w:t xml:space="preserve">Interactive screens (masters, forms) respond to user actions</w:t>
            </w:r>
          </w:p>
        </w:tc>
        <w:tc>
          <w:tcPr>
            <w:tcW w:type="dxa" w:w="3500"/>
            <w:shd w:fill="F2F2F2" w:color="auto" w:val="clear"/>
            <w:tcMar>
              <w:top w:type="dxa" w:w="60"/>
              <w:left w:type="dxa" w:w="100"/>
              <w:bottom w:type="dxa" w:w="60"/>
              <w:right w:type="dxa" w:w="100"/>
            </w:tcMar>
            <w:vAlign w:val="center"/>
          </w:tcPr>
          <w:p>
            <w:pPr>
              <w:jc w:val="left"/>
            </w:pPr>
            <w:r>
              <w:rPr>
                <w:b w:val="false"/>
                <w:bCs w:val="false"/>
                <w:sz w:val="18"/>
                <w:szCs w:val="18"/>
              </w:rPr>
              <w:t xml:space="preserve">Proposed Target: ≤ 2 seconds — TBC</w:t>
            </w:r>
          </w:p>
        </w:tc>
      </w:tr>
      <w:tr>
        <w:tc>
          <w:tcPr>
            <w:tcW w:type="dxa" w:w="1700"/>
            <w:tcMar>
              <w:top w:type="dxa" w:w="60"/>
              <w:left w:type="dxa" w:w="100"/>
              <w:bottom w:type="dxa" w:w="60"/>
              <w:right w:type="dxa" w:w="100"/>
            </w:tcMar>
            <w:vAlign w:val="center"/>
          </w:tcPr>
          <w:p>
            <w:pPr>
              <w:jc w:val="left"/>
            </w:pPr>
            <w:r>
              <w:rPr>
                <w:b w:val="false"/>
                <w:bCs w:val="false"/>
                <w:sz w:val="18"/>
                <w:szCs w:val="18"/>
              </w:rPr>
              <w:t xml:space="preserve">NFR-PERF-003</w:t>
            </w:r>
          </w:p>
        </w:tc>
        <w:tc>
          <w:tcPr>
            <w:tcW w:type="dxa" w:w="4400"/>
            <w:tcMar>
              <w:top w:type="dxa" w:w="60"/>
              <w:left w:type="dxa" w:w="100"/>
              <w:bottom w:type="dxa" w:w="60"/>
              <w:right w:type="dxa" w:w="100"/>
            </w:tcMar>
            <w:vAlign w:val="center"/>
          </w:tcPr>
          <w:p>
            <w:pPr>
              <w:jc w:val="left"/>
            </w:pPr>
            <w:r>
              <w:rPr>
                <w:b w:val="false"/>
                <w:bCs w:val="false"/>
                <w:sz w:val="18"/>
                <w:szCs w:val="18"/>
              </w:rPr>
              <w:t xml:space="preserve">A costing run (Product Costing for one plant/period) completes</w:t>
            </w:r>
          </w:p>
        </w:tc>
        <w:tc>
          <w:tcPr>
            <w:tcW w:type="dxa" w:w="3500"/>
            <w:tcMar>
              <w:top w:type="dxa" w:w="60"/>
              <w:left w:type="dxa" w:w="100"/>
              <w:bottom w:type="dxa" w:w="60"/>
              <w:right w:type="dxa" w:w="100"/>
            </w:tcMar>
            <w:vAlign w:val="center"/>
          </w:tcPr>
          <w:p>
            <w:pPr>
              <w:jc w:val="left"/>
            </w:pPr>
            <w:r>
              <w:rPr>
                <w:b w:val="false"/>
                <w:bCs w:val="false"/>
                <w:sz w:val="18"/>
                <w:szCs w:val="18"/>
              </w:rPr>
              <w:t xml:space="preserve">Proposed Target: ≤ 5 minutes for a demonstration dataset — TBC</w:t>
            </w:r>
          </w:p>
        </w:tc>
      </w:tr>
      <w:tr>
        <w:tc>
          <w:tcPr>
            <w:tcW w:type="dxa" w:w="1700"/>
            <w:shd w:fill="F2F2F2" w:color="auto" w:val="clear"/>
            <w:tcMar>
              <w:top w:type="dxa" w:w="60"/>
              <w:left w:type="dxa" w:w="100"/>
              <w:bottom w:type="dxa" w:w="60"/>
              <w:right w:type="dxa" w:w="100"/>
            </w:tcMar>
            <w:vAlign w:val="center"/>
          </w:tcPr>
          <w:p>
            <w:pPr>
              <w:jc w:val="left"/>
            </w:pPr>
            <w:r>
              <w:rPr>
                <w:b w:val="false"/>
                <w:bCs w:val="false"/>
                <w:sz w:val="18"/>
                <w:szCs w:val="18"/>
              </w:rPr>
              <w:t xml:space="preserve">NFR-PERF-004</w:t>
            </w:r>
          </w:p>
        </w:tc>
        <w:tc>
          <w:tcPr>
            <w:tcW w:type="dxa" w:w="4400"/>
            <w:shd w:fill="F2F2F2" w:color="auto" w:val="clear"/>
            <w:tcMar>
              <w:top w:type="dxa" w:w="60"/>
              <w:left w:type="dxa" w:w="100"/>
              <w:bottom w:type="dxa" w:w="60"/>
              <w:right w:type="dxa" w:w="100"/>
            </w:tcMar>
            <w:vAlign w:val="center"/>
          </w:tcPr>
          <w:p>
            <w:pPr>
              <w:jc w:val="left"/>
            </w:pPr>
            <w:r>
              <w:rPr>
                <w:b w:val="false"/>
                <w:bCs w:val="false"/>
                <w:sz w:val="18"/>
                <w:szCs w:val="18"/>
              </w:rPr>
              <w:t xml:space="preserve">A file upload/mapping/validation cycle for a typical source file completes</w:t>
            </w:r>
          </w:p>
        </w:tc>
        <w:tc>
          <w:tcPr>
            <w:tcW w:type="dxa" w:w="3500"/>
            <w:shd w:fill="F2F2F2" w:color="auto" w:val="clear"/>
            <w:tcMar>
              <w:top w:type="dxa" w:w="60"/>
              <w:left w:type="dxa" w:w="100"/>
              <w:bottom w:type="dxa" w:w="60"/>
              <w:right w:type="dxa" w:w="100"/>
            </w:tcMar>
            <w:vAlign w:val="center"/>
          </w:tcPr>
          <w:p>
            <w:pPr>
              <w:jc w:val="left"/>
            </w:pPr>
            <w:r>
              <w:rPr>
                <w:b w:val="false"/>
                <w:bCs w:val="false"/>
                <w:sz w:val="18"/>
                <w:szCs w:val="18"/>
              </w:rPr>
              <w:t xml:space="preserve">Proposed Target: ≤ 2 minutes for a demonstration dataset — TBC</w:t>
            </w:r>
          </w:p>
        </w:tc>
      </w:tr>
    </w:tbl>
    <w:p>
      <w:pPr>
        <w:pStyle w:val="Heading2"/>
        <w:spacing w:after="160" w:before="320"/>
      </w:pPr>
      <w:r>
        <w:rPr>
          <w:b/>
          <w:bCs/>
        </w:rPr>
        <w:t xml:space="preserve">6.2 Availability</w:t>
      </w:r>
    </w:p>
    <w:p>
      <w:pPr>
        <w:spacing w:after="160"/>
      </w:pPr>
      <w:r>
        <w:t xml:space="preserve">Proposed Target (academic deployment): best-effort availability during evaluation/demo windows; formal SLA/uptime commitments are out of scope for an academic project — To Be Confirmed if the evaluation requires a stated uptime figure.</w:t>
      </w:r>
    </w:p>
    <w:p>
      <w:pPr>
        <w:pStyle w:val="Heading2"/>
        <w:spacing w:after="160" w:before="320"/>
      </w:pPr>
      <w:r>
        <w:rPr>
          <w:b/>
          <w:bCs/>
        </w:rPr>
        <w:t xml:space="preserve">6.3 Scalability</w:t>
      </w:r>
    </w:p>
    <w:p>
      <w:pPr>
        <w:spacing w:after="160"/>
      </w:pPr>
      <w:r>
        <w:t xml:space="preserve">The design should not architecturally preclude scaling to multi-year, multi-plant data volumes even though the academic deployment will run a small demonstration dataset (see Section 25 for detail). Horizontal scaling of the PHP application tier and read-replica scaling of PostgreSQL are noted as Phase 2/3 options, not MVP requirements.</w:t>
      </w:r>
    </w:p>
    <w:p>
      <w:pPr>
        <w:pStyle w:val="Heading2"/>
        <w:spacing w:after="160" w:before="320"/>
      </w:pPr>
      <w:r>
        <w:rPr>
          <w:b/>
          <w:bCs/>
        </w:rPr>
        <w:t xml:space="preserve">6.4 Security</w:t>
      </w:r>
    </w:p>
    <w:p>
      <w:pPr>
        <w:spacing w:after="160"/>
      </w:pPr>
      <w:r>
        <w:t xml:space="preserve">See Section 20 (Security Architecture) for the full, detailed security requirement set; this NFR section states the summary commitment: authenticated access only, RBAC-enforced authorisation, tenant data isolation, and protection against the standard OWASP web application risk classes (injection, XSS, CSRF, broken access control).</w:t>
      </w:r>
    </w:p>
    <w:p>
      <w:pPr>
        <w:pStyle w:val="Heading2"/>
        <w:spacing w:after="160" w:before="320"/>
      </w:pPr>
      <w:r>
        <w:rPr>
          <w:b/>
          <w:bCs/>
        </w:rPr>
        <w:t xml:space="preserve">6.5 Maintainability</w:t>
      </w:r>
    </w:p>
    <w:p>
      <w:pPr>
        <w:spacing w:after="160"/>
      </w:pPr>
      <w:r>
        <w:t xml:space="preserve">Achieved architecturally via the layered design (Section 7, Part 1): controllers, business logic, costing engines, data access and reporting are separated so a change in one layer (e.g. a new valuation method) does not require changes to unrelated layers (e.g. the UI).</w:t>
      </w:r>
    </w:p>
    <w:p>
      <w:pPr>
        <w:pStyle w:val="Heading2"/>
        <w:spacing w:after="160" w:before="320"/>
      </w:pPr>
      <w:r>
        <w:rPr>
          <w:b/>
          <w:bCs/>
        </w:rPr>
        <w:t xml:space="preserve">6.6 Usability</w:t>
      </w:r>
    </w:p>
    <w:p>
      <w:pPr>
        <w:spacing w:after="160"/>
      </w:pPr>
      <w:r>
        <w:t xml:space="preserve">Concrete, testable usability requirements rather than a vague “user-friendly” goal: every data-entry form validates input before submission and shows field-level errors; every long-running action (upload, costing run) shows progress and does not silently hang; every destructive-adjacent action (reopen a period, override a validation error) requires an explicit confirmation step with a stated reason.</w:t>
      </w:r>
    </w:p>
    <w:p>
      <w:pPr>
        <w:pStyle w:val="Heading2"/>
        <w:spacing w:after="160" w:before="320"/>
      </w:pPr>
      <w:r>
        <w:rPr>
          <w:b/>
          <w:bCs/>
        </w:rPr>
        <w:t xml:space="preserve">6.7 Reliability</w:t>
      </w:r>
    </w:p>
    <w:p>
      <w:pPr>
        <w:spacing w:after="160"/>
      </w:pPr>
      <w:r>
        <w:t xml:space="preserve">A failed background job (e.g. a costing run that errors mid-way) must leave the database in a consistent state (via the transaction management described in Section 17.13, Part 2) — never a partially-written costing result.</w:t>
      </w:r>
    </w:p>
    <w:p>
      <w:pPr>
        <w:pStyle w:val="Heading2"/>
        <w:spacing w:after="160" w:before="320"/>
      </w:pPr>
      <w:r>
        <w:rPr>
          <w:b/>
          <w:bCs/>
        </w:rPr>
        <w:t xml:space="preserve">6.8 Recoverability</w:t>
      </w:r>
    </w:p>
    <w:p>
      <w:pPr>
        <w:spacing w:after="160"/>
      </w:pPr>
      <w:r>
        <w:t xml:space="preserve">See Section 26 (Backup and Recovery) for detailed RPO/RTO targets (Proposed / To Be Confirmed).</w:t>
      </w:r>
    </w:p>
    <w:p>
      <w:pPr>
        <w:pStyle w:val="Heading2"/>
        <w:spacing w:after="160" w:before="320"/>
      </w:pPr>
      <w:r>
        <w:rPr>
          <w:b/>
          <w:bCs/>
        </w:rPr>
        <w:t xml:space="preserve">6.9 Auditability</w:t>
      </w:r>
    </w:p>
    <w:p>
      <w:pPr>
        <w:spacing w:after="160"/>
      </w:pPr>
      <w:r>
        <w:t xml:space="preserve">Every material create/update/approve/reject/lock/reopen action across the platform is captured in the Audit Trail (Section 21) with actor, timestamp, old/new value and, where applicable, reason — this is treated as a functional requirement of the platform, not an optional add-on, per the Financial Integrity Rule (Section 43 of the original functional note).</w:t>
      </w:r>
    </w:p>
    <w:p>
      <w:pPr>
        <w:pStyle w:val="Heading2"/>
        <w:spacing w:after="160" w:before="320"/>
      </w:pPr>
      <w:r>
        <w:rPr>
          <w:b/>
          <w:bCs/>
        </w:rPr>
        <w:t xml:space="preserve">6.10 Data Integrity</w:t>
      </w:r>
    </w:p>
    <w:p>
      <w:pPr>
        <w:spacing w:after="160"/>
      </w:pPr>
      <w:r>
        <w:t xml:space="preserve">Enforced through database constraints (Section 17.6–17.8, Part 2), engine-level self-checks (e.g. BR-INV-001, BR-COST-001), and the validation pipeline (Section 19) — defence in depth rather than reliance on a single layer.</w:t>
      </w:r>
    </w:p>
    <w:p>
      <w:pPr>
        <w:pStyle w:val="Heading2"/>
        <w:spacing w:after="160" w:before="320"/>
      </w:pPr>
      <w:r>
        <w:rPr>
          <w:b/>
          <w:bCs/>
        </w:rPr>
        <w:t xml:space="preserve">6.11 Compatibility</w:t>
      </w:r>
    </w:p>
    <w:p>
      <w:pPr>
        <w:spacing w:after="160"/>
      </w:pPr>
      <w:r>
        <w:t xml:space="preserve">Target browsers: latest two major versions of Chrome, Edge and Firefox — Proposed / To Be Confirmed. File import compatibility: xlsx, xls, csv — Proposed.</w:t>
      </w:r>
    </w:p>
    <w:p>
      <w:pPr>
        <w:pStyle w:val="Heading2"/>
        <w:spacing w:after="160" w:before="320"/>
      </w:pPr>
      <w:r>
        <w:rPr>
          <w:b/>
          <w:bCs/>
        </w:rPr>
        <w:t xml:space="preserve">6.12 Portability</w:t>
      </w:r>
    </w:p>
    <w:p>
      <w:pPr>
        <w:spacing w:after="160"/>
      </w:pPr>
      <w:r>
        <w:t xml:space="preserve">The PHP + PostgreSQL stack with no PDO dependency and no proprietary extensions is intended to run on any standard LAMP/LEMP-style Linux hosting environment without modification — Proposed design goal.</w:t>
      </w:r>
    </w:p>
    <w:p>
      <w:pPr>
        <w:pStyle w:val="Heading2"/>
        <w:spacing w:after="160" w:before="320"/>
      </w:pPr>
      <w:r>
        <w:rPr>
          <w:b/>
          <w:bCs/>
        </w:rPr>
        <w:t xml:space="preserve">6.13 Accessibility</w:t>
      </w:r>
    </w:p>
    <w:p>
      <w:pPr>
        <w:spacing w:after="160"/>
      </w:pPr>
      <w:r>
        <w:t xml:space="preserve">Proposed Target — To Be Confirmed: WCAG 2.1 AA is noted as a good-practice target for form labelling, colour contrast and keyboard navigation, but is not treated as a hard MVP gate for this academic project unless the evaluation criteria require it.</w:t>
      </w:r>
    </w:p>
    <w:p>
      <w:pPr>
        <w:pStyle w:val="Heading2"/>
        <w:spacing w:after="160" w:before="320"/>
      </w:pPr>
      <w:r>
        <w:rPr>
          <w:b/>
          <w:bCs/>
        </w:rPr>
        <w:t xml:space="preserve">6.14 Logging</w:t>
      </w:r>
    </w:p>
    <w:p>
      <w:pPr>
        <w:spacing w:after="160"/>
      </w:pPr>
      <w:r>
        <w:t xml:space="preserve">Three distinct logs are maintained: (a) the Audit Trail (business-meaning actions, Section 21), (b) the application/error log (technical failures, Section 24), and (c) the database query/error log (Section 17.14, Part 2). These are deliberately not merged, since they serve different audiences (auditor vs developer vs DBA).</w:t>
      </w:r>
    </w:p>
    <w:p>
      <w:pPr>
        <w:pStyle w:val="Heading2"/>
        <w:spacing w:after="160" w:before="320"/>
      </w:pPr>
      <w:r>
        <w:rPr>
          <w:b/>
          <w:bCs/>
        </w:rPr>
        <w:t xml:space="preserve">6.15 Monitoring</w:t>
      </w:r>
    </w:p>
    <w:p>
      <w:pPr>
        <w:spacing w:after="160"/>
      </w:pPr>
      <w:r>
        <w:t xml:space="preserve">Background Jobs and System Logs screens (Section 9.11, Part 1) give the Platform Administrator visibility into job queue depth, failures and system health — Proposed scope; integration with an external monitoring tool (e.g. for uptime alerting) is a Phase 2/3 consideration.</w:t>
      </w:r>
    </w:p>
    <w:p>
      <w:r>
        <w:br w:type="page"/>
      </w:r>
    </w:p>
    <w:p>
      <w:pPr>
        <w:pStyle w:val="Heading1"/>
        <w:spacing w:after="240" w:before="480"/>
      </w:pPr>
      <w:r>
        <w:rPr>
          <w:b/>
          <w:bCs/>
        </w:rPr>
        <w:t xml:space="preserve">12. Workflow Specification</w:t>
      </w:r>
    </w:p>
    <w:p>
      <w:pPr>
        <w:spacing w:after="160"/>
      </w:pPr>
      <w:r>
        <w:t xml:space="preserve">This section defines the state machines governing the two central workflow objects in Cost360: the Upload (data intake) and the Period (costing lifecycle). Every other module-level workflow (mapping, validation, BOM approval, etc.) is a sub-step feeding one of these two.</w:t>
      </w:r>
    </w:p>
    <w:p>
      <w:pPr>
        <w:pStyle w:val="Heading2"/>
        <w:spacing w:after="160" w:before="320"/>
      </w:pPr>
      <w:r>
        <w:rPr>
          <w:b/>
          <w:bCs/>
        </w:rPr>
        <w:t xml:space="preserve">12.1 Upload Workflow (State Machine)</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800"/>
        <w:gridCol w:w="2600"/>
        <w:gridCol w:w="3000"/>
        <w:gridCol w:w="2200"/>
      </w:tblGrid>
      <w:tr>
        <w:trPr>
          <w:tblHeader/>
        </w:trPr>
        <w:tc>
          <w:tcPr>
            <w:tcW w:type="dxa" w:w="1800"/>
            <w:shd w:fill="1F3864" w:color="auto" w:val="clear"/>
            <w:tcMar>
              <w:top w:type="dxa" w:w="60"/>
              <w:left w:type="dxa" w:w="100"/>
              <w:bottom w:type="dxa" w:w="60"/>
              <w:right w:type="dxa" w:w="100"/>
            </w:tcMar>
            <w:vAlign w:val="center"/>
          </w:tcPr>
          <w:p>
            <w:pPr>
              <w:jc w:val="left"/>
            </w:pPr>
            <w:r>
              <w:rPr>
                <w:b/>
                <w:bCs/>
                <w:color w:val="FFFFFF"/>
                <w:sz w:val="18"/>
                <w:szCs w:val="18"/>
              </w:rPr>
              <w:t xml:space="preserve">State</w:t>
            </w:r>
          </w:p>
        </w:tc>
        <w:tc>
          <w:tcPr>
            <w:tcW w:type="dxa" w:w="2600"/>
            <w:shd w:fill="1F3864" w:color="auto" w:val="clear"/>
            <w:tcMar>
              <w:top w:type="dxa" w:w="60"/>
              <w:left w:type="dxa" w:w="100"/>
              <w:bottom w:type="dxa" w:w="60"/>
              <w:right w:type="dxa" w:w="100"/>
            </w:tcMar>
            <w:vAlign w:val="center"/>
          </w:tcPr>
          <w:p>
            <w:pPr>
              <w:jc w:val="left"/>
            </w:pPr>
            <w:r>
              <w:rPr>
                <w:b/>
                <w:bCs/>
                <w:color w:val="FFFFFF"/>
                <w:sz w:val="18"/>
                <w:szCs w:val="18"/>
              </w:rPr>
              <w:t xml:space="preserve">Entered When</w:t>
            </w:r>
          </w:p>
        </w:tc>
        <w:tc>
          <w:tcPr>
            <w:tcW w:type="dxa" w:w="3000"/>
            <w:shd w:fill="1F3864" w:color="auto" w:val="clear"/>
            <w:tcMar>
              <w:top w:type="dxa" w:w="60"/>
              <w:left w:type="dxa" w:w="100"/>
              <w:bottom w:type="dxa" w:w="60"/>
              <w:right w:type="dxa" w:w="100"/>
            </w:tcMar>
            <w:vAlign w:val="center"/>
          </w:tcPr>
          <w:p>
            <w:pPr>
              <w:jc w:val="left"/>
            </w:pPr>
            <w:r>
              <w:rPr>
                <w:b/>
                <w:bCs/>
                <w:color w:val="FFFFFF"/>
                <w:sz w:val="18"/>
                <w:szCs w:val="18"/>
              </w:rPr>
              <w:t xml:space="preserve">Allowed Next States</w:t>
            </w:r>
          </w:p>
        </w:tc>
        <w:tc>
          <w:tcPr>
            <w:tcW w:type="dxa" w:w="2200"/>
            <w:shd w:fill="1F3864" w:color="auto" w:val="clear"/>
            <w:tcMar>
              <w:top w:type="dxa" w:w="60"/>
              <w:left w:type="dxa" w:w="100"/>
              <w:bottom w:type="dxa" w:w="60"/>
              <w:right w:type="dxa" w:w="100"/>
            </w:tcMar>
            <w:vAlign w:val="center"/>
          </w:tcPr>
          <w:p>
            <w:pPr>
              <w:jc w:val="left"/>
            </w:pPr>
            <w:r>
              <w:rPr>
                <w:b/>
                <w:bCs/>
                <w:color w:val="FFFFFF"/>
                <w:sz w:val="18"/>
                <w:szCs w:val="18"/>
              </w:rPr>
              <w:t xml:space="preserve">Actor</w:t>
            </w:r>
          </w:p>
        </w:tc>
      </w:tr>
      <w:tr>
        <w:tc>
          <w:tcPr>
            <w:tcW w:type="dxa" w:w="1800"/>
            <w:tcMar>
              <w:top w:type="dxa" w:w="60"/>
              <w:left w:type="dxa" w:w="100"/>
              <w:bottom w:type="dxa" w:w="60"/>
              <w:right w:type="dxa" w:w="100"/>
            </w:tcMar>
            <w:vAlign w:val="center"/>
          </w:tcPr>
          <w:p>
            <w:pPr>
              <w:jc w:val="left"/>
            </w:pPr>
            <w:r>
              <w:rPr>
                <w:b w:val="false"/>
                <w:bCs w:val="false"/>
                <w:sz w:val="18"/>
                <w:szCs w:val="18"/>
              </w:rPr>
              <w:t xml:space="preserve">Uploaded</w:t>
            </w:r>
          </w:p>
        </w:tc>
        <w:tc>
          <w:tcPr>
            <w:tcW w:type="dxa" w:w="2600"/>
            <w:tcMar>
              <w:top w:type="dxa" w:w="60"/>
              <w:left w:type="dxa" w:w="100"/>
              <w:bottom w:type="dxa" w:w="60"/>
              <w:right w:type="dxa" w:w="100"/>
            </w:tcMar>
            <w:vAlign w:val="center"/>
          </w:tcPr>
          <w:p>
            <w:pPr>
              <w:jc w:val="left"/>
            </w:pPr>
            <w:r>
              <w:rPr>
                <w:b w:val="false"/>
                <w:bCs w:val="false"/>
                <w:sz w:val="18"/>
                <w:szCs w:val="18"/>
              </w:rPr>
              <w:t xml:space="preserve">File passes file-level checks (FR-UPL-001)</w:t>
            </w:r>
          </w:p>
        </w:tc>
        <w:tc>
          <w:tcPr>
            <w:tcW w:type="dxa" w:w="3000"/>
            <w:tcMar>
              <w:top w:type="dxa" w:w="60"/>
              <w:left w:type="dxa" w:w="100"/>
              <w:bottom w:type="dxa" w:w="60"/>
              <w:right w:type="dxa" w:w="100"/>
            </w:tcMar>
            <w:vAlign w:val="center"/>
          </w:tcPr>
          <w:p>
            <w:pPr>
              <w:jc w:val="left"/>
            </w:pPr>
            <w:r>
              <w:rPr>
                <w:b w:val="false"/>
                <w:bCs w:val="false"/>
                <w:sz w:val="18"/>
                <w:szCs w:val="18"/>
              </w:rPr>
              <w:t xml:space="preserve">Pending Mapping</w:t>
            </w:r>
          </w:p>
        </w:tc>
        <w:tc>
          <w:tcPr>
            <w:tcW w:type="dxa" w:w="2200"/>
            <w:tcMar>
              <w:top w:type="dxa" w:w="60"/>
              <w:left w:type="dxa" w:w="100"/>
              <w:bottom w:type="dxa" w:w="60"/>
              <w:right w:type="dxa" w:w="100"/>
            </w:tcMar>
            <w:vAlign w:val="center"/>
          </w:tcPr>
          <w:p>
            <w:pPr>
              <w:jc w:val="left"/>
            </w:pPr>
            <w:r>
              <w:rPr>
                <w:b w:val="false"/>
                <w:bCs w:val="false"/>
                <w:sz w:val="18"/>
                <w:szCs w:val="18"/>
              </w:rPr>
              <w:t xml:space="preserve">System</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Pending Mapping</w:t>
            </w:r>
          </w:p>
        </w:tc>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Queued after Uploaded</w:t>
            </w:r>
          </w:p>
        </w:tc>
        <w:tc>
          <w:tcPr>
            <w:tcW w:type="dxa" w:w="3000"/>
            <w:shd w:fill="F2F2F2" w:color="auto" w:val="clear"/>
            <w:tcMar>
              <w:top w:type="dxa" w:w="60"/>
              <w:left w:type="dxa" w:w="100"/>
              <w:bottom w:type="dxa" w:w="60"/>
              <w:right w:type="dxa" w:w="100"/>
            </w:tcMar>
            <w:vAlign w:val="center"/>
          </w:tcPr>
          <w:p>
            <w:pPr>
              <w:jc w:val="left"/>
            </w:pPr>
            <w:r>
              <w:rPr>
                <w:b w:val="false"/>
                <w:bCs w:val="false"/>
                <w:sz w:val="18"/>
                <w:szCs w:val="18"/>
              </w:rPr>
              <w:t xml:space="preserve">Pending Validation, Error</w:t>
            </w:r>
          </w:p>
        </w:tc>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CMA (via FR-MAP-001)</w:t>
            </w:r>
          </w:p>
        </w:tc>
      </w:tr>
      <w:tr>
        <w:tc>
          <w:tcPr>
            <w:tcW w:type="dxa" w:w="1800"/>
            <w:tcMar>
              <w:top w:type="dxa" w:w="60"/>
              <w:left w:type="dxa" w:w="100"/>
              <w:bottom w:type="dxa" w:w="60"/>
              <w:right w:type="dxa" w:w="100"/>
            </w:tcMar>
            <w:vAlign w:val="center"/>
          </w:tcPr>
          <w:p>
            <w:pPr>
              <w:jc w:val="left"/>
            </w:pPr>
            <w:r>
              <w:rPr>
                <w:b w:val="false"/>
                <w:bCs w:val="false"/>
                <w:sz w:val="18"/>
                <w:szCs w:val="18"/>
              </w:rPr>
              <w:t xml:space="preserve">Pending Validation</w:t>
            </w:r>
          </w:p>
        </w:tc>
        <w:tc>
          <w:tcPr>
            <w:tcW w:type="dxa" w:w="2600"/>
            <w:tcMar>
              <w:top w:type="dxa" w:w="60"/>
              <w:left w:type="dxa" w:w="100"/>
              <w:bottom w:type="dxa" w:w="60"/>
              <w:right w:type="dxa" w:w="100"/>
            </w:tcMar>
            <w:vAlign w:val="center"/>
          </w:tcPr>
          <w:p>
            <w:pPr>
              <w:jc w:val="left"/>
            </w:pPr>
            <w:r>
              <w:rPr>
                <w:b w:val="false"/>
                <w:bCs w:val="false"/>
                <w:sz w:val="18"/>
                <w:szCs w:val="18"/>
              </w:rPr>
              <w:t xml:space="preserve">Mapping marked Complete</w:t>
            </w:r>
          </w:p>
        </w:tc>
        <w:tc>
          <w:tcPr>
            <w:tcW w:type="dxa" w:w="3000"/>
            <w:tcMar>
              <w:top w:type="dxa" w:w="60"/>
              <w:left w:type="dxa" w:w="100"/>
              <w:bottom w:type="dxa" w:w="60"/>
              <w:right w:type="dxa" w:w="100"/>
            </w:tcMar>
            <w:vAlign w:val="center"/>
          </w:tcPr>
          <w:p>
            <w:pPr>
              <w:jc w:val="left"/>
            </w:pPr>
            <w:r>
              <w:rPr>
                <w:b w:val="false"/>
                <w:bCs w:val="false"/>
                <w:sz w:val="18"/>
                <w:szCs w:val="18"/>
              </w:rPr>
              <w:t xml:space="preserve">Validated, Error</w:t>
            </w:r>
          </w:p>
        </w:tc>
        <w:tc>
          <w:tcPr>
            <w:tcW w:type="dxa" w:w="2200"/>
            <w:tcMar>
              <w:top w:type="dxa" w:w="60"/>
              <w:left w:type="dxa" w:w="100"/>
              <w:bottom w:type="dxa" w:w="60"/>
              <w:right w:type="dxa" w:w="100"/>
            </w:tcMar>
            <w:vAlign w:val="center"/>
          </w:tcPr>
          <w:p>
            <w:pPr>
              <w:jc w:val="left"/>
            </w:pPr>
            <w:r>
              <w:rPr>
                <w:b w:val="false"/>
                <w:bCs w:val="false"/>
                <w:sz w:val="18"/>
                <w:szCs w:val="18"/>
              </w:rPr>
              <w:t xml:space="preserve">System (FR-VAL-001)</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Validated</w:t>
            </w:r>
          </w:p>
        </w:tc>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All validation Errors resolved/overridden</w:t>
            </w:r>
          </w:p>
        </w:tc>
        <w:tc>
          <w:tcPr>
            <w:tcW w:type="dxa" w:w="3000"/>
            <w:shd w:fill="F2F2F2" w:color="auto" w:val="clear"/>
            <w:tcMar>
              <w:top w:type="dxa" w:w="60"/>
              <w:left w:type="dxa" w:w="100"/>
              <w:bottom w:type="dxa" w:w="60"/>
              <w:right w:type="dxa" w:w="100"/>
            </w:tcMar>
            <w:vAlign w:val="center"/>
          </w:tcPr>
          <w:p>
            <w:pPr>
              <w:jc w:val="left"/>
            </w:pPr>
            <w:r>
              <w:rPr>
                <w:b w:val="false"/>
                <w:bCs w:val="false"/>
                <w:sz w:val="18"/>
                <w:szCs w:val="18"/>
              </w:rPr>
              <w:t xml:space="preserve">Processed</w:t>
            </w:r>
          </w:p>
        </w:tc>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r>
      <w:tr>
        <w:tc>
          <w:tcPr>
            <w:tcW w:type="dxa" w:w="1800"/>
            <w:tcMar>
              <w:top w:type="dxa" w:w="60"/>
              <w:left w:type="dxa" w:w="100"/>
              <w:bottom w:type="dxa" w:w="60"/>
              <w:right w:type="dxa" w:w="100"/>
            </w:tcMar>
            <w:vAlign w:val="center"/>
          </w:tcPr>
          <w:p>
            <w:pPr>
              <w:jc w:val="left"/>
            </w:pPr>
            <w:r>
              <w:rPr>
                <w:b w:val="false"/>
                <w:bCs w:val="false"/>
                <w:sz w:val="18"/>
                <w:szCs w:val="18"/>
              </w:rPr>
              <w:t xml:space="preserve">Processed</w:t>
            </w:r>
          </w:p>
        </w:tc>
        <w:tc>
          <w:tcPr>
            <w:tcW w:type="dxa" w:w="2600"/>
            <w:tcMar>
              <w:top w:type="dxa" w:w="60"/>
              <w:left w:type="dxa" w:w="100"/>
              <w:bottom w:type="dxa" w:w="60"/>
              <w:right w:type="dxa" w:w="100"/>
            </w:tcMar>
            <w:vAlign w:val="center"/>
          </w:tcPr>
          <w:p>
            <w:pPr>
              <w:jc w:val="left"/>
            </w:pPr>
            <w:r>
              <w:rPr>
                <w:b w:val="false"/>
                <w:bCs w:val="false"/>
                <w:sz w:val="18"/>
                <w:szCs w:val="18"/>
              </w:rPr>
              <w:t xml:space="preserve">Records consumed by a costing engine</w:t>
            </w:r>
          </w:p>
        </w:tc>
        <w:tc>
          <w:tcPr>
            <w:tcW w:type="dxa" w:w="3000"/>
            <w:tcMar>
              <w:top w:type="dxa" w:w="60"/>
              <w:left w:type="dxa" w:w="100"/>
              <w:bottom w:type="dxa" w:w="60"/>
              <w:right w:type="dxa" w:w="100"/>
            </w:tcMar>
            <w:vAlign w:val="center"/>
          </w:tcPr>
          <w:p>
            <w:pPr>
              <w:jc w:val="left"/>
            </w:pPr>
            <w:r>
              <w:rPr>
                <w:b w:val="false"/>
                <w:bCs w:val="false"/>
                <w:sz w:val="18"/>
                <w:szCs w:val="18"/>
              </w:rPr>
              <w:t xml:space="preserve">— (terminal, unless period reopened)</w:t>
            </w:r>
          </w:p>
        </w:tc>
        <w:tc>
          <w:tcPr>
            <w:tcW w:type="dxa" w:w="2200"/>
            <w:tcMar>
              <w:top w:type="dxa" w:w="60"/>
              <w:left w:type="dxa" w:w="100"/>
              <w:bottom w:type="dxa" w:w="60"/>
              <w:right w:type="dxa" w:w="100"/>
            </w:tcMar>
            <w:vAlign w:val="center"/>
          </w:tcPr>
          <w:p>
            <w:pPr>
              <w:jc w:val="left"/>
            </w:pPr>
            <w:r>
              <w:rPr>
                <w:b w:val="false"/>
                <w:bCs w:val="false"/>
                <w:sz w:val="18"/>
                <w:szCs w:val="18"/>
              </w:rPr>
              <w:t xml:space="preserve">System</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Error</w:t>
            </w:r>
          </w:p>
        </w:tc>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A blocking issue at any stage</w:t>
            </w:r>
          </w:p>
        </w:tc>
        <w:tc>
          <w:tcPr>
            <w:tcW w:type="dxa" w:w="3000"/>
            <w:shd w:fill="F2F2F2" w:color="auto" w:val="clear"/>
            <w:tcMar>
              <w:top w:type="dxa" w:w="60"/>
              <w:left w:type="dxa" w:w="100"/>
              <w:bottom w:type="dxa" w:w="60"/>
              <w:right w:type="dxa" w:w="100"/>
            </w:tcMar>
            <w:vAlign w:val="center"/>
          </w:tcPr>
          <w:p>
            <w:pPr>
              <w:jc w:val="left"/>
            </w:pPr>
            <w:r>
              <w:rPr>
                <w:b w:val="false"/>
                <w:bCs w:val="false"/>
                <w:sz w:val="18"/>
                <w:szCs w:val="18"/>
              </w:rPr>
              <w:t xml:space="preserve">Pending Mapping, Pending Validation (after correction)</w:t>
            </w:r>
          </w:p>
        </w:tc>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r>
    </w:tbl>
    <w:p>
      <w:pPr>
        <w:pStyle w:val="Heading2"/>
        <w:spacing w:after="160" w:before="320"/>
      </w:pPr>
      <w:r>
        <w:rPr>
          <w:b/>
          <w:bCs/>
        </w:rPr>
        <w:t xml:space="preserve">12.2 Period Workflow (State Machine)</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600"/>
        <w:gridCol w:w="3000"/>
        <w:gridCol w:w="2600"/>
        <w:gridCol w:w="2400"/>
      </w:tblGrid>
      <w:tr>
        <w:trPr>
          <w:tblHeader/>
        </w:trPr>
        <w:tc>
          <w:tcPr>
            <w:tcW w:type="dxa" w:w="1600"/>
            <w:shd w:fill="1F3864" w:color="auto" w:val="clear"/>
            <w:tcMar>
              <w:top w:type="dxa" w:w="60"/>
              <w:left w:type="dxa" w:w="100"/>
              <w:bottom w:type="dxa" w:w="60"/>
              <w:right w:type="dxa" w:w="100"/>
            </w:tcMar>
            <w:vAlign w:val="center"/>
          </w:tcPr>
          <w:p>
            <w:pPr>
              <w:jc w:val="left"/>
            </w:pPr>
            <w:r>
              <w:rPr>
                <w:b/>
                <w:bCs/>
                <w:color w:val="FFFFFF"/>
                <w:sz w:val="18"/>
                <w:szCs w:val="18"/>
              </w:rPr>
              <w:t xml:space="preserve">State</w:t>
            </w:r>
          </w:p>
        </w:tc>
        <w:tc>
          <w:tcPr>
            <w:tcW w:type="dxa" w:w="3000"/>
            <w:shd w:fill="1F3864" w:color="auto" w:val="clear"/>
            <w:tcMar>
              <w:top w:type="dxa" w:w="60"/>
              <w:left w:type="dxa" w:w="100"/>
              <w:bottom w:type="dxa" w:w="60"/>
              <w:right w:type="dxa" w:w="100"/>
            </w:tcMar>
            <w:vAlign w:val="center"/>
          </w:tcPr>
          <w:p>
            <w:pPr>
              <w:jc w:val="left"/>
            </w:pPr>
            <w:r>
              <w:rPr>
                <w:b/>
                <w:bCs/>
                <w:color w:val="FFFFFF"/>
                <w:sz w:val="18"/>
                <w:szCs w:val="18"/>
              </w:rPr>
              <w:t xml:space="preserve">Entered When</w:t>
            </w:r>
          </w:p>
        </w:tc>
        <w:tc>
          <w:tcPr>
            <w:tcW w:type="dxa" w:w="2600"/>
            <w:shd w:fill="1F3864" w:color="auto" w:val="clear"/>
            <w:tcMar>
              <w:top w:type="dxa" w:w="60"/>
              <w:left w:type="dxa" w:w="100"/>
              <w:bottom w:type="dxa" w:w="60"/>
              <w:right w:type="dxa" w:w="100"/>
            </w:tcMar>
            <w:vAlign w:val="center"/>
          </w:tcPr>
          <w:p>
            <w:pPr>
              <w:jc w:val="left"/>
            </w:pPr>
            <w:r>
              <w:rPr>
                <w:b/>
                <w:bCs/>
                <w:color w:val="FFFFFF"/>
                <w:sz w:val="18"/>
                <w:szCs w:val="18"/>
              </w:rPr>
              <w:t xml:space="preserve">Allowed Next States</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Actor</w:t>
            </w:r>
          </w:p>
        </w:tc>
      </w:tr>
      <w:tr>
        <w:tc>
          <w:tcPr>
            <w:tcW w:type="dxa" w:w="1600"/>
            <w:tcMar>
              <w:top w:type="dxa" w:w="60"/>
              <w:left w:type="dxa" w:w="100"/>
              <w:bottom w:type="dxa" w:w="60"/>
              <w:right w:type="dxa" w:w="100"/>
            </w:tcMar>
            <w:vAlign w:val="center"/>
          </w:tcPr>
          <w:p>
            <w:pPr>
              <w:jc w:val="left"/>
            </w:pPr>
            <w:r>
              <w:rPr>
                <w:b w:val="false"/>
                <w:bCs w:val="false"/>
                <w:sz w:val="18"/>
                <w:szCs w:val="18"/>
              </w:rPr>
              <w:t xml:space="preserve">Open</w:t>
            </w:r>
          </w:p>
        </w:tc>
        <w:tc>
          <w:tcPr>
            <w:tcW w:type="dxa" w:w="3000"/>
            <w:tcMar>
              <w:top w:type="dxa" w:w="60"/>
              <w:left w:type="dxa" w:w="100"/>
              <w:bottom w:type="dxa" w:w="60"/>
              <w:right w:type="dxa" w:w="100"/>
            </w:tcMar>
            <w:vAlign w:val="center"/>
          </w:tcPr>
          <w:p>
            <w:pPr>
              <w:jc w:val="left"/>
            </w:pPr>
            <w:r>
              <w:rPr>
                <w:b w:val="false"/>
                <w:bCs w:val="false"/>
                <w:sz w:val="18"/>
                <w:szCs w:val="18"/>
              </w:rPr>
              <w:t xml:space="preserve">Period created</w:t>
            </w:r>
          </w:p>
        </w:tc>
        <w:tc>
          <w:tcPr>
            <w:tcW w:type="dxa" w:w="2600"/>
            <w:tcMar>
              <w:top w:type="dxa" w:w="60"/>
              <w:left w:type="dxa" w:w="100"/>
              <w:bottom w:type="dxa" w:w="60"/>
              <w:right w:type="dxa" w:w="100"/>
            </w:tcMar>
            <w:vAlign w:val="center"/>
          </w:tcPr>
          <w:p>
            <w:pPr>
              <w:jc w:val="left"/>
            </w:pPr>
            <w:r>
              <w:rPr>
                <w:b w:val="false"/>
                <w:bCs w:val="false"/>
                <w:sz w:val="18"/>
                <w:szCs w:val="18"/>
              </w:rPr>
              <w:t xml:space="preserve">Processing</w:t>
            </w:r>
          </w:p>
        </w:tc>
        <w:tc>
          <w:tcPr>
            <w:tcW w:type="dxa" w:w="2400"/>
            <w:tcMar>
              <w:top w:type="dxa" w:w="60"/>
              <w:left w:type="dxa" w:w="100"/>
              <w:bottom w:type="dxa" w:w="60"/>
              <w:right w:type="dxa" w:w="100"/>
            </w:tcMar>
            <w:vAlign w:val="center"/>
          </w:tcPr>
          <w:p>
            <w:pPr>
              <w:jc w:val="left"/>
            </w:pPr>
            <w:r>
              <w:rPr>
                <w:b w:val="false"/>
                <w:bCs w:val="false"/>
                <w:sz w:val="18"/>
                <w:szCs w:val="18"/>
              </w:rPr>
              <w:t xml:space="preserve">System</w:t>
            </w:r>
          </w:p>
        </w:tc>
      </w:tr>
      <w:tr>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Processing</w:t>
            </w:r>
          </w:p>
        </w:tc>
        <w:tc>
          <w:tcPr>
            <w:tcW w:type="dxa" w:w="3000"/>
            <w:shd w:fill="F2F2F2" w:color="auto" w:val="clear"/>
            <w:tcMar>
              <w:top w:type="dxa" w:w="60"/>
              <w:left w:type="dxa" w:w="100"/>
              <w:bottom w:type="dxa" w:w="60"/>
              <w:right w:type="dxa" w:w="100"/>
            </w:tcMar>
            <w:vAlign w:val="center"/>
          </w:tcPr>
          <w:p>
            <w:pPr>
              <w:jc w:val="left"/>
            </w:pPr>
            <w:r>
              <w:rPr>
                <w:b w:val="false"/>
                <w:bCs w:val="false"/>
                <w:sz w:val="18"/>
                <w:szCs w:val="18"/>
              </w:rPr>
              <w:t xml:space="preserve">First upload/costing activity begins in the period</w:t>
            </w:r>
          </w:p>
        </w:tc>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CMA Review</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r>
      <w:tr>
        <w:tc>
          <w:tcPr>
            <w:tcW w:type="dxa" w:w="1600"/>
            <w:tcMar>
              <w:top w:type="dxa" w:w="60"/>
              <w:left w:type="dxa" w:w="100"/>
              <w:bottom w:type="dxa" w:w="60"/>
              <w:right w:type="dxa" w:w="100"/>
            </w:tcMar>
            <w:vAlign w:val="center"/>
          </w:tcPr>
          <w:p>
            <w:pPr>
              <w:jc w:val="left"/>
            </w:pPr>
            <w:r>
              <w:rPr>
                <w:b w:val="false"/>
                <w:bCs w:val="false"/>
                <w:sz w:val="18"/>
                <w:szCs w:val="18"/>
              </w:rPr>
              <w:t xml:space="preserve">CMA Review</w:t>
            </w:r>
          </w:p>
        </w:tc>
        <w:tc>
          <w:tcPr>
            <w:tcW w:type="dxa" w:w="3000"/>
            <w:tcMar>
              <w:top w:type="dxa" w:w="60"/>
              <w:left w:type="dxa" w:w="100"/>
              <w:bottom w:type="dxa" w:w="60"/>
              <w:right w:type="dxa" w:w="100"/>
            </w:tcMar>
            <w:vAlign w:val="center"/>
          </w:tcPr>
          <w:p>
            <w:pPr>
              <w:jc w:val="left"/>
            </w:pPr>
            <w:r>
              <w:rPr>
                <w:b w:val="false"/>
                <w:bCs w:val="false"/>
                <w:sz w:val="18"/>
                <w:szCs w:val="18"/>
              </w:rPr>
              <w:t xml:space="preserve">All costing runs complete; reconciliation in progress</w:t>
            </w:r>
          </w:p>
        </w:tc>
        <w:tc>
          <w:tcPr>
            <w:tcW w:type="dxa" w:w="2600"/>
            <w:tcMar>
              <w:top w:type="dxa" w:w="60"/>
              <w:left w:type="dxa" w:w="100"/>
              <w:bottom w:type="dxa" w:w="60"/>
              <w:right w:type="dxa" w:w="100"/>
            </w:tcMar>
            <w:vAlign w:val="center"/>
          </w:tcPr>
          <w:p>
            <w:pPr>
              <w:jc w:val="left"/>
            </w:pPr>
            <w:r>
              <w:rPr>
                <w:b w:val="false"/>
                <w:bCs w:val="false"/>
                <w:sz w:val="18"/>
                <w:szCs w:val="18"/>
              </w:rPr>
              <w:t xml:space="preserve">Approved, Processing (if issues found)</w:t>
            </w:r>
          </w:p>
        </w:tc>
        <w:tc>
          <w:tcPr>
            <w:tcW w:type="dxa" w:w="2400"/>
            <w:tcMar>
              <w:top w:type="dxa" w:w="60"/>
              <w:left w:type="dxa" w:w="100"/>
              <w:bottom w:type="dxa" w:w="60"/>
              <w:right w:type="dxa" w:w="100"/>
            </w:tcMar>
            <w:vAlign w:val="center"/>
          </w:tcPr>
          <w:p>
            <w:pPr>
              <w:jc w:val="left"/>
            </w:pPr>
            <w:r>
              <w:rPr>
                <w:b w:val="false"/>
                <w:bCs w:val="false"/>
                <w:sz w:val="18"/>
                <w:szCs w:val="18"/>
              </w:rPr>
              <w:t xml:space="preserve">CMA</w:t>
            </w:r>
          </w:p>
        </w:tc>
      </w:tr>
      <w:tr>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Approved</w:t>
            </w:r>
          </w:p>
        </w:tc>
        <w:tc>
          <w:tcPr>
            <w:tcW w:type="dxa" w:w="3000"/>
            <w:shd w:fill="F2F2F2" w:color="auto" w:val="clear"/>
            <w:tcMar>
              <w:top w:type="dxa" w:w="60"/>
              <w:left w:type="dxa" w:w="100"/>
              <w:bottom w:type="dxa" w:w="60"/>
              <w:right w:type="dxa" w:w="100"/>
            </w:tcMar>
            <w:vAlign w:val="center"/>
          </w:tcPr>
          <w:p>
            <w:pPr>
              <w:jc w:val="left"/>
            </w:pPr>
            <w:r>
              <w:rPr>
                <w:b w:val="false"/>
                <w:bCs w:val="false"/>
                <w:sz w:val="18"/>
                <w:szCs w:val="18"/>
              </w:rPr>
              <w:t xml:space="preserve">Reconciliation and Audit Desk exceptions cleared</w:t>
            </w:r>
          </w:p>
        </w:tc>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Locked</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CMA / Auditor</w:t>
            </w:r>
          </w:p>
        </w:tc>
      </w:tr>
      <w:tr>
        <w:tc>
          <w:tcPr>
            <w:tcW w:type="dxa" w:w="1600"/>
            <w:tcMar>
              <w:top w:type="dxa" w:w="60"/>
              <w:left w:type="dxa" w:w="100"/>
              <w:bottom w:type="dxa" w:w="60"/>
              <w:right w:type="dxa" w:w="100"/>
            </w:tcMar>
            <w:vAlign w:val="center"/>
          </w:tcPr>
          <w:p>
            <w:pPr>
              <w:jc w:val="left"/>
            </w:pPr>
            <w:r>
              <w:rPr>
                <w:b w:val="false"/>
                <w:bCs w:val="false"/>
                <w:sz w:val="18"/>
                <w:szCs w:val="18"/>
              </w:rPr>
              <w:t xml:space="preserve">Locked</w:t>
            </w:r>
          </w:p>
        </w:tc>
        <w:tc>
          <w:tcPr>
            <w:tcW w:type="dxa" w:w="3000"/>
            <w:tcMar>
              <w:top w:type="dxa" w:w="60"/>
              <w:left w:type="dxa" w:w="100"/>
              <w:bottom w:type="dxa" w:w="60"/>
              <w:right w:type="dxa" w:w="100"/>
            </w:tcMar>
            <w:vAlign w:val="center"/>
          </w:tcPr>
          <w:p>
            <w:pPr>
              <w:jc w:val="left"/>
            </w:pPr>
            <w:r>
              <w:rPr>
                <w:b w:val="false"/>
                <w:bCs w:val="false"/>
                <w:sz w:val="18"/>
                <w:szCs w:val="18"/>
              </w:rPr>
              <w:t xml:space="preserve">Period Close executed (FR-AUD-002)</w:t>
            </w:r>
          </w:p>
        </w:tc>
        <w:tc>
          <w:tcPr>
            <w:tcW w:type="dxa" w:w="2600"/>
            <w:tcMar>
              <w:top w:type="dxa" w:w="60"/>
              <w:left w:type="dxa" w:w="100"/>
              <w:bottom w:type="dxa" w:w="60"/>
              <w:right w:type="dxa" w:w="100"/>
            </w:tcMar>
            <w:vAlign w:val="center"/>
          </w:tcPr>
          <w:p>
            <w:pPr>
              <w:jc w:val="left"/>
            </w:pPr>
            <w:r>
              <w:rPr>
                <w:b w:val="false"/>
                <w:bCs w:val="false"/>
                <w:sz w:val="18"/>
                <w:szCs w:val="18"/>
              </w:rPr>
              <w:t xml:space="preserve">Reopened</w:t>
            </w:r>
          </w:p>
        </w:tc>
        <w:tc>
          <w:tcPr>
            <w:tcW w:type="dxa" w:w="2400"/>
            <w:tcMar>
              <w:top w:type="dxa" w:w="60"/>
              <w:left w:type="dxa" w:w="100"/>
              <w:bottom w:type="dxa" w:w="60"/>
              <w:right w:type="dxa" w:w="100"/>
            </w:tcMar>
            <w:vAlign w:val="center"/>
          </w:tcPr>
          <w:p>
            <w:pPr>
              <w:jc w:val="left"/>
            </w:pPr>
            <w:r>
              <w:rPr>
                <w:b w:val="false"/>
                <w:bCs w:val="false"/>
                <w:sz w:val="18"/>
                <w:szCs w:val="18"/>
              </w:rPr>
              <w:t xml:space="preserve">CMA</w:t>
            </w:r>
          </w:p>
        </w:tc>
      </w:tr>
      <w:tr>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Reopened</w:t>
            </w:r>
          </w:p>
        </w:tc>
        <w:tc>
          <w:tcPr>
            <w:tcW w:type="dxa" w:w="3000"/>
            <w:shd w:fill="F2F2F2" w:color="auto" w:val="clear"/>
            <w:tcMar>
              <w:top w:type="dxa" w:w="60"/>
              <w:left w:type="dxa" w:w="100"/>
              <w:bottom w:type="dxa" w:w="60"/>
              <w:right w:type="dxa" w:w="100"/>
            </w:tcMar>
            <w:vAlign w:val="center"/>
          </w:tcPr>
          <w:p>
            <w:pPr>
              <w:jc w:val="left"/>
            </w:pPr>
            <w:r>
              <w:rPr>
                <w:b w:val="false"/>
                <w:bCs w:val="false"/>
                <w:sz w:val="18"/>
                <w:szCs w:val="18"/>
              </w:rPr>
              <w:t xml:space="preserve">Controlled reopen with reason + approval</w:t>
            </w:r>
          </w:p>
        </w:tc>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Processing</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CMA (with approval)</w:t>
            </w:r>
          </w:p>
        </w:tc>
      </w:tr>
    </w:tbl>
    <w:p>
      <w:pPr>
        <w:spacing w:after="160"/>
      </w:pPr>
      <w:r>
        <w:t xml:space="preserve">This is the authoritative state model referenced by the State Diagram in Section 32.6.</w:t>
      </w:r>
    </w:p>
    <w:p>
      <w:pPr>
        <w:pStyle w:val="Heading2"/>
        <w:spacing w:after="160" w:before="320"/>
      </w:pPr>
      <w:r>
        <w:rPr>
          <w:b/>
          <w:bCs/>
        </w:rPr>
        <w:t xml:space="preserve">12.3 Master Data Approval Workflow</w:t>
      </w:r>
    </w:p>
    <w:p>
      <w:pPr>
        <w:spacing w:after="160"/>
      </w:pPr>
      <w:r>
        <w:t xml:space="preserve">Applies to Item, BOM, Standard Cost and Allocation Rule masters (Master Data Governance, Section 8.4, Part 2): Draft → Submitted for Approval → Approved / Rejected. A Rejected record returns to Draft with the reviewer's comment attached; an Approved record becomes Active and, if effective-dated, becomes visible to costing engines only from its effective_from date onward.</w:t>
      </w:r>
    </w:p>
    <w:p>
      <w:r>
        <w:br w:type="page"/>
      </w:r>
    </w:p>
    <w:p>
      <w:pPr>
        <w:pStyle w:val="Heading1"/>
        <w:spacing w:after="240" w:before="480"/>
      </w:pPr>
      <w:r>
        <w:rPr>
          <w:b/>
          <w:bCs/>
        </w:rPr>
        <w:t xml:space="preserve">13. Dashboard Specification</w:t>
      </w:r>
    </w:p>
    <w:p>
      <w:pPr>
        <w:spacing w:after="160"/>
      </w:pPr>
      <w:r>
        <w:t xml:space="preserve">Each dashboard component below specifies its data source, computation, applicable filters, the role(s) it is visible to, and its drill-down target, per the source note's requirement that dashboards not be left as unspecified mockups.</w:t>
      </w:r>
    </w:p>
    <w:p>
      <w:pPr>
        <w:pStyle w:val="Heading2"/>
        <w:spacing w:after="160" w:before="320"/>
      </w:pPr>
      <w:r>
        <w:rPr>
          <w:b/>
          <w:bCs/>
        </w:rPr>
        <w:t xml:space="preserve">13.1 Management Dashboard</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700"/>
        <w:gridCol w:w="1600"/>
        <w:gridCol w:w="1900"/>
        <w:gridCol w:w="1400"/>
        <w:gridCol w:w="1000"/>
        <w:gridCol w:w="2000"/>
      </w:tblGrid>
      <w:tr>
        <w:trPr>
          <w:tblHeader/>
        </w:trPr>
        <w:tc>
          <w:tcPr>
            <w:tcW w:type="dxa" w:w="1700"/>
            <w:shd w:fill="1F3864" w:color="auto" w:val="clear"/>
            <w:tcMar>
              <w:top w:type="dxa" w:w="60"/>
              <w:left w:type="dxa" w:w="100"/>
              <w:bottom w:type="dxa" w:w="60"/>
              <w:right w:type="dxa" w:w="100"/>
            </w:tcMar>
            <w:vAlign w:val="center"/>
          </w:tcPr>
          <w:p>
            <w:pPr>
              <w:jc w:val="left"/>
            </w:pPr>
            <w:r>
              <w:rPr>
                <w:b/>
                <w:bCs/>
                <w:color w:val="FFFFFF"/>
                <w:sz w:val="18"/>
                <w:szCs w:val="18"/>
              </w:rPr>
              <w:t xml:space="preserve">Component</w:t>
            </w:r>
          </w:p>
        </w:tc>
        <w:tc>
          <w:tcPr>
            <w:tcW w:type="dxa" w:w="1600"/>
            <w:shd w:fill="1F3864" w:color="auto" w:val="clear"/>
            <w:tcMar>
              <w:top w:type="dxa" w:w="60"/>
              <w:left w:type="dxa" w:w="100"/>
              <w:bottom w:type="dxa" w:w="60"/>
              <w:right w:type="dxa" w:w="100"/>
            </w:tcMar>
            <w:vAlign w:val="center"/>
          </w:tcPr>
          <w:p>
            <w:pPr>
              <w:jc w:val="left"/>
            </w:pPr>
            <w:r>
              <w:rPr>
                <w:b/>
                <w:bCs/>
                <w:color w:val="FFFFFF"/>
                <w:sz w:val="18"/>
                <w:szCs w:val="18"/>
              </w:rPr>
              <w:t xml:space="preserve">Data Source</w:t>
            </w:r>
          </w:p>
        </w:tc>
        <w:tc>
          <w:tcPr>
            <w:tcW w:type="dxa" w:w="1900"/>
            <w:shd w:fill="1F3864" w:color="auto" w:val="clear"/>
            <w:tcMar>
              <w:top w:type="dxa" w:w="60"/>
              <w:left w:type="dxa" w:w="100"/>
              <w:bottom w:type="dxa" w:w="60"/>
              <w:right w:type="dxa" w:w="100"/>
            </w:tcMar>
            <w:vAlign w:val="center"/>
          </w:tcPr>
          <w:p>
            <w:pPr>
              <w:jc w:val="left"/>
            </w:pPr>
            <w:r>
              <w:rPr>
                <w:b/>
                <w:bCs/>
                <w:color w:val="FFFFFF"/>
                <w:sz w:val="18"/>
                <w:szCs w:val="18"/>
              </w:rPr>
              <w:t xml:space="preserve">Formula</w:t>
            </w:r>
          </w:p>
        </w:tc>
        <w:tc>
          <w:tcPr>
            <w:tcW w:type="dxa" w:w="1400"/>
            <w:shd w:fill="1F3864" w:color="auto" w:val="clear"/>
            <w:tcMar>
              <w:top w:type="dxa" w:w="60"/>
              <w:left w:type="dxa" w:w="100"/>
              <w:bottom w:type="dxa" w:w="60"/>
              <w:right w:type="dxa" w:w="100"/>
            </w:tcMar>
            <w:vAlign w:val="center"/>
          </w:tcPr>
          <w:p>
            <w:pPr>
              <w:jc w:val="left"/>
            </w:pPr>
            <w:r>
              <w:rPr>
                <w:b/>
                <w:bCs/>
                <w:color w:val="FFFFFF"/>
                <w:sz w:val="18"/>
                <w:szCs w:val="18"/>
              </w:rPr>
              <w:t xml:space="preserve">Filter</w:t>
            </w:r>
          </w:p>
        </w:tc>
        <w:tc>
          <w:tcPr>
            <w:tcW w:type="dxa" w:w="1000"/>
            <w:shd w:fill="1F3864" w:color="auto" w:val="clear"/>
            <w:tcMar>
              <w:top w:type="dxa" w:w="60"/>
              <w:left w:type="dxa" w:w="100"/>
              <w:bottom w:type="dxa" w:w="60"/>
              <w:right w:type="dxa" w:w="100"/>
            </w:tcMar>
            <w:vAlign w:val="center"/>
          </w:tcPr>
          <w:p>
            <w:pPr>
              <w:jc w:val="left"/>
            </w:pPr>
            <w:r>
              <w:rPr>
                <w:b/>
                <w:bCs/>
                <w:color w:val="FFFFFF"/>
                <w:sz w:val="18"/>
                <w:szCs w:val="18"/>
              </w:rPr>
              <w:t xml:space="preserve">Role</w:t>
            </w:r>
          </w:p>
        </w:tc>
        <w:tc>
          <w:tcPr>
            <w:tcW w:type="dxa" w:w="2000"/>
            <w:shd w:fill="1F3864" w:color="auto" w:val="clear"/>
            <w:tcMar>
              <w:top w:type="dxa" w:w="60"/>
              <w:left w:type="dxa" w:w="100"/>
              <w:bottom w:type="dxa" w:w="60"/>
              <w:right w:type="dxa" w:w="100"/>
            </w:tcMar>
            <w:vAlign w:val="center"/>
          </w:tcPr>
          <w:p>
            <w:pPr>
              <w:jc w:val="left"/>
            </w:pPr>
            <w:r>
              <w:rPr>
                <w:b/>
                <w:bCs/>
                <w:color w:val="FFFFFF"/>
                <w:sz w:val="18"/>
                <w:szCs w:val="18"/>
              </w:rPr>
              <w:t xml:space="preserve">Drill-down Target</w:t>
            </w:r>
          </w:p>
        </w:tc>
      </w:tr>
      <w:tr>
        <w:tc>
          <w:tcPr>
            <w:tcW w:type="dxa" w:w="1700"/>
            <w:tcMar>
              <w:top w:type="dxa" w:w="60"/>
              <w:left w:type="dxa" w:w="100"/>
              <w:bottom w:type="dxa" w:w="60"/>
              <w:right w:type="dxa" w:w="100"/>
            </w:tcMar>
            <w:vAlign w:val="center"/>
          </w:tcPr>
          <w:p>
            <w:pPr>
              <w:jc w:val="left"/>
            </w:pPr>
            <w:r>
              <w:rPr>
                <w:b w:val="false"/>
                <w:bCs w:val="false"/>
                <w:sz w:val="18"/>
                <w:szCs w:val="18"/>
              </w:rPr>
              <w:t xml:space="preserve">Total Product Cost (KPI card)</w:t>
            </w:r>
          </w:p>
        </w:tc>
        <w:tc>
          <w:tcPr>
            <w:tcW w:type="dxa" w:w="1600"/>
            <w:tcMar>
              <w:top w:type="dxa" w:w="60"/>
              <w:left w:type="dxa" w:w="100"/>
              <w:bottom w:type="dxa" w:w="60"/>
              <w:right w:type="dxa" w:w="100"/>
            </w:tcMar>
            <w:vAlign w:val="center"/>
          </w:tcPr>
          <w:p>
            <w:pPr>
              <w:jc w:val="left"/>
            </w:pPr>
            <w:r>
              <w:rPr>
                <w:b w:val="false"/>
                <w:bCs w:val="false"/>
                <w:sz w:val="18"/>
                <w:szCs w:val="18"/>
              </w:rPr>
              <w:t xml:space="preserve">costing_results</w:t>
            </w:r>
          </w:p>
        </w:tc>
        <w:tc>
          <w:tcPr>
            <w:tcW w:type="dxa" w:w="1900"/>
            <w:tcMar>
              <w:top w:type="dxa" w:w="60"/>
              <w:left w:type="dxa" w:w="100"/>
              <w:bottom w:type="dxa" w:w="60"/>
              <w:right w:type="dxa" w:w="100"/>
            </w:tcMar>
            <w:vAlign w:val="center"/>
          </w:tcPr>
          <w:p>
            <w:pPr>
              <w:jc w:val="left"/>
            </w:pPr>
            <w:r>
              <w:rPr>
                <w:b w:val="false"/>
                <w:bCs w:val="false"/>
                <w:sz w:val="18"/>
                <w:szCs w:val="18"/>
              </w:rPr>
              <w:t xml:space="preserve">SUM(total_cost) for selected scope</w:t>
            </w:r>
          </w:p>
        </w:tc>
        <w:tc>
          <w:tcPr>
            <w:tcW w:type="dxa" w:w="1400"/>
            <w:tcMar>
              <w:top w:type="dxa" w:w="60"/>
              <w:left w:type="dxa" w:w="100"/>
              <w:bottom w:type="dxa" w:w="60"/>
              <w:right w:type="dxa" w:w="100"/>
            </w:tcMar>
            <w:vAlign w:val="center"/>
          </w:tcPr>
          <w:p>
            <w:pPr>
              <w:jc w:val="left"/>
            </w:pPr>
            <w:r>
              <w:rPr>
                <w:b w:val="false"/>
                <w:bCs w:val="false"/>
                <w:sz w:val="18"/>
                <w:szCs w:val="18"/>
              </w:rPr>
              <w:t xml:space="preserve">Company/Plant, Period</w:t>
            </w:r>
          </w:p>
        </w:tc>
        <w:tc>
          <w:tcPr>
            <w:tcW w:type="dxa" w:w="1000"/>
            <w:tcMar>
              <w:top w:type="dxa" w:w="60"/>
              <w:left w:type="dxa" w:w="100"/>
              <w:bottom w:type="dxa" w:w="60"/>
              <w:right w:type="dxa" w:w="100"/>
            </w:tcMar>
            <w:vAlign w:val="center"/>
          </w:tcPr>
          <w:p>
            <w:pPr>
              <w:jc w:val="left"/>
            </w:pPr>
            <w:r>
              <w:rPr>
                <w:b w:val="false"/>
                <w:bCs w:val="false"/>
                <w:sz w:val="18"/>
                <w:szCs w:val="18"/>
              </w:rPr>
              <w:t xml:space="preserve">Management</w:t>
            </w:r>
          </w:p>
        </w:tc>
        <w:tc>
          <w:tcPr>
            <w:tcW w:type="dxa" w:w="2000"/>
            <w:tcMar>
              <w:top w:type="dxa" w:w="60"/>
              <w:left w:type="dxa" w:w="100"/>
              <w:bottom w:type="dxa" w:w="60"/>
              <w:right w:type="dxa" w:w="100"/>
            </w:tcMar>
            <w:vAlign w:val="center"/>
          </w:tcPr>
          <w:p>
            <w:pPr>
              <w:jc w:val="left"/>
            </w:pPr>
            <w:r>
              <w:rPr>
                <w:b w:val="false"/>
                <w:bCs w:val="false"/>
                <w:sz w:val="18"/>
                <w:szCs w:val="18"/>
              </w:rPr>
              <w:t xml:space="preserve">Product Cost Sheet report</w:t>
            </w:r>
          </w:p>
        </w:tc>
      </w:tr>
      <w:tr>
        <w:tc>
          <w:tcPr>
            <w:tcW w:type="dxa" w:w="1700"/>
            <w:shd w:fill="F2F2F2" w:color="auto" w:val="clear"/>
            <w:tcMar>
              <w:top w:type="dxa" w:w="60"/>
              <w:left w:type="dxa" w:w="100"/>
              <w:bottom w:type="dxa" w:w="60"/>
              <w:right w:type="dxa" w:w="100"/>
            </w:tcMar>
            <w:vAlign w:val="center"/>
          </w:tcPr>
          <w:p>
            <w:pPr>
              <w:jc w:val="left"/>
            </w:pPr>
            <w:r>
              <w:rPr>
                <w:b w:val="false"/>
                <w:bCs w:val="false"/>
                <w:sz w:val="18"/>
                <w:szCs w:val="18"/>
              </w:rPr>
              <w:t xml:space="preserve">Cost Trend (line chart)</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costing_results across periods</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total_cost by period, current vs prior 6 periods — Proposed window</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Company/Plant, Product</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Management</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Product Dashboard</w:t>
            </w:r>
          </w:p>
        </w:tc>
      </w:tr>
      <w:tr>
        <w:tc>
          <w:tcPr>
            <w:tcW w:type="dxa" w:w="1700"/>
            <w:tcMar>
              <w:top w:type="dxa" w:w="60"/>
              <w:left w:type="dxa" w:w="100"/>
              <w:bottom w:type="dxa" w:w="60"/>
              <w:right w:type="dxa" w:w="100"/>
            </w:tcMar>
            <w:vAlign w:val="center"/>
          </w:tcPr>
          <w:p>
            <w:pPr>
              <w:jc w:val="left"/>
            </w:pPr>
            <w:r>
              <w:rPr>
                <w:b w:val="false"/>
                <w:bCs w:val="false"/>
                <w:sz w:val="18"/>
                <w:szCs w:val="18"/>
              </w:rPr>
              <w:t xml:space="preserve">Plant Comparison (bar chart)</w:t>
            </w:r>
          </w:p>
        </w:tc>
        <w:tc>
          <w:tcPr>
            <w:tcW w:type="dxa" w:w="1600"/>
            <w:tcMar>
              <w:top w:type="dxa" w:w="60"/>
              <w:left w:type="dxa" w:w="100"/>
              <w:bottom w:type="dxa" w:w="60"/>
              <w:right w:type="dxa" w:w="100"/>
            </w:tcMar>
            <w:vAlign w:val="center"/>
          </w:tcPr>
          <w:p>
            <w:pPr>
              <w:jc w:val="left"/>
            </w:pPr>
            <w:r>
              <w:rPr>
                <w:b w:val="false"/>
                <w:bCs w:val="false"/>
                <w:sz w:val="18"/>
                <w:szCs w:val="18"/>
              </w:rPr>
              <w:t xml:space="preserve">costing_results grouped by plant</w:t>
            </w:r>
          </w:p>
        </w:tc>
        <w:tc>
          <w:tcPr>
            <w:tcW w:type="dxa" w:w="1900"/>
            <w:tcMar>
              <w:top w:type="dxa" w:w="60"/>
              <w:left w:type="dxa" w:w="100"/>
              <w:bottom w:type="dxa" w:w="60"/>
              <w:right w:type="dxa" w:w="100"/>
            </w:tcMar>
            <w:vAlign w:val="center"/>
          </w:tcPr>
          <w:p>
            <w:pPr>
              <w:jc w:val="left"/>
            </w:pPr>
            <w:r>
              <w:rPr>
                <w:b w:val="false"/>
                <w:bCs w:val="false"/>
                <w:sz w:val="18"/>
                <w:szCs w:val="18"/>
              </w:rPr>
              <w:t xml:space="preserve">AVG or SUM(total_cost) by org_unit (PLANT)</w:t>
            </w:r>
          </w:p>
        </w:tc>
        <w:tc>
          <w:tcPr>
            <w:tcW w:type="dxa" w:w="1400"/>
            <w:tcMar>
              <w:top w:type="dxa" w:w="60"/>
              <w:left w:type="dxa" w:w="100"/>
              <w:bottom w:type="dxa" w:w="60"/>
              <w:right w:type="dxa" w:w="100"/>
            </w:tcMar>
            <w:vAlign w:val="center"/>
          </w:tcPr>
          <w:p>
            <w:pPr>
              <w:jc w:val="left"/>
            </w:pPr>
            <w:r>
              <w:rPr>
                <w:b w:val="false"/>
                <w:bCs w:val="false"/>
                <w:sz w:val="18"/>
                <w:szCs w:val="18"/>
              </w:rPr>
              <w:t xml:space="preserve">Period, Product</w:t>
            </w:r>
          </w:p>
        </w:tc>
        <w:tc>
          <w:tcPr>
            <w:tcW w:type="dxa" w:w="1000"/>
            <w:tcMar>
              <w:top w:type="dxa" w:w="60"/>
              <w:left w:type="dxa" w:w="100"/>
              <w:bottom w:type="dxa" w:w="60"/>
              <w:right w:type="dxa" w:w="100"/>
            </w:tcMar>
            <w:vAlign w:val="center"/>
          </w:tcPr>
          <w:p>
            <w:pPr>
              <w:jc w:val="left"/>
            </w:pPr>
            <w:r>
              <w:rPr>
                <w:b w:val="false"/>
                <w:bCs w:val="false"/>
                <w:sz w:val="18"/>
                <w:szCs w:val="18"/>
              </w:rPr>
              <w:t xml:space="preserve">Management</w:t>
            </w:r>
          </w:p>
        </w:tc>
        <w:tc>
          <w:tcPr>
            <w:tcW w:type="dxa" w:w="2000"/>
            <w:tcMar>
              <w:top w:type="dxa" w:w="60"/>
              <w:left w:type="dxa" w:w="100"/>
              <w:bottom w:type="dxa" w:w="60"/>
              <w:right w:type="dxa" w:w="100"/>
            </w:tcMar>
            <w:vAlign w:val="center"/>
          </w:tcPr>
          <w:p>
            <w:pPr>
              <w:jc w:val="left"/>
            </w:pPr>
            <w:r>
              <w:rPr>
                <w:b w:val="false"/>
                <w:bCs w:val="false"/>
                <w:sz w:val="18"/>
                <w:szCs w:val="18"/>
              </w:rPr>
              <w:t xml:space="preserve">Plant Cost report</w:t>
            </w:r>
          </w:p>
        </w:tc>
      </w:tr>
      <w:tr>
        <w:tc>
          <w:tcPr>
            <w:tcW w:type="dxa" w:w="17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 Comparison (table)</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costing_results, variances</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Standard vs Actual vs Prior Period</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Company/Plant, Period</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Management</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Standard vs Actual report</w:t>
            </w:r>
          </w:p>
        </w:tc>
      </w:tr>
      <w:tr>
        <w:tc>
          <w:tcPr>
            <w:tcW w:type="dxa" w:w="1700"/>
            <w:tcMar>
              <w:top w:type="dxa" w:w="60"/>
              <w:left w:type="dxa" w:w="100"/>
              <w:bottom w:type="dxa" w:w="60"/>
              <w:right w:type="dxa" w:w="100"/>
            </w:tcMar>
            <w:vAlign w:val="center"/>
          </w:tcPr>
          <w:p>
            <w:pPr>
              <w:jc w:val="left"/>
            </w:pPr>
            <w:r>
              <w:rPr>
                <w:b w:val="false"/>
                <w:bCs w:val="false"/>
                <w:sz w:val="18"/>
                <w:szCs w:val="18"/>
              </w:rPr>
              <w:t xml:space="preserve">Product Profitability (Phase 2)</w:t>
            </w:r>
          </w:p>
        </w:tc>
        <w:tc>
          <w:tcPr>
            <w:tcW w:type="dxa" w:w="1600"/>
            <w:tcMar>
              <w:top w:type="dxa" w:w="60"/>
              <w:left w:type="dxa" w:w="100"/>
              <w:bottom w:type="dxa" w:w="60"/>
              <w:right w:type="dxa" w:w="100"/>
            </w:tcMar>
            <w:vAlign w:val="center"/>
          </w:tcPr>
          <w:p>
            <w:pPr>
              <w:jc w:val="left"/>
            </w:pPr>
            <w:r>
              <w:rPr>
                <w:b w:val="false"/>
                <w:bCs w:val="false"/>
                <w:sz w:val="18"/>
                <w:szCs w:val="18"/>
              </w:rPr>
              <w:t xml:space="preserve">costing_results + sales data (Phase 2)</w:t>
            </w:r>
          </w:p>
        </w:tc>
        <w:tc>
          <w:tcPr>
            <w:tcW w:type="dxa" w:w="1900"/>
            <w:tcMar>
              <w:top w:type="dxa" w:w="60"/>
              <w:left w:type="dxa" w:w="100"/>
              <w:bottom w:type="dxa" w:w="60"/>
              <w:right w:type="dxa" w:w="100"/>
            </w:tcMar>
            <w:vAlign w:val="center"/>
          </w:tcPr>
          <w:p>
            <w:pPr>
              <w:jc w:val="left"/>
            </w:pPr>
            <w:r>
              <w:rPr>
                <w:b w:val="false"/>
                <w:bCs w:val="false"/>
                <w:sz w:val="18"/>
                <w:szCs w:val="18"/>
              </w:rPr>
              <w:t xml:space="preserve">Margin = Price − Total Cost</w:t>
            </w:r>
          </w:p>
        </w:tc>
        <w:tc>
          <w:tcPr>
            <w:tcW w:type="dxa" w:w="1400"/>
            <w:tcMar>
              <w:top w:type="dxa" w:w="60"/>
              <w:left w:type="dxa" w:w="100"/>
              <w:bottom w:type="dxa" w:w="60"/>
              <w:right w:type="dxa" w:w="100"/>
            </w:tcMar>
            <w:vAlign w:val="center"/>
          </w:tcPr>
          <w:p>
            <w:pPr>
              <w:jc w:val="left"/>
            </w:pPr>
            <w:r>
              <w:rPr>
                <w:b w:val="false"/>
                <w:bCs w:val="false"/>
                <w:sz w:val="18"/>
                <w:szCs w:val="18"/>
              </w:rPr>
              <w:t xml:space="preserve">Product, Period</w:t>
            </w:r>
          </w:p>
        </w:tc>
        <w:tc>
          <w:tcPr>
            <w:tcW w:type="dxa" w:w="1000"/>
            <w:tcMar>
              <w:top w:type="dxa" w:w="60"/>
              <w:left w:type="dxa" w:w="100"/>
              <w:bottom w:type="dxa" w:w="60"/>
              <w:right w:type="dxa" w:w="100"/>
            </w:tcMar>
            <w:vAlign w:val="center"/>
          </w:tcPr>
          <w:p>
            <w:pPr>
              <w:jc w:val="left"/>
            </w:pPr>
            <w:r>
              <w:rPr>
                <w:b w:val="false"/>
                <w:bCs w:val="false"/>
                <w:sz w:val="18"/>
                <w:szCs w:val="18"/>
              </w:rPr>
              <w:t xml:space="preserve">Management</w:t>
            </w:r>
          </w:p>
        </w:tc>
        <w:tc>
          <w:tcPr>
            <w:tcW w:type="dxa" w:w="2000"/>
            <w:tcMar>
              <w:top w:type="dxa" w:w="60"/>
              <w:left w:type="dxa" w:w="100"/>
              <w:bottom w:type="dxa" w:w="60"/>
              <w:right w:type="dxa" w:w="100"/>
            </w:tcMar>
            <w:vAlign w:val="center"/>
          </w:tcPr>
          <w:p>
            <w:pPr>
              <w:jc w:val="left"/>
            </w:pPr>
            <w:r>
              <w:rPr>
                <w:b w:val="false"/>
                <w:bCs w:val="false"/>
                <w:sz w:val="18"/>
                <w:szCs w:val="18"/>
              </w:rPr>
              <w:t xml:space="preserve">Product Profitability report (Phase 2)</w:t>
            </w:r>
          </w:p>
        </w:tc>
      </w:tr>
      <w:tr>
        <w:tc>
          <w:tcPr>
            <w:tcW w:type="dxa" w:w="1700"/>
            <w:shd w:fill="F2F2F2" w:color="auto" w:val="clear"/>
            <w:tcMar>
              <w:top w:type="dxa" w:w="60"/>
              <w:left w:type="dxa" w:w="100"/>
              <w:bottom w:type="dxa" w:w="60"/>
              <w:right w:type="dxa" w:w="100"/>
            </w:tcMar>
            <w:vAlign w:val="center"/>
          </w:tcPr>
          <w:p>
            <w:pPr>
              <w:jc w:val="left"/>
            </w:pPr>
            <w:r>
              <w:rPr>
                <w:b w:val="false"/>
                <w:bCs w:val="false"/>
                <w:sz w:val="18"/>
                <w:szCs w:val="18"/>
              </w:rPr>
              <w:t xml:space="preserve">Alerts (list)</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exceptions (severity = high)</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Open high-severity exceptions in scope</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Company/Plant</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Management</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Exception Report / Audit Desk (read)</w:t>
            </w:r>
          </w:p>
        </w:tc>
      </w:tr>
    </w:tbl>
    <w:p>
      <w:pPr>
        <w:pStyle w:val="Heading2"/>
        <w:spacing w:after="160" w:before="320"/>
      </w:pPr>
      <w:r>
        <w:rPr>
          <w:b/>
          <w:bCs/>
        </w:rPr>
        <w:t xml:space="preserve">13.2 CMA Dashboard</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700"/>
        <w:gridCol w:w="1700"/>
        <w:gridCol w:w="2000"/>
        <w:gridCol w:w="1000"/>
        <w:gridCol w:w="900"/>
        <w:gridCol w:w="2300"/>
      </w:tblGrid>
      <w:tr>
        <w:trPr>
          <w:tblHeader/>
        </w:trPr>
        <w:tc>
          <w:tcPr>
            <w:tcW w:type="dxa" w:w="1700"/>
            <w:shd w:fill="1F3864" w:color="auto" w:val="clear"/>
            <w:tcMar>
              <w:top w:type="dxa" w:w="60"/>
              <w:left w:type="dxa" w:w="100"/>
              <w:bottom w:type="dxa" w:w="60"/>
              <w:right w:type="dxa" w:w="100"/>
            </w:tcMar>
            <w:vAlign w:val="center"/>
          </w:tcPr>
          <w:p>
            <w:pPr>
              <w:jc w:val="left"/>
            </w:pPr>
            <w:r>
              <w:rPr>
                <w:b/>
                <w:bCs/>
                <w:color w:val="FFFFFF"/>
                <w:sz w:val="18"/>
                <w:szCs w:val="18"/>
              </w:rPr>
              <w:t xml:space="preserve">Component</w:t>
            </w:r>
          </w:p>
        </w:tc>
        <w:tc>
          <w:tcPr>
            <w:tcW w:type="dxa" w:w="1700"/>
            <w:shd w:fill="1F3864" w:color="auto" w:val="clear"/>
            <w:tcMar>
              <w:top w:type="dxa" w:w="60"/>
              <w:left w:type="dxa" w:w="100"/>
              <w:bottom w:type="dxa" w:w="60"/>
              <w:right w:type="dxa" w:w="100"/>
            </w:tcMar>
            <w:vAlign w:val="center"/>
          </w:tcPr>
          <w:p>
            <w:pPr>
              <w:jc w:val="left"/>
            </w:pPr>
            <w:r>
              <w:rPr>
                <w:b/>
                <w:bCs/>
                <w:color w:val="FFFFFF"/>
                <w:sz w:val="18"/>
                <w:szCs w:val="18"/>
              </w:rPr>
              <w:t xml:space="preserve">Data Source</w:t>
            </w:r>
          </w:p>
        </w:tc>
        <w:tc>
          <w:tcPr>
            <w:tcW w:type="dxa" w:w="2000"/>
            <w:shd w:fill="1F3864" w:color="auto" w:val="clear"/>
            <w:tcMar>
              <w:top w:type="dxa" w:w="60"/>
              <w:left w:type="dxa" w:w="100"/>
              <w:bottom w:type="dxa" w:w="60"/>
              <w:right w:type="dxa" w:w="100"/>
            </w:tcMar>
            <w:vAlign w:val="center"/>
          </w:tcPr>
          <w:p>
            <w:pPr>
              <w:jc w:val="left"/>
            </w:pPr>
            <w:r>
              <w:rPr>
                <w:b/>
                <w:bCs/>
                <w:color w:val="FFFFFF"/>
                <w:sz w:val="18"/>
                <w:szCs w:val="18"/>
              </w:rPr>
              <w:t xml:space="preserve">Formula</w:t>
            </w:r>
          </w:p>
        </w:tc>
        <w:tc>
          <w:tcPr>
            <w:tcW w:type="dxa" w:w="1000"/>
            <w:shd w:fill="1F3864" w:color="auto" w:val="clear"/>
            <w:tcMar>
              <w:top w:type="dxa" w:w="60"/>
              <w:left w:type="dxa" w:w="100"/>
              <w:bottom w:type="dxa" w:w="60"/>
              <w:right w:type="dxa" w:w="100"/>
            </w:tcMar>
            <w:vAlign w:val="center"/>
          </w:tcPr>
          <w:p>
            <w:pPr>
              <w:jc w:val="left"/>
            </w:pPr>
            <w:r>
              <w:rPr>
                <w:b/>
                <w:bCs/>
                <w:color w:val="FFFFFF"/>
                <w:sz w:val="18"/>
                <w:szCs w:val="18"/>
              </w:rPr>
              <w:t xml:space="preserve">Filter</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Role</w:t>
            </w:r>
          </w:p>
        </w:tc>
        <w:tc>
          <w:tcPr>
            <w:tcW w:type="dxa" w:w="2300"/>
            <w:shd w:fill="1F3864" w:color="auto" w:val="clear"/>
            <w:tcMar>
              <w:top w:type="dxa" w:w="60"/>
              <w:left w:type="dxa" w:w="100"/>
              <w:bottom w:type="dxa" w:w="60"/>
              <w:right w:type="dxa" w:w="100"/>
            </w:tcMar>
            <w:vAlign w:val="center"/>
          </w:tcPr>
          <w:p>
            <w:pPr>
              <w:jc w:val="left"/>
            </w:pPr>
            <w:r>
              <w:rPr>
                <w:b/>
                <w:bCs/>
                <w:color w:val="FFFFFF"/>
                <w:sz w:val="18"/>
                <w:szCs w:val="18"/>
              </w:rPr>
              <w:t xml:space="preserve">Drill-down Target</w:t>
            </w:r>
          </w:p>
        </w:tc>
      </w:tr>
      <w:tr>
        <w:tc>
          <w:tcPr>
            <w:tcW w:type="dxa" w:w="1700"/>
            <w:tcMar>
              <w:top w:type="dxa" w:w="60"/>
              <w:left w:type="dxa" w:w="100"/>
              <w:bottom w:type="dxa" w:w="60"/>
              <w:right w:type="dxa" w:w="100"/>
            </w:tcMar>
            <w:vAlign w:val="center"/>
          </w:tcPr>
          <w:p>
            <w:pPr>
              <w:jc w:val="left"/>
            </w:pPr>
            <w:r>
              <w:rPr>
                <w:b w:val="false"/>
                <w:bCs w:val="false"/>
                <w:sz w:val="18"/>
                <w:szCs w:val="18"/>
              </w:rPr>
              <w:t xml:space="preserve">Upload Status</w:t>
            </w:r>
          </w:p>
        </w:tc>
        <w:tc>
          <w:tcPr>
            <w:tcW w:type="dxa" w:w="1700"/>
            <w:tcMar>
              <w:top w:type="dxa" w:w="60"/>
              <w:left w:type="dxa" w:w="100"/>
              <w:bottom w:type="dxa" w:w="60"/>
              <w:right w:type="dxa" w:w="100"/>
            </w:tcMar>
            <w:vAlign w:val="center"/>
          </w:tcPr>
          <w:p>
            <w:pPr>
              <w:jc w:val="left"/>
            </w:pPr>
            <w:r>
              <w:rPr>
                <w:b w:val="false"/>
                <w:bCs w:val="false"/>
                <w:sz w:val="18"/>
                <w:szCs w:val="18"/>
              </w:rPr>
              <w:t xml:space="preserve">uploads</w:t>
            </w:r>
          </w:p>
        </w:tc>
        <w:tc>
          <w:tcPr>
            <w:tcW w:type="dxa" w:w="2000"/>
            <w:tcMar>
              <w:top w:type="dxa" w:w="60"/>
              <w:left w:type="dxa" w:w="100"/>
              <w:bottom w:type="dxa" w:w="60"/>
              <w:right w:type="dxa" w:w="100"/>
            </w:tcMar>
            <w:vAlign w:val="center"/>
          </w:tcPr>
          <w:p>
            <w:pPr>
              <w:jc w:val="left"/>
            </w:pPr>
            <w:r>
              <w:rPr>
                <w:b w:val="false"/>
                <w:bCs w:val="false"/>
                <w:sz w:val="18"/>
                <w:szCs w:val="18"/>
              </w:rPr>
              <w:t xml:space="preserve">Count by status (Uploaded/Pending Mapping/Pending Validation/Validated/Processed/Error)</w:t>
            </w:r>
          </w:p>
        </w:tc>
        <w:tc>
          <w:tcPr>
            <w:tcW w:type="dxa" w:w="1000"/>
            <w:tcMar>
              <w:top w:type="dxa" w:w="60"/>
              <w:left w:type="dxa" w:w="100"/>
              <w:bottom w:type="dxa" w:w="60"/>
              <w:right w:type="dxa" w:w="100"/>
            </w:tcMar>
            <w:vAlign w:val="center"/>
          </w:tcPr>
          <w:p>
            <w:pPr>
              <w:jc w:val="left"/>
            </w:pPr>
            <w:r>
              <w:rPr>
                <w:b w:val="false"/>
                <w:bCs w:val="false"/>
                <w:sz w:val="18"/>
                <w:szCs w:val="18"/>
              </w:rPr>
              <w:t xml:space="preserve">Period, Plant</w:t>
            </w:r>
          </w:p>
        </w:tc>
        <w:tc>
          <w:tcPr>
            <w:tcW w:type="dxa" w:w="900"/>
            <w:tcMar>
              <w:top w:type="dxa" w:w="60"/>
              <w:left w:type="dxa" w:w="100"/>
              <w:bottom w:type="dxa" w:w="60"/>
              <w:right w:type="dxa" w:w="100"/>
            </w:tcMar>
            <w:vAlign w:val="center"/>
          </w:tcPr>
          <w:p>
            <w:pPr>
              <w:jc w:val="left"/>
            </w:pPr>
            <w:r>
              <w:rPr>
                <w:b w:val="false"/>
                <w:bCs w:val="false"/>
                <w:sz w:val="18"/>
                <w:szCs w:val="18"/>
              </w:rPr>
              <w:t xml:space="preserve">CMA</w:t>
            </w:r>
          </w:p>
        </w:tc>
        <w:tc>
          <w:tcPr>
            <w:tcW w:type="dxa" w:w="2300"/>
            <w:tcMar>
              <w:top w:type="dxa" w:w="60"/>
              <w:left w:type="dxa" w:w="100"/>
              <w:bottom w:type="dxa" w:w="60"/>
              <w:right w:type="dxa" w:w="100"/>
            </w:tcMar>
            <w:vAlign w:val="center"/>
          </w:tcPr>
          <w:p>
            <w:pPr>
              <w:jc w:val="left"/>
            </w:pPr>
            <w:r>
              <w:rPr>
                <w:b w:val="false"/>
                <w:bCs w:val="false"/>
                <w:sz w:val="18"/>
                <w:szCs w:val="18"/>
              </w:rPr>
              <w:t xml:space="preserve">Upload Centre / Upload History</w:t>
            </w:r>
          </w:p>
        </w:tc>
      </w:tr>
      <w:tr>
        <w:tc>
          <w:tcPr>
            <w:tcW w:type="dxa" w:w="1700"/>
            <w:shd w:fill="F2F2F2" w:color="auto" w:val="clear"/>
            <w:tcMar>
              <w:top w:type="dxa" w:w="60"/>
              <w:left w:type="dxa" w:w="100"/>
              <w:bottom w:type="dxa" w:w="60"/>
              <w:right w:type="dxa" w:w="100"/>
            </w:tcMar>
            <w:vAlign w:val="center"/>
          </w:tcPr>
          <w:p>
            <w:pPr>
              <w:jc w:val="left"/>
            </w:pPr>
            <w:r>
              <w:rPr>
                <w:b w:val="false"/>
                <w:bCs w:val="false"/>
                <w:sz w:val="18"/>
                <w:szCs w:val="18"/>
              </w:rPr>
              <w:t xml:space="preserve">Mapping Status</w:t>
            </w:r>
          </w:p>
        </w:tc>
        <w:tc>
          <w:tcPr>
            <w:tcW w:type="dxa" w:w="1700"/>
            <w:shd w:fill="F2F2F2" w:color="auto" w:val="clear"/>
            <w:tcMar>
              <w:top w:type="dxa" w:w="60"/>
              <w:left w:type="dxa" w:w="100"/>
              <w:bottom w:type="dxa" w:w="60"/>
              <w:right w:type="dxa" w:w="100"/>
            </w:tcMar>
            <w:vAlign w:val="center"/>
          </w:tcPr>
          <w:p>
            <w:pPr>
              <w:jc w:val="left"/>
            </w:pPr>
            <w:r>
              <w:rPr>
                <w:b w:val="false"/>
                <w:bCs w:val="false"/>
                <w:sz w:val="18"/>
                <w:szCs w:val="18"/>
              </w:rPr>
              <w:t xml:space="preserve">uploads where status ≈ Pending Mapping</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Count of uploads awaiting mapping</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 Plant</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c>
          <w:tcPr>
            <w:tcW w:type="dxa" w:w="2300"/>
            <w:shd w:fill="F2F2F2" w:color="auto" w:val="clear"/>
            <w:tcMar>
              <w:top w:type="dxa" w:w="60"/>
              <w:left w:type="dxa" w:w="100"/>
              <w:bottom w:type="dxa" w:w="60"/>
              <w:right w:type="dxa" w:w="100"/>
            </w:tcMar>
            <w:vAlign w:val="center"/>
          </w:tcPr>
          <w:p>
            <w:pPr>
              <w:jc w:val="left"/>
            </w:pPr>
            <w:r>
              <w:rPr>
                <w:b w:val="false"/>
                <w:bCs w:val="false"/>
                <w:sz w:val="18"/>
                <w:szCs w:val="18"/>
              </w:rPr>
              <w:t xml:space="preserve">Mapping Configuration</w:t>
            </w:r>
          </w:p>
        </w:tc>
      </w:tr>
      <w:tr>
        <w:tc>
          <w:tcPr>
            <w:tcW w:type="dxa" w:w="1700"/>
            <w:tcMar>
              <w:top w:type="dxa" w:w="60"/>
              <w:left w:type="dxa" w:w="100"/>
              <w:bottom w:type="dxa" w:w="60"/>
              <w:right w:type="dxa" w:w="100"/>
            </w:tcMar>
            <w:vAlign w:val="center"/>
          </w:tcPr>
          <w:p>
            <w:pPr>
              <w:jc w:val="left"/>
            </w:pPr>
            <w:r>
              <w:rPr>
                <w:b w:val="false"/>
                <w:bCs w:val="false"/>
                <w:sz w:val="18"/>
                <w:szCs w:val="18"/>
              </w:rPr>
              <w:t xml:space="preserve">Data Quality</w:t>
            </w:r>
          </w:p>
        </w:tc>
        <w:tc>
          <w:tcPr>
            <w:tcW w:type="dxa" w:w="1700"/>
            <w:tcMar>
              <w:top w:type="dxa" w:w="60"/>
              <w:left w:type="dxa" w:w="100"/>
              <w:bottom w:type="dxa" w:w="60"/>
              <w:right w:type="dxa" w:w="100"/>
            </w:tcMar>
            <w:vAlign w:val="center"/>
          </w:tcPr>
          <w:p>
            <w:pPr>
              <w:jc w:val="left"/>
            </w:pPr>
            <w:r>
              <w:rPr>
                <w:b w:val="false"/>
                <w:bCs w:val="false"/>
                <w:sz w:val="18"/>
                <w:szCs w:val="18"/>
              </w:rPr>
              <w:t xml:space="preserve">data_quality_scores</w:t>
            </w:r>
          </w:p>
        </w:tc>
        <w:tc>
          <w:tcPr>
            <w:tcW w:type="dxa" w:w="2000"/>
            <w:tcMar>
              <w:top w:type="dxa" w:w="60"/>
              <w:left w:type="dxa" w:w="100"/>
              <w:bottom w:type="dxa" w:w="60"/>
              <w:right w:type="dxa" w:w="100"/>
            </w:tcMar>
            <w:vAlign w:val="center"/>
          </w:tcPr>
          <w:p>
            <w:pPr>
              <w:jc w:val="left"/>
            </w:pPr>
            <w:r>
              <w:rPr>
                <w:b w:val="false"/>
                <w:bCs w:val="false"/>
                <w:sz w:val="18"/>
                <w:szCs w:val="18"/>
              </w:rPr>
              <w:t xml:space="preserve">Latest score per upload; trend</w:t>
            </w:r>
          </w:p>
        </w:tc>
        <w:tc>
          <w:tcPr>
            <w:tcW w:type="dxa" w:w="1000"/>
            <w:tcMar>
              <w:top w:type="dxa" w:w="60"/>
              <w:left w:type="dxa" w:w="100"/>
              <w:bottom w:type="dxa" w:w="60"/>
              <w:right w:type="dxa" w:w="100"/>
            </w:tcMar>
            <w:vAlign w:val="center"/>
          </w:tcPr>
          <w:p>
            <w:pPr>
              <w:jc w:val="left"/>
            </w:pPr>
            <w:r>
              <w:rPr>
                <w:b w:val="false"/>
                <w:bCs w:val="false"/>
                <w:sz w:val="18"/>
                <w:szCs w:val="18"/>
              </w:rPr>
              <w:t xml:space="preserve">Period, Plant</w:t>
            </w:r>
          </w:p>
        </w:tc>
        <w:tc>
          <w:tcPr>
            <w:tcW w:type="dxa" w:w="900"/>
            <w:tcMar>
              <w:top w:type="dxa" w:w="60"/>
              <w:left w:type="dxa" w:w="100"/>
              <w:bottom w:type="dxa" w:w="60"/>
              <w:right w:type="dxa" w:w="100"/>
            </w:tcMar>
            <w:vAlign w:val="center"/>
          </w:tcPr>
          <w:p>
            <w:pPr>
              <w:jc w:val="left"/>
            </w:pPr>
            <w:r>
              <w:rPr>
                <w:b w:val="false"/>
                <w:bCs w:val="false"/>
                <w:sz w:val="18"/>
                <w:szCs w:val="18"/>
              </w:rPr>
              <w:t xml:space="preserve">CMA</w:t>
            </w:r>
          </w:p>
        </w:tc>
        <w:tc>
          <w:tcPr>
            <w:tcW w:type="dxa" w:w="2300"/>
            <w:tcMar>
              <w:top w:type="dxa" w:w="60"/>
              <w:left w:type="dxa" w:w="100"/>
              <w:bottom w:type="dxa" w:w="60"/>
              <w:right w:type="dxa" w:w="100"/>
            </w:tcMar>
            <w:vAlign w:val="center"/>
          </w:tcPr>
          <w:p>
            <w:pPr>
              <w:jc w:val="left"/>
            </w:pPr>
            <w:r>
              <w:rPr>
                <w:b w:val="false"/>
                <w:bCs w:val="false"/>
                <w:sz w:val="18"/>
                <w:szCs w:val="18"/>
              </w:rPr>
              <w:t xml:space="preserve">Validation Centre / Data Quality</w:t>
            </w:r>
          </w:p>
        </w:tc>
      </w:tr>
      <w:tr>
        <w:tc>
          <w:tcPr>
            <w:tcW w:type="dxa" w:w="1700"/>
            <w:shd w:fill="F2F2F2" w:color="auto" w:val="clear"/>
            <w:tcMar>
              <w:top w:type="dxa" w:w="60"/>
              <w:left w:type="dxa" w:w="100"/>
              <w:bottom w:type="dxa" w:w="60"/>
              <w:right w:type="dxa" w:w="100"/>
            </w:tcMar>
            <w:vAlign w:val="center"/>
          </w:tcPr>
          <w:p>
            <w:pPr>
              <w:jc w:val="left"/>
            </w:pPr>
            <w:r>
              <w:rPr>
                <w:b w:val="false"/>
                <w:bCs w:val="false"/>
                <w:sz w:val="18"/>
                <w:szCs w:val="18"/>
              </w:rPr>
              <w:t xml:space="preserve">Reconciliation Status</w:t>
            </w:r>
          </w:p>
        </w:tc>
        <w:tc>
          <w:tcPr>
            <w:tcW w:type="dxa" w:w="1700"/>
            <w:shd w:fill="F2F2F2" w:color="auto" w:val="clear"/>
            <w:tcMar>
              <w:top w:type="dxa" w:w="60"/>
              <w:left w:type="dxa" w:w="100"/>
              <w:bottom w:type="dxa" w:w="60"/>
              <w:right w:type="dxa" w:w="100"/>
            </w:tcMar>
            <w:vAlign w:val="center"/>
          </w:tcPr>
          <w:p>
            <w:pPr>
              <w:jc w:val="left"/>
            </w:pPr>
            <w:r>
              <w:rPr>
                <w:b w:val="false"/>
                <w:bCs w:val="false"/>
                <w:sz w:val="18"/>
                <w:szCs w:val="18"/>
              </w:rPr>
              <w:t xml:space="preserve">reconciliations</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Count Open vs Resolved, total variance amount</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 Plant</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c>
          <w:tcPr>
            <w:tcW w:type="dxa" w:w="2300"/>
            <w:shd w:fill="F2F2F2" w:color="auto" w:val="clear"/>
            <w:tcMar>
              <w:top w:type="dxa" w:w="60"/>
              <w:left w:type="dxa" w:w="100"/>
              <w:bottom w:type="dxa" w:w="60"/>
              <w:right w:type="dxa" w:w="100"/>
            </w:tcMar>
            <w:vAlign w:val="center"/>
          </w:tcPr>
          <w:p>
            <w:pPr>
              <w:jc w:val="left"/>
            </w:pPr>
            <w:r>
              <w:rPr>
                <w:b w:val="false"/>
                <w:bCs w:val="false"/>
                <w:sz w:val="18"/>
                <w:szCs w:val="18"/>
              </w:rPr>
              <w:t xml:space="preserve">Reconciliation screens</w:t>
            </w:r>
          </w:p>
        </w:tc>
      </w:tr>
      <w:tr>
        <w:tc>
          <w:tcPr>
            <w:tcW w:type="dxa" w:w="1700"/>
            <w:tcMar>
              <w:top w:type="dxa" w:w="60"/>
              <w:left w:type="dxa" w:w="100"/>
              <w:bottom w:type="dxa" w:w="60"/>
              <w:right w:type="dxa" w:w="100"/>
            </w:tcMar>
            <w:vAlign w:val="center"/>
          </w:tcPr>
          <w:p>
            <w:pPr>
              <w:jc w:val="left"/>
            </w:pPr>
            <w:r>
              <w:rPr>
                <w:b w:val="false"/>
                <w:bCs w:val="false"/>
                <w:sz w:val="18"/>
                <w:szCs w:val="18"/>
              </w:rPr>
              <w:t xml:space="preserve">Costing Status</w:t>
            </w:r>
          </w:p>
        </w:tc>
        <w:tc>
          <w:tcPr>
            <w:tcW w:type="dxa" w:w="1700"/>
            <w:tcMar>
              <w:top w:type="dxa" w:w="60"/>
              <w:left w:type="dxa" w:w="100"/>
              <w:bottom w:type="dxa" w:w="60"/>
              <w:right w:type="dxa" w:w="100"/>
            </w:tcMar>
            <w:vAlign w:val="center"/>
          </w:tcPr>
          <w:p>
            <w:pPr>
              <w:jc w:val="left"/>
            </w:pPr>
            <w:r>
              <w:rPr>
                <w:b w:val="false"/>
                <w:bCs w:val="false"/>
                <w:sz w:val="18"/>
                <w:szCs w:val="18"/>
              </w:rPr>
              <w:t xml:space="preserve">costing_runs</w:t>
            </w:r>
          </w:p>
        </w:tc>
        <w:tc>
          <w:tcPr>
            <w:tcW w:type="dxa" w:w="2000"/>
            <w:tcMar>
              <w:top w:type="dxa" w:w="60"/>
              <w:left w:type="dxa" w:w="100"/>
              <w:bottom w:type="dxa" w:w="60"/>
              <w:right w:type="dxa" w:w="100"/>
            </w:tcMar>
            <w:vAlign w:val="center"/>
          </w:tcPr>
          <w:p>
            <w:pPr>
              <w:jc w:val="left"/>
            </w:pPr>
            <w:r>
              <w:rPr>
                <w:b w:val="false"/>
                <w:bCs w:val="false"/>
                <w:sz w:val="18"/>
                <w:szCs w:val="18"/>
              </w:rPr>
              <w:t xml:space="preserve">Status per run type (running/completed/failed/finalised)</w:t>
            </w:r>
          </w:p>
        </w:tc>
        <w:tc>
          <w:tcPr>
            <w:tcW w:type="dxa" w:w="1000"/>
            <w:tcMar>
              <w:top w:type="dxa" w:w="60"/>
              <w:left w:type="dxa" w:w="100"/>
              <w:bottom w:type="dxa" w:w="60"/>
              <w:right w:type="dxa" w:w="100"/>
            </w:tcMar>
            <w:vAlign w:val="center"/>
          </w:tcPr>
          <w:p>
            <w:pPr>
              <w:jc w:val="left"/>
            </w:pPr>
            <w:r>
              <w:rPr>
                <w:b w:val="false"/>
                <w:bCs w:val="false"/>
                <w:sz w:val="18"/>
                <w:szCs w:val="18"/>
              </w:rPr>
              <w:t xml:space="preserve">Period, Plant</w:t>
            </w:r>
          </w:p>
        </w:tc>
        <w:tc>
          <w:tcPr>
            <w:tcW w:type="dxa" w:w="900"/>
            <w:tcMar>
              <w:top w:type="dxa" w:w="60"/>
              <w:left w:type="dxa" w:w="100"/>
              <w:bottom w:type="dxa" w:w="60"/>
              <w:right w:type="dxa" w:w="100"/>
            </w:tcMar>
            <w:vAlign w:val="center"/>
          </w:tcPr>
          <w:p>
            <w:pPr>
              <w:jc w:val="left"/>
            </w:pPr>
            <w:r>
              <w:rPr>
                <w:b w:val="false"/>
                <w:bCs w:val="false"/>
                <w:sz w:val="18"/>
                <w:szCs w:val="18"/>
              </w:rPr>
              <w:t xml:space="preserve">CMA</w:t>
            </w:r>
          </w:p>
        </w:tc>
        <w:tc>
          <w:tcPr>
            <w:tcW w:type="dxa" w:w="2300"/>
            <w:tcMar>
              <w:top w:type="dxa" w:w="60"/>
              <w:left w:type="dxa" w:w="100"/>
              <w:bottom w:type="dxa" w:w="60"/>
              <w:right w:type="dxa" w:w="100"/>
            </w:tcMar>
            <w:vAlign w:val="center"/>
          </w:tcPr>
          <w:p>
            <w:pPr>
              <w:jc w:val="left"/>
            </w:pPr>
            <w:r>
              <w:rPr>
                <w:b w:val="false"/>
                <w:bCs w:val="false"/>
                <w:sz w:val="18"/>
                <w:szCs w:val="18"/>
              </w:rPr>
              <w:t xml:space="preserve">Costing Workbench</w:t>
            </w:r>
          </w:p>
        </w:tc>
      </w:tr>
      <w:tr>
        <w:tc>
          <w:tcPr>
            <w:tcW w:type="dxa" w:w="1700"/>
            <w:shd w:fill="F2F2F2" w:color="auto" w:val="clear"/>
            <w:tcMar>
              <w:top w:type="dxa" w:w="60"/>
              <w:left w:type="dxa" w:w="100"/>
              <w:bottom w:type="dxa" w:w="60"/>
              <w:right w:type="dxa" w:w="100"/>
            </w:tcMar>
            <w:vAlign w:val="center"/>
          </w:tcPr>
          <w:p>
            <w:pPr>
              <w:jc w:val="left"/>
            </w:pPr>
            <w:r>
              <w:rPr>
                <w:b w:val="false"/>
                <w:bCs w:val="false"/>
                <w:sz w:val="18"/>
                <w:szCs w:val="18"/>
              </w:rPr>
              <w:t xml:space="preserve">Exceptions</w:t>
            </w:r>
          </w:p>
        </w:tc>
        <w:tc>
          <w:tcPr>
            <w:tcW w:type="dxa" w:w="1700"/>
            <w:shd w:fill="F2F2F2" w:color="auto" w:val="clear"/>
            <w:tcMar>
              <w:top w:type="dxa" w:w="60"/>
              <w:left w:type="dxa" w:w="100"/>
              <w:bottom w:type="dxa" w:w="60"/>
              <w:right w:type="dxa" w:w="100"/>
            </w:tcMar>
            <w:vAlign w:val="center"/>
          </w:tcPr>
          <w:p>
            <w:pPr>
              <w:jc w:val="left"/>
            </w:pPr>
            <w:r>
              <w:rPr>
                <w:b w:val="false"/>
                <w:bCs w:val="false"/>
                <w:sz w:val="18"/>
                <w:szCs w:val="18"/>
              </w:rPr>
              <w:t xml:space="preserve">exceptions</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Count by severity, open vs resolved</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 Plant</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c>
          <w:tcPr>
            <w:tcW w:type="dxa" w:w="2300"/>
            <w:shd w:fill="F2F2F2" w:color="auto" w:val="clear"/>
            <w:tcMar>
              <w:top w:type="dxa" w:w="60"/>
              <w:left w:type="dxa" w:w="100"/>
              <w:bottom w:type="dxa" w:w="60"/>
              <w:right w:type="dxa" w:w="100"/>
            </w:tcMar>
            <w:vAlign w:val="center"/>
          </w:tcPr>
          <w:p>
            <w:pPr>
              <w:jc w:val="left"/>
            </w:pPr>
            <w:r>
              <w:rPr>
                <w:b w:val="false"/>
                <w:bCs w:val="false"/>
                <w:sz w:val="18"/>
                <w:szCs w:val="18"/>
              </w:rPr>
              <w:t xml:space="preserve">Audit Desk</w:t>
            </w:r>
          </w:p>
        </w:tc>
      </w:tr>
      <w:tr>
        <w:tc>
          <w:tcPr>
            <w:tcW w:type="dxa" w:w="1700"/>
            <w:tcMar>
              <w:top w:type="dxa" w:w="60"/>
              <w:left w:type="dxa" w:w="100"/>
              <w:bottom w:type="dxa" w:w="60"/>
              <w:right w:type="dxa" w:w="100"/>
            </w:tcMar>
            <w:vAlign w:val="center"/>
          </w:tcPr>
          <w:p>
            <w:pPr>
              <w:jc w:val="left"/>
            </w:pPr>
            <w:r>
              <w:rPr>
                <w:b w:val="false"/>
                <w:bCs w:val="false"/>
                <w:sz w:val="18"/>
                <w:szCs w:val="18"/>
              </w:rPr>
              <w:t xml:space="preserve">Period Close Readiness</w:t>
            </w:r>
          </w:p>
        </w:tc>
        <w:tc>
          <w:tcPr>
            <w:tcW w:type="dxa" w:w="1700"/>
            <w:tcMar>
              <w:top w:type="dxa" w:w="60"/>
              <w:left w:type="dxa" w:w="100"/>
              <w:bottom w:type="dxa" w:w="60"/>
              <w:right w:type="dxa" w:w="100"/>
            </w:tcMar>
            <w:vAlign w:val="center"/>
          </w:tcPr>
          <w:p>
            <w:pPr>
              <w:jc w:val="left"/>
            </w:pPr>
            <w:r>
              <w:rPr>
                <w:b w:val="false"/>
                <w:bCs w:val="false"/>
                <w:sz w:val="18"/>
                <w:szCs w:val="18"/>
              </w:rPr>
              <w:t xml:space="preserve">periods + lock preconditions (FR-AUD-002)</w:t>
            </w:r>
          </w:p>
        </w:tc>
        <w:tc>
          <w:tcPr>
            <w:tcW w:type="dxa" w:w="2000"/>
            <w:tcMar>
              <w:top w:type="dxa" w:w="60"/>
              <w:left w:type="dxa" w:w="100"/>
              <w:bottom w:type="dxa" w:w="60"/>
              <w:right w:type="dxa" w:w="100"/>
            </w:tcMar>
            <w:vAlign w:val="center"/>
          </w:tcPr>
          <w:p>
            <w:pPr>
              <w:jc w:val="left"/>
            </w:pPr>
            <w:r>
              <w:rPr>
                <w:b w:val="false"/>
                <w:bCs w:val="false"/>
                <w:sz w:val="18"/>
                <w:szCs w:val="18"/>
              </w:rPr>
              <w:t xml:space="preserve">Checklist: Validation / Reconciliation / Audit — pass/fail</w:t>
            </w:r>
          </w:p>
        </w:tc>
        <w:tc>
          <w:tcPr>
            <w:tcW w:type="dxa" w:w="1000"/>
            <w:tcMar>
              <w:top w:type="dxa" w:w="60"/>
              <w:left w:type="dxa" w:w="100"/>
              <w:bottom w:type="dxa" w:w="60"/>
              <w:right w:type="dxa" w:w="100"/>
            </w:tcMar>
            <w:vAlign w:val="center"/>
          </w:tcPr>
          <w:p>
            <w:pPr>
              <w:jc w:val="left"/>
            </w:pPr>
            <w:r>
              <w:rPr>
                <w:b w:val="false"/>
                <w:bCs w:val="false"/>
                <w:sz w:val="18"/>
                <w:szCs w:val="18"/>
              </w:rPr>
              <w:t xml:space="preserve">Period, Plant</w:t>
            </w:r>
          </w:p>
        </w:tc>
        <w:tc>
          <w:tcPr>
            <w:tcW w:type="dxa" w:w="900"/>
            <w:tcMar>
              <w:top w:type="dxa" w:w="60"/>
              <w:left w:type="dxa" w:w="100"/>
              <w:bottom w:type="dxa" w:w="60"/>
              <w:right w:type="dxa" w:w="100"/>
            </w:tcMar>
            <w:vAlign w:val="center"/>
          </w:tcPr>
          <w:p>
            <w:pPr>
              <w:jc w:val="left"/>
            </w:pPr>
            <w:r>
              <w:rPr>
                <w:b w:val="false"/>
                <w:bCs w:val="false"/>
                <w:sz w:val="18"/>
                <w:szCs w:val="18"/>
              </w:rPr>
              <w:t xml:space="preserve">CMA</w:t>
            </w:r>
          </w:p>
        </w:tc>
        <w:tc>
          <w:tcPr>
            <w:tcW w:type="dxa" w:w="2300"/>
            <w:tcMar>
              <w:top w:type="dxa" w:w="60"/>
              <w:left w:type="dxa" w:w="100"/>
              <w:bottom w:type="dxa" w:w="60"/>
              <w:right w:type="dxa" w:w="100"/>
            </w:tcMar>
            <w:vAlign w:val="center"/>
          </w:tcPr>
          <w:p>
            <w:pPr>
              <w:jc w:val="left"/>
            </w:pPr>
            <w:r>
              <w:rPr>
                <w:b w:val="false"/>
                <w:bCs w:val="false"/>
                <w:sz w:val="18"/>
                <w:szCs w:val="18"/>
              </w:rPr>
              <w:t xml:space="preserve">Period Close</w:t>
            </w:r>
          </w:p>
        </w:tc>
      </w:tr>
      <w:tr>
        <w:tc>
          <w:tcPr>
            <w:tcW w:type="dxa" w:w="1700"/>
            <w:shd w:fill="F2F2F2" w:color="auto" w:val="clear"/>
            <w:tcMar>
              <w:top w:type="dxa" w:w="60"/>
              <w:left w:type="dxa" w:w="100"/>
              <w:bottom w:type="dxa" w:w="60"/>
              <w:right w:type="dxa" w:w="100"/>
            </w:tcMar>
            <w:vAlign w:val="center"/>
          </w:tcPr>
          <w:p>
            <w:pPr>
              <w:jc w:val="left"/>
            </w:pPr>
            <w:r>
              <w:rPr>
                <w:b w:val="false"/>
                <w:bCs w:val="false"/>
                <w:sz w:val="18"/>
                <w:szCs w:val="18"/>
              </w:rPr>
              <w:t xml:space="preserve">AI Observations Awaiting Review</w:t>
            </w:r>
          </w:p>
        </w:tc>
        <w:tc>
          <w:tcPr>
            <w:tcW w:type="dxa" w:w="1700"/>
            <w:shd w:fill="F2F2F2" w:color="auto" w:val="clear"/>
            <w:tcMar>
              <w:top w:type="dxa" w:w="60"/>
              <w:left w:type="dxa" w:w="100"/>
              <w:bottom w:type="dxa" w:w="60"/>
              <w:right w:type="dxa" w:w="100"/>
            </w:tcMar>
            <w:vAlign w:val="center"/>
          </w:tcPr>
          <w:p>
            <w:pPr>
              <w:jc w:val="left"/>
            </w:pPr>
            <w:r>
              <w:rPr>
                <w:b w:val="false"/>
                <w:bCs w:val="false"/>
                <w:sz w:val="18"/>
                <w:szCs w:val="18"/>
              </w:rPr>
              <w:t xml:space="preserve">ai_observations where reviewed = false</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Count</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 Plant</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c>
          <w:tcPr>
            <w:tcW w:type="dxa" w:w="2300"/>
            <w:shd w:fill="F2F2F2" w:color="auto" w:val="clear"/>
            <w:tcMar>
              <w:top w:type="dxa" w:w="60"/>
              <w:left w:type="dxa" w:w="100"/>
              <w:bottom w:type="dxa" w:w="60"/>
              <w:right w:type="dxa" w:w="100"/>
            </w:tcMar>
            <w:vAlign w:val="center"/>
          </w:tcPr>
          <w:p>
            <w:pPr>
              <w:jc w:val="left"/>
            </w:pPr>
            <w:r>
              <w:rPr>
                <w:b w:val="false"/>
                <w:bCs w:val="false"/>
                <w:sz w:val="18"/>
                <w:szCs w:val="18"/>
              </w:rPr>
              <w:t xml:space="preserve">AI Insights</w:t>
            </w:r>
          </w:p>
        </w:tc>
      </w:tr>
      <w:tr>
        <w:tc>
          <w:tcPr>
            <w:tcW w:type="dxa" w:w="1700"/>
            <w:tcMar>
              <w:top w:type="dxa" w:w="60"/>
              <w:left w:type="dxa" w:w="100"/>
              <w:bottom w:type="dxa" w:w="60"/>
              <w:right w:type="dxa" w:w="100"/>
            </w:tcMar>
            <w:vAlign w:val="center"/>
          </w:tcPr>
          <w:p>
            <w:pPr>
              <w:jc w:val="left"/>
            </w:pPr>
            <w:r>
              <w:rPr>
                <w:b w:val="false"/>
                <w:bCs w:val="false"/>
                <w:sz w:val="18"/>
                <w:szCs w:val="18"/>
              </w:rPr>
              <w:t xml:space="preserve">Costing Integrity Score</w:t>
            </w:r>
          </w:p>
        </w:tc>
        <w:tc>
          <w:tcPr>
            <w:tcW w:type="dxa" w:w="1700"/>
            <w:tcMar>
              <w:top w:type="dxa" w:w="60"/>
              <w:left w:type="dxa" w:w="100"/>
              <w:bottom w:type="dxa" w:w="60"/>
              <w:right w:type="dxa" w:w="100"/>
            </w:tcMar>
            <w:vAlign w:val="center"/>
          </w:tcPr>
          <w:p>
            <w:pPr>
              <w:jc w:val="left"/>
            </w:pPr>
            <w:r>
              <w:rPr>
                <w:b w:val="false"/>
                <w:bCs w:val="false"/>
                <w:sz w:val="18"/>
                <w:szCs w:val="18"/>
              </w:rPr>
              <w:t xml:space="preserve">Composite — Proposed formula, TBC</w:t>
            </w:r>
          </w:p>
        </w:tc>
        <w:tc>
          <w:tcPr>
            <w:tcW w:type="dxa" w:w="2000"/>
            <w:tcMar>
              <w:top w:type="dxa" w:w="60"/>
              <w:left w:type="dxa" w:w="100"/>
              <w:bottom w:type="dxa" w:w="60"/>
              <w:right w:type="dxa" w:w="100"/>
            </w:tcMar>
            <w:vAlign w:val="center"/>
          </w:tcPr>
          <w:p>
            <w:pPr>
              <w:jc w:val="left"/>
            </w:pPr>
            <w:r>
              <w:rPr>
                <w:b w:val="false"/>
                <w:bCs w:val="false"/>
                <w:sz w:val="18"/>
                <w:szCs w:val="18"/>
              </w:rPr>
              <w:t xml:space="preserve">Weighted combination of data quality, reconciliation health, exception backlog</w:t>
            </w:r>
          </w:p>
        </w:tc>
        <w:tc>
          <w:tcPr>
            <w:tcW w:type="dxa" w:w="1000"/>
            <w:tcMar>
              <w:top w:type="dxa" w:w="60"/>
              <w:left w:type="dxa" w:w="100"/>
              <w:bottom w:type="dxa" w:w="60"/>
              <w:right w:type="dxa" w:w="100"/>
            </w:tcMar>
            <w:vAlign w:val="center"/>
          </w:tcPr>
          <w:p>
            <w:pPr>
              <w:jc w:val="left"/>
            </w:pPr>
            <w:r>
              <w:rPr>
                <w:b w:val="false"/>
                <w:bCs w:val="false"/>
                <w:sz w:val="18"/>
                <w:szCs w:val="18"/>
              </w:rPr>
              <w:t xml:space="preserve">Period, Plant</w:t>
            </w:r>
          </w:p>
        </w:tc>
        <w:tc>
          <w:tcPr>
            <w:tcW w:type="dxa" w:w="900"/>
            <w:tcMar>
              <w:top w:type="dxa" w:w="60"/>
              <w:left w:type="dxa" w:w="100"/>
              <w:bottom w:type="dxa" w:w="60"/>
              <w:right w:type="dxa" w:w="100"/>
            </w:tcMar>
            <w:vAlign w:val="center"/>
          </w:tcPr>
          <w:p>
            <w:pPr>
              <w:jc w:val="left"/>
            </w:pPr>
            <w:r>
              <w:rPr>
                <w:b w:val="false"/>
                <w:bCs w:val="false"/>
                <w:sz w:val="18"/>
                <w:szCs w:val="18"/>
              </w:rPr>
              <w:t xml:space="preserve">CMA</w:t>
            </w:r>
          </w:p>
        </w:tc>
        <w:tc>
          <w:tcPr>
            <w:tcW w:type="dxa" w:w="2300"/>
            <w:tcMar>
              <w:top w:type="dxa" w:w="60"/>
              <w:left w:type="dxa" w:w="100"/>
              <w:bottom w:type="dxa" w:w="60"/>
              <w:right w:type="dxa" w:w="100"/>
            </w:tcMar>
            <w:vAlign w:val="center"/>
          </w:tcPr>
          <w:p>
            <w:pPr>
              <w:jc w:val="left"/>
            </w:pPr>
            <w:r>
              <w:rPr>
                <w:b w:val="false"/>
                <w:bCs w:val="false"/>
                <w:sz w:val="18"/>
                <w:szCs w:val="18"/>
              </w:rPr>
              <w:t xml:space="preserve">Audit Desk / Data Quality</w:t>
            </w:r>
          </w:p>
        </w:tc>
      </w:tr>
    </w:tbl>
    <w:p>
      <w:pPr>
        <w:pStyle w:val="Heading2"/>
        <w:spacing w:after="160" w:before="320"/>
      </w:pPr>
      <w:r>
        <w:rPr>
          <w:b/>
          <w:bCs/>
        </w:rPr>
        <w:t xml:space="preserve">13.3 Product Dashboard</w:t>
      </w:r>
    </w:p>
    <w:tbl>
      <w:tblPr>
        <w:tblW w:type="dxa" w:w="9500"/>
        <w:tblBorders>
          <w:top w:val="single" w:color="BFBFBF" w:sz="2"/>
          <w:left w:val="single" w:color="BFBFBF" w:sz="2"/>
          <w:bottom w:val="single" w:color="BFBFBF" w:sz="2"/>
          <w:right w:val="single" w:color="BFBFBF" w:sz="2"/>
          <w:insideH w:val="single" w:color="D9D9D9" w:sz="2"/>
          <w:insideV w:val="single" w:color="D9D9D9" w:sz="2"/>
        </w:tblBorders>
      </w:tblPr>
      <w:tblGrid>
        <w:gridCol w:w="1900"/>
        <w:gridCol w:w="1700"/>
        <w:gridCol w:w="2200"/>
        <w:gridCol w:w="1000"/>
        <w:gridCol w:w="1100"/>
        <w:gridCol w:w="1600"/>
      </w:tblGrid>
      <w:tr>
        <w:trPr>
          <w:tblHeader/>
        </w:trPr>
        <w:tc>
          <w:tcPr>
            <w:tcW w:type="dxa" w:w="1900"/>
            <w:shd w:fill="1F3864" w:color="auto" w:val="clear"/>
            <w:tcMar>
              <w:top w:type="dxa" w:w="60"/>
              <w:left w:type="dxa" w:w="100"/>
              <w:bottom w:type="dxa" w:w="60"/>
              <w:right w:type="dxa" w:w="100"/>
            </w:tcMar>
            <w:vAlign w:val="center"/>
          </w:tcPr>
          <w:p>
            <w:pPr>
              <w:jc w:val="left"/>
            </w:pPr>
            <w:r>
              <w:rPr>
                <w:b/>
                <w:bCs/>
                <w:color w:val="FFFFFF"/>
                <w:sz w:val="18"/>
                <w:szCs w:val="18"/>
              </w:rPr>
              <w:t xml:space="preserve">Component</w:t>
            </w:r>
          </w:p>
        </w:tc>
        <w:tc>
          <w:tcPr>
            <w:tcW w:type="dxa" w:w="1700"/>
            <w:shd w:fill="1F3864" w:color="auto" w:val="clear"/>
            <w:tcMar>
              <w:top w:type="dxa" w:w="60"/>
              <w:left w:type="dxa" w:w="100"/>
              <w:bottom w:type="dxa" w:w="60"/>
              <w:right w:type="dxa" w:w="100"/>
            </w:tcMar>
            <w:vAlign w:val="center"/>
          </w:tcPr>
          <w:p>
            <w:pPr>
              <w:jc w:val="left"/>
            </w:pPr>
            <w:r>
              <w:rPr>
                <w:b/>
                <w:bCs/>
                <w:color w:val="FFFFFF"/>
                <w:sz w:val="18"/>
                <w:szCs w:val="18"/>
              </w:rPr>
              <w:t xml:space="preserve">Data Source</w:t>
            </w:r>
          </w:p>
        </w:tc>
        <w:tc>
          <w:tcPr>
            <w:tcW w:type="dxa" w:w="2200"/>
            <w:shd w:fill="1F3864" w:color="auto" w:val="clear"/>
            <w:tcMar>
              <w:top w:type="dxa" w:w="60"/>
              <w:left w:type="dxa" w:w="100"/>
              <w:bottom w:type="dxa" w:w="60"/>
              <w:right w:type="dxa" w:w="100"/>
            </w:tcMar>
            <w:vAlign w:val="center"/>
          </w:tcPr>
          <w:p>
            <w:pPr>
              <w:jc w:val="left"/>
            </w:pPr>
            <w:r>
              <w:rPr>
                <w:b/>
                <w:bCs/>
                <w:color w:val="FFFFFF"/>
                <w:sz w:val="18"/>
                <w:szCs w:val="18"/>
              </w:rPr>
              <w:t xml:space="preserve">Formula</w:t>
            </w:r>
          </w:p>
        </w:tc>
        <w:tc>
          <w:tcPr>
            <w:tcW w:type="dxa" w:w="1000"/>
            <w:shd w:fill="1F3864" w:color="auto" w:val="clear"/>
            <w:tcMar>
              <w:top w:type="dxa" w:w="60"/>
              <w:left w:type="dxa" w:w="100"/>
              <w:bottom w:type="dxa" w:w="60"/>
              <w:right w:type="dxa" w:w="100"/>
            </w:tcMar>
            <w:vAlign w:val="center"/>
          </w:tcPr>
          <w:p>
            <w:pPr>
              <w:jc w:val="left"/>
            </w:pPr>
            <w:r>
              <w:rPr>
                <w:b/>
                <w:bCs/>
                <w:color w:val="FFFFFF"/>
                <w:sz w:val="18"/>
                <w:szCs w:val="18"/>
              </w:rPr>
              <w:t xml:space="preserve">Filter</w:t>
            </w:r>
          </w:p>
        </w:tc>
        <w:tc>
          <w:tcPr>
            <w:tcW w:type="dxa" w:w="1100"/>
            <w:shd w:fill="1F3864" w:color="auto" w:val="clear"/>
            <w:tcMar>
              <w:top w:type="dxa" w:w="60"/>
              <w:left w:type="dxa" w:w="100"/>
              <w:bottom w:type="dxa" w:w="60"/>
              <w:right w:type="dxa" w:w="100"/>
            </w:tcMar>
            <w:vAlign w:val="center"/>
          </w:tcPr>
          <w:p>
            <w:pPr>
              <w:jc w:val="left"/>
            </w:pPr>
            <w:r>
              <w:rPr>
                <w:b/>
                <w:bCs/>
                <w:color w:val="FFFFFF"/>
                <w:sz w:val="18"/>
                <w:szCs w:val="18"/>
              </w:rPr>
              <w:t xml:space="preserve">Role</w:t>
            </w:r>
          </w:p>
        </w:tc>
        <w:tc>
          <w:tcPr>
            <w:tcW w:type="dxa" w:w="1600"/>
            <w:shd w:fill="1F3864" w:color="auto" w:val="clear"/>
            <w:tcMar>
              <w:top w:type="dxa" w:w="60"/>
              <w:left w:type="dxa" w:w="100"/>
              <w:bottom w:type="dxa" w:w="60"/>
              <w:right w:type="dxa" w:w="100"/>
            </w:tcMar>
            <w:vAlign w:val="center"/>
          </w:tcPr>
          <w:p>
            <w:pPr>
              <w:jc w:val="left"/>
            </w:pPr>
            <w:r>
              <w:rPr>
                <w:b/>
                <w:bCs/>
                <w:color w:val="FFFFFF"/>
                <w:sz w:val="18"/>
                <w:szCs w:val="18"/>
              </w:rPr>
              <w:t xml:space="preserve">Drill-down Target</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Current Cost (KPI card)</w:t>
            </w:r>
          </w:p>
        </w:tc>
        <w:tc>
          <w:tcPr>
            <w:tcW w:type="dxa" w:w="1700"/>
            <w:tcMar>
              <w:top w:type="dxa" w:w="60"/>
              <w:left w:type="dxa" w:w="100"/>
              <w:bottom w:type="dxa" w:w="60"/>
              <w:right w:type="dxa" w:w="100"/>
            </w:tcMar>
            <w:vAlign w:val="center"/>
          </w:tcPr>
          <w:p>
            <w:pPr>
              <w:jc w:val="left"/>
            </w:pPr>
            <w:r>
              <w:rPr>
                <w:b w:val="false"/>
                <w:bCs w:val="false"/>
                <w:sz w:val="18"/>
                <w:szCs w:val="18"/>
              </w:rPr>
              <w:t xml:space="preserve">costing_results (latest Actual)</w:t>
            </w:r>
          </w:p>
        </w:tc>
        <w:tc>
          <w:tcPr>
            <w:tcW w:type="dxa" w:w="2200"/>
            <w:tcMar>
              <w:top w:type="dxa" w:w="60"/>
              <w:left w:type="dxa" w:w="100"/>
              <w:bottom w:type="dxa" w:w="60"/>
              <w:right w:type="dxa" w:w="100"/>
            </w:tcMar>
            <w:vAlign w:val="center"/>
          </w:tcPr>
          <w:p>
            <w:pPr>
              <w:jc w:val="left"/>
            </w:pPr>
            <w:r>
              <w:rPr>
                <w:b w:val="false"/>
                <w:bCs w:val="false"/>
                <w:sz w:val="18"/>
                <w:szCs w:val="18"/>
              </w:rPr>
              <w:t xml:space="preserve">total_cost, latest processed period</w:t>
            </w:r>
          </w:p>
        </w:tc>
        <w:tc>
          <w:tcPr>
            <w:tcW w:type="dxa" w:w="1000"/>
            <w:tcMar>
              <w:top w:type="dxa" w:w="60"/>
              <w:left w:type="dxa" w:w="100"/>
              <w:bottom w:type="dxa" w:w="60"/>
              <w:right w:type="dxa" w:w="100"/>
            </w:tcMar>
            <w:vAlign w:val="center"/>
          </w:tcPr>
          <w:p>
            <w:pPr>
              <w:jc w:val="left"/>
            </w:pPr>
            <w:r>
              <w:rPr>
                <w:b w:val="false"/>
                <w:bCs w:val="false"/>
                <w:sz w:val="18"/>
                <w:szCs w:val="18"/>
              </w:rPr>
              <w:t xml:space="preserve">Product, Plant</w:t>
            </w:r>
          </w:p>
        </w:tc>
        <w:tc>
          <w:tcPr>
            <w:tcW w:type="dxa" w:w="1100"/>
            <w:tcMar>
              <w:top w:type="dxa" w:w="60"/>
              <w:left w:type="dxa" w:w="100"/>
              <w:bottom w:type="dxa" w:w="60"/>
              <w:right w:type="dxa" w:w="100"/>
            </w:tcMar>
            <w:vAlign w:val="center"/>
          </w:tcPr>
          <w:p>
            <w:pPr>
              <w:jc w:val="left"/>
            </w:pPr>
            <w:r>
              <w:rPr>
                <w:b w:val="false"/>
                <w:bCs w:val="false"/>
                <w:sz w:val="18"/>
                <w:szCs w:val="18"/>
              </w:rPr>
              <w:t xml:space="preserve">CMA, Management</w:t>
            </w:r>
          </w:p>
        </w:tc>
        <w:tc>
          <w:tcPr>
            <w:tcW w:type="dxa" w:w="1600"/>
            <w:tcMar>
              <w:top w:type="dxa" w:w="60"/>
              <w:left w:type="dxa" w:w="100"/>
              <w:bottom w:type="dxa" w:w="60"/>
              <w:right w:type="dxa" w:w="100"/>
            </w:tcMar>
            <w:vAlign w:val="center"/>
          </w:tcPr>
          <w:p>
            <w:pPr>
              <w:jc w:val="left"/>
            </w:pPr>
            <w:r>
              <w:rPr>
                <w:b w:val="false"/>
                <w:bCs w:val="false"/>
                <w:sz w:val="18"/>
                <w:szCs w:val="18"/>
              </w:rPr>
              <w:t xml:space="preserve">Product Cost Sheet</w:t>
            </w:r>
          </w:p>
        </w:tc>
      </w:tr>
      <w:tr>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Standard Cost (KPI card)</w:t>
            </w:r>
          </w:p>
        </w:tc>
        <w:tc>
          <w:tcPr>
            <w:tcW w:type="dxa" w:w="1700"/>
            <w:shd w:fill="F2F2F2" w:color="auto" w:val="clear"/>
            <w:tcMar>
              <w:top w:type="dxa" w:w="60"/>
              <w:left w:type="dxa" w:w="100"/>
              <w:bottom w:type="dxa" w:w="60"/>
              <w:right w:type="dxa" w:w="100"/>
            </w:tcMar>
            <w:vAlign w:val="center"/>
          </w:tcPr>
          <w:p>
            <w:pPr>
              <w:jc w:val="left"/>
            </w:pPr>
            <w:r>
              <w:rPr>
                <w:b w:val="false"/>
                <w:bCs w:val="false"/>
                <w:sz w:val="18"/>
                <w:szCs w:val="18"/>
              </w:rPr>
              <w:t xml:space="preserve">costing_results (Standard mode)</w:t>
            </w:r>
          </w:p>
        </w:tc>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total_cost, Standard mode</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Product, Period</w:t>
            </w:r>
          </w:p>
        </w:tc>
        <w:tc>
          <w:tcPr>
            <w:tcW w:type="dxa" w:w="1100"/>
            <w:shd w:fill="F2F2F2" w:color="auto" w:val="clear"/>
            <w:tcMar>
              <w:top w:type="dxa" w:w="60"/>
              <w:left w:type="dxa" w:w="100"/>
              <w:bottom w:type="dxa" w:w="60"/>
              <w:right w:type="dxa" w:w="100"/>
            </w:tcMar>
            <w:vAlign w:val="center"/>
          </w:tcPr>
          <w:p>
            <w:pPr>
              <w:jc w:val="left"/>
            </w:pPr>
            <w:r>
              <w:rPr>
                <w:b w:val="false"/>
                <w:bCs w:val="false"/>
                <w:sz w:val="18"/>
                <w:szCs w:val="18"/>
              </w:rPr>
              <w:t xml:space="preserve">CMA, Management</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Standard vs Actual report</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Previous Cost (KPI card)</w:t>
            </w:r>
          </w:p>
        </w:tc>
        <w:tc>
          <w:tcPr>
            <w:tcW w:type="dxa" w:w="1700"/>
            <w:tcMar>
              <w:top w:type="dxa" w:w="60"/>
              <w:left w:type="dxa" w:w="100"/>
              <w:bottom w:type="dxa" w:w="60"/>
              <w:right w:type="dxa" w:w="100"/>
            </w:tcMar>
            <w:vAlign w:val="center"/>
          </w:tcPr>
          <w:p>
            <w:pPr>
              <w:jc w:val="left"/>
            </w:pPr>
            <w:r>
              <w:rPr>
                <w:b w:val="false"/>
                <w:bCs w:val="false"/>
                <w:sz w:val="18"/>
                <w:szCs w:val="18"/>
              </w:rPr>
              <w:t xml:space="preserve">costing_results (prior period)</w:t>
            </w:r>
          </w:p>
        </w:tc>
        <w:tc>
          <w:tcPr>
            <w:tcW w:type="dxa" w:w="2200"/>
            <w:tcMar>
              <w:top w:type="dxa" w:w="60"/>
              <w:left w:type="dxa" w:w="100"/>
              <w:bottom w:type="dxa" w:w="60"/>
              <w:right w:type="dxa" w:w="100"/>
            </w:tcMar>
            <w:vAlign w:val="center"/>
          </w:tcPr>
          <w:p>
            <w:pPr>
              <w:jc w:val="left"/>
            </w:pPr>
            <w:r>
              <w:rPr>
                <w:b w:val="false"/>
                <w:bCs w:val="false"/>
                <w:sz w:val="18"/>
                <w:szCs w:val="18"/>
              </w:rPr>
              <w:t xml:space="preserve">total_cost, prior period</w:t>
            </w:r>
          </w:p>
        </w:tc>
        <w:tc>
          <w:tcPr>
            <w:tcW w:type="dxa" w:w="1000"/>
            <w:tcMar>
              <w:top w:type="dxa" w:w="60"/>
              <w:left w:type="dxa" w:w="100"/>
              <w:bottom w:type="dxa" w:w="60"/>
              <w:right w:type="dxa" w:w="100"/>
            </w:tcMar>
            <w:vAlign w:val="center"/>
          </w:tcPr>
          <w:p>
            <w:pPr>
              <w:jc w:val="left"/>
            </w:pPr>
            <w:r>
              <w:rPr>
                <w:b w:val="false"/>
                <w:bCs w:val="false"/>
                <w:sz w:val="18"/>
                <w:szCs w:val="18"/>
              </w:rPr>
              <w:t xml:space="preserve">Product, Plant</w:t>
            </w:r>
          </w:p>
        </w:tc>
        <w:tc>
          <w:tcPr>
            <w:tcW w:type="dxa" w:w="1100"/>
            <w:tcMar>
              <w:top w:type="dxa" w:w="60"/>
              <w:left w:type="dxa" w:w="100"/>
              <w:bottom w:type="dxa" w:w="60"/>
              <w:right w:type="dxa" w:w="100"/>
            </w:tcMar>
            <w:vAlign w:val="center"/>
          </w:tcPr>
          <w:p>
            <w:pPr>
              <w:jc w:val="left"/>
            </w:pPr>
            <w:r>
              <w:rPr>
                <w:b w:val="false"/>
                <w:bCs w:val="false"/>
                <w:sz w:val="18"/>
                <w:szCs w:val="18"/>
              </w:rPr>
              <w:t xml:space="preserve">CMA, Management</w:t>
            </w:r>
          </w:p>
        </w:tc>
        <w:tc>
          <w:tcPr>
            <w:tcW w:type="dxa" w:w="1600"/>
            <w:tcMar>
              <w:top w:type="dxa" w:w="60"/>
              <w:left w:type="dxa" w:w="100"/>
              <w:bottom w:type="dxa" w:w="60"/>
              <w:right w:type="dxa" w:w="100"/>
            </w:tcMar>
            <w:vAlign w:val="center"/>
          </w:tcPr>
          <w:p>
            <w:pPr>
              <w:jc w:val="left"/>
            </w:pPr>
            <w:r>
              <w:rPr>
                <w:b w:val="false"/>
                <w:bCs w:val="false"/>
                <w:sz w:val="18"/>
                <w:szCs w:val="18"/>
              </w:rPr>
              <w:t xml:space="preserve">Product Cost Comparison</w:t>
            </w:r>
          </w:p>
        </w:tc>
      </w:tr>
      <w:tr>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Material / Labour / Overhead Breakdown (stacked bar)</w:t>
            </w:r>
          </w:p>
        </w:tc>
        <w:tc>
          <w:tcPr>
            <w:tcW w:type="dxa" w:w="1700"/>
            <w:shd w:fill="F2F2F2" w:color="auto" w:val="clear"/>
            <w:tcMar>
              <w:top w:type="dxa" w:w="60"/>
              <w:left w:type="dxa" w:w="100"/>
              <w:bottom w:type="dxa" w:w="60"/>
              <w:right w:type="dxa" w:w="100"/>
            </w:tcMar>
            <w:vAlign w:val="center"/>
          </w:tcPr>
          <w:p>
            <w:pPr>
              <w:jc w:val="left"/>
            </w:pPr>
            <w:r>
              <w:rPr>
                <w:b w:val="false"/>
                <w:bCs w:val="false"/>
                <w:sz w:val="18"/>
                <w:szCs w:val="18"/>
              </w:rPr>
              <w:t xml:space="preserve">costing_results components</w:t>
            </w:r>
          </w:p>
        </w:tc>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material_cost, labour_cost, machine_cost, overhead_cost, other_direct_cost</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Product, Period</w:t>
            </w:r>
          </w:p>
        </w:tc>
        <w:tc>
          <w:tcPr>
            <w:tcW w:type="dxa" w:w="1100"/>
            <w:shd w:fill="F2F2F2" w:color="auto" w:val="clear"/>
            <w:tcMar>
              <w:top w:type="dxa" w:w="60"/>
              <w:left w:type="dxa" w:w="100"/>
              <w:bottom w:type="dxa" w:w="60"/>
              <w:right w:type="dxa" w:w="100"/>
            </w:tcMar>
            <w:vAlign w:val="center"/>
          </w:tcPr>
          <w:p>
            <w:pPr>
              <w:jc w:val="left"/>
            </w:pPr>
            <w:r>
              <w:rPr>
                <w:b w:val="false"/>
                <w:bCs w:val="false"/>
                <w:sz w:val="18"/>
                <w:szCs w:val="18"/>
              </w:rPr>
              <w:t xml:space="preserve">CMA, Management</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BOM Cost Roll-up report</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Variance (KPI + trend)</w:t>
            </w:r>
          </w:p>
        </w:tc>
        <w:tc>
          <w:tcPr>
            <w:tcW w:type="dxa" w:w="1700"/>
            <w:tcMar>
              <w:top w:type="dxa" w:w="60"/>
              <w:left w:type="dxa" w:w="100"/>
              <w:bottom w:type="dxa" w:w="60"/>
              <w:right w:type="dxa" w:w="100"/>
            </w:tcMar>
            <w:vAlign w:val="center"/>
          </w:tcPr>
          <w:p>
            <w:pPr>
              <w:jc w:val="left"/>
            </w:pPr>
            <w:r>
              <w:rPr>
                <w:b w:val="false"/>
                <w:bCs w:val="false"/>
                <w:sz w:val="18"/>
                <w:szCs w:val="18"/>
              </w:rPr>
              <w:t xml:space="preserve">variances</w:t>
            </w:r>
          </w:p>
        </w:tc>
        <w:tc>
          <w:tcPr>
            <w:tcW w:type="dxa" w:w="2200"/>
            <w:tcMar>
              <w:top w:type="dxa" w:w="60"/>
              <w:left w:type="dxa" w:w="100"/>
              <w:bottom w:type="dxa" w:w="60"/>
              <w:right w:type="dxa" w:w="100"/>
            </w:tcMar>
            <w:vAlign w:val="center"/>
          </w:tcPr>
          <w:p>
            <w:pPr>
              <w:jc w:val="left"/>
            </w:pPr>
            <w:r>
              <w:rPr>
                <w:b w:val="false"/>
                <w:bCs w:val="false"/>
                <w:sz w:val="18"/>
                <w:szCs w:val="18"/>
              </w:rPr>
              <w:t xml:space="preserve">Actual − Standard, by sub-category</w:t>
            </w:r>
          </w:p>
        </w:tc>
        <w:tc>
          <w:tcPr>
            <w:tcW w:type="dxa" w:w="1000"/>
            <w:tcMar>
              <w:top w:type="dxa" w:w="60"/>
              <w:left w:type="dxa" w:w="100"/>
              <w:bottom w:type="dxa" w:w="60"/>
              <w:right w:type="dxa" w:w="100"/>
            </w:tcMar>
            <w:vAlign w:val="center"/>
          </w:tcPr>
          <w:p>
            <w:pPr>
              <w:jc w:val="left"/>
            </w:pPr>
            <w:r>
              <w:rPr>
                <w:b w:val="false"/>
                <w:bCs w:val="false"/>
                <w:sz w:val="18"/>
                <w:szCs w:val="18"/>
              </w:rPr>
              <w:t xml:space="preserve">Product, Period</w:t>
            </w:r>
          </w:p>
        </w:tc>
        <w:tc>
          <w:tcPr>
            <w:tcW w:type="dxa" w:w="1100"/>
            <w:tcMar>
              <w:top w:type="dxa" w:w="60"/>
              <w:left w:type="dxa" w:w="100"/>
              <w:bottom w:type="dxa" w:w="60"/>
              <w:right w:type="dxa" w:w="100"/>
            </w:tcMar>
            <w:vAlign w:val="center"/>
          </w:tcPr>
          <w:p>
            <w:pPr>
              <w:jc w:val="left"/>
            </w:pPr>
            <w:r>
              <w:rPr>
                <w:b w:val="false"/>
                <w:bCs w:val="false"/>
                <w:sz w:val="18"/>
                <w:szCs w:val="18"/>
              </w:rPr>
              <w:t xml:space="preserve">CMA, Management</w:t>
            </w:r>
          </w:p>
        </w:tc>
        <w:tc>
          <w:tcPr>
            <w:tcW w:type="dxa" w:w="1600"/>
            <w:tcMar>
              <w:top w:type="dxa" w:w="60"/>
              <w:left w:type="dxa" w:w="100"/>
              <w:bottom w:type="dxa" w:w="60"/>
              <w:right w:type="dxa" w:w="100"/>
            </w:tcMar>
            <w:vAlign w:val="center"/>
          </w:tcPr>
          <w:p>
            <w:pPr>
              <w:jc w:val="left"/>
            </w:pPr>
            <w:r>
              <w:rPr>
                <w:b w:val="false"/>
                <w:bCs w:val="false"/>
                <w:sz w:val="18"/>
                <w:szCs w:val="18"/>
              </w:rPr>
              <w:t xml:space="preserve">Variance Analysis report</w:t>
            </w:r>
          </w:p>
        </w:tc>
      </w:tr>
      <w:tr>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BOM Summary</w:t>
            </w:r>
          </w:p>
        </w:tc>
        <w:tc>
          <w:tcPr>
            <w:tcW w:type="dxa" w:w="1700"/>
            <w:shd w:fill="F2F2F2" w:color="auto" w:val="clear"/>
            <w:tcMar>
              <w:top w:type="dxa" w:w="60"/>
              <w:left w:type="dxa" w:w="100"/>
              <w:bottom w:type="dxa" w:w="60"/>
              <w:right w:type="dxa" w:w="100"/>
            </w:tcMar>
            <w:vAlign w:val="center"/>
          </w:tcPr>
          <w:p>
            <w:pPr>
              <w:jc w:val="left"/>
            </w:pPr>
            <w:r>
              <w:rPr>
                <w:b w:val="false"/>
                <w:bCs w:val="false"/>
                <w:sz w:val="18"/>
                <w:szCs w:val="18"/>
              </w:rPr>
              <w:t xml:space="preserve">bom_header, bom_components</w:t>
            </w:r>
          </w:p>
        </w:tc>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Active BOM version, component count, last change date</w:t>
            </w:r>
          </w:p>
        </w:tc>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Product</w:t>
            </w:r>
          </w:p>
        </w:tc>
        <w:tc>
          <w:tcPr>
            <w:tcW w:type="dxa" w:w="110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BOM Master</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Cost Drivers (list)</w:t>
            </w:r>
          </w:p>
        </w:tc>
        <w:tc>
          <w:tcPr>
            <w:tcW w:type="dxa" w:w="1700"/>
            <w:tcMar>
              <w:top w:type="dxa" w:w="60"/>
              <w:left w:type="dxa" w:w="100"/>
              <w:bottom w:type="dxa" w:w="60"/>
              <w:right w:type="dxa" w:w="100"/>
            </w:tcMar>
            <w:vAlign w:val="center"/>
          </w:tcPr>
          <w:p>
            <w:pPr>
              <w:jc w:val="left"/>
            </w:pPr>
            <w:r>
              <w:rPr>
                <w:b w:val="false"/>
                <w:bCs w:val="false"/>
                <w:sz w:val="18"/>
                <w:szCs w:val="18"/>
              </w:rPr>
              <w:t xml:space="preserve">variances / cost_bridge_segments</w:t>
            </w:r>
          </w:p>
        </w:tc>
        <w:tc>
          <w:tcPr>
            <w:tcW w:type="dxa" w:w="2200"/>
            <w:tcMar>
              <w:top w:type="dxa" w:w="60"/>
              <w:left w:type="dxa" w:w="100"/>
              <w:bottom w:type="dxa" w:w="60"/>
              <w:right w:type="dxa" w:w="100"/>
            </w:tcMar>
            <w:vAlign w:val="center"/>
          </w:tcPr>
          <w:p>
            <w:pPr>
              <w:jc w:val="left"/>
            </w:pPr>
            <w:r>
              <w:rPr>
                <w:b w:val="false"/>
                <w:bCs w:val="false"/>
                <w:sz w:val="18"/>
                <w:szCs w:val="18"/>
              </w:rPr>
              <w:t xml:space="preserve">Top N sub-variances by absolute amount</w:t>
            </w:r>
          </w:p>
        </w:tc>
        <w:tc>
          <w:tcPr>
            <w:tcW w:type="dxa" w:w="1000"/>
            <w:tcMar>
              <w:top w:type="dxa" w:w="60"/>
              <w:left w:type="dxa" w:w="100"/>
              <w:bottom w:type="dxa" w:w="60"/>
              <w:right w:type="dxa" w:w="100"/>
            </w:tcMar>
            <w:vAlign w:val="center"/>
          </w:tcPr>
          <w:p>
            <w:pPr>
              <w:jc w:val="left"/>
            </w:pPr>
            <w:r>
              <w:rPr>
                <w:b w:val="false"/>
                <w:bCs w:val="false"/>
                <w:sz w:val="18"/>
                <w:szCs w:val="18"/>
              </w:rPr>
              <w:t xml:space="preserve">Product, Period</w:t>
            </w:r>
          </w:p>
        </w:tc>
        <w:tc>
          <w:tcPr>
            <w:tcW w:type="dxa" w:w="1100"/>
            <w:tcMar>
              <w:top w:type="dxa" w:w="60"/>
              <w:left w:type="dxa" w:w="100"/>
              <w:bottom w:type="dxa" w:w="60"/>
              <w:right w:type="dxa" w:w="100"/>
            </w:tcMar>
            <w:vAlign w:val="center"/>
          </w:tcPr>
          <w:p>
            <w:pPr>
              <w:jc w:val="left"/>
            </w:pPr>
            <w:r>
              <w:rPr>
                <w:b w:val="false"/>
                <w:bCs w:val="false"/>
                <w:sz w:val="18"/>
                <w:szCs w:val="18"/>
              </w:rPr>
              <w:t xml:space="preserve">CMA, Management</w:t>
            </w:r>
          </w:p>
        </w:tc>
        <w:tc>
          <w:tcPr>
            <w:tcW w:type="dxa" w:w="1600"/>
            <w:tcMar>
              <w:top w:type="dxa" w:w="60"/>
              <w:left w:type="dxa" w:w="100"/>
              <w:bottom w:type="dxa" w:w="60"/>
              <w:right w:type="dxa" w:w="100"/>
            </w:tcMar>
            <w:vAlign w:val="center"/>
          </w:tcPr>
          <w:p>
            <w:pPr>
              <w:jc w:val="left"/>
            </w:pPr>
            <w:r>
              <w:rPr>
                <w:b w:val="false"/>
                <w:bCs w:val="false"/>
                <w:sz w:val="18"/>
                <w:szCs w:val="18"/>
              </w:rPr>
              <w:t xml:space="preserve">Cost Bridge / Cost Investigation</w:t>
            </w:r>
          </w:p>
        </w:tc>
      </w:tr>
    </w:tbl>
    <w:p>
      <w:r>
        <w:br w:type="page"/>
      </w:r>
    </w:p>
    <w:p>
      <w:pPr>
        <w:pStyle w:val="Heading1"/>
        <w:spacing w:after="240" w:before="480"/>
      </w:pPr>
      <w:r>
        <w:rPr>
          <w:b/>
          <w:bCs/>
        </w:rPr>
        <w:t xml:space="preserve">14. Report Specification</w:t>
      </w:r>
    </w:p>
    <w:p>
      <w:pPr>
        <w:spacing w:after="160"/>
      </w:pPr>
      <w:r>
        <w:t xml:space="preserve">The catalogue below defines every report in the Reports menu (Section 9.10, Part 1). Common input filters across all reports (not repeated per row): Customer/Tenant (implicit from session), Company, Division, Plant, Warehouse, Period/Financial Year, Costing Version. Export formats for all reports: on-screen, CSV, PDF, Excel — Proposed / To Be Confirmed. Access control follows the RBAC Matrix (Section 4.7, Part 1): V,Ex on Reports for all roles, scoped by organisational assignment.</w:t>
      </w:r>
    </w:p>
    <w:tbl>
      <w:tblPr>
        <w:tblW w:type="dxa" w:w="11600"/>
        <w:tblBorders>
          <w:top w:val="single" w:color="BFBFBF" w:sz="2"/>
          <w:left w:val="single" w:color="BFBFBF" w:sz="2"/>
          <w:bottom w:val="single" w:color="BFBFBF" w:sz="2"/>
          <w:right w:val="single" w:color="BFBFBF" w:sz="2"/>
          <w:insideH w:val="single" w:color="D9D9D9" w:sz="2"/>
          <w:insideV w:val="single" w:color="D9D9D9" w:sz="2"/>
        </w:tblBorders>
      </w:tblPr>
      <w:tblGrid>
        <w:gridCol w:w="1000"/>
        <w:gridCol w:w="1900"/>
        <w:gridCol w:w="2400"/>
        <w:gridCol w:w="1900"/>
        <w:gridCol w:w="1900"/>
        <w:gridCol w:w="2500"/>
      </w:tblGrid>
      <w:tr>
        <w:trPr>
          <w:tblHeader/>
        </w:trPr>
        <w:tc>
          <w:tcPr>
            <w:tcW w:type="dxa" w:w="1000"/>
            <w:shd w:fill="1F3864" w:color="auto" w:val="clear"/>
            <w:tcMar>
              <w:top w:type="dxa" w:w="60"/>
              <w:left w:type="dxa" w:w="100"/>
              <w:bottom w:type="dxa" w:w="60"/>
              <w:right w:type="dxa" w:w="100"/>
            </w:tcMar>
            <w:vAlign w:val="center"/>
          </w:tcPr>
          <w:p>
            <w:pPr>
              <w:jc w:val="left"/>
            </w:pPr>
            <w:r>
              <w:rPr>
                <w:b/>
                <w:bCs/>
                <w:color w:val="FFFFFF"/>
                <w:sz w:val="18"/>
                <w:szCs w:val="18"/>
              </w:rPr>
              <w:t xml:space="preserve">Report ID</w:t>
            </w:r>
          </w:p>
        </w:tc>
        <w:tc>
          <w:tcPr>
            <w:tcW w:type="dxa" w:w="1900"/>
            <w:shd w:fill="1F3864" w:color="auto" w:val="clear"/>
            <w:tcMar>
              <w:top w:type="dxa" w:w="60"/>
              <w:left w:type="dxa" w:w="100"/>
              <w:bottom w:type="dxa" w:w="60"/>
              <w:right w:type="dxa" w:w="100"/>
            </w:tcMar>
            <w:vAlign w:val="center"/>
          </w:tcPr>
          <w:p>
            <w:pPr>
              <w:jc w:val="left"/>
            </w:pPr>
            <w:r>
              <w:rPr>
                <w:b/>
                <w:bCs/>
                <w:color w:val="FFFFFF"/>
                <w:sz w:val="18"/>
                <w:szCs w:val="18"/>
              </w:rPr>
              <w:t xml:space="preserve">Report Name</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Purpose</w:t>
            </w:r>
          </w:p>
        </w:tc>
        <w:tc>
          <w:tcPr>
            <w:tcW w:type="dxa" w:w="1900"/>
            <w:shd w:fill="1F3864" w:color="auto" w:val="clear"/>
            <w:tcMar>
              <w:top w:type="dxa" w:w="60"/>
              <w:left w:type="dxa" w:w="100"/>
              <w:bottom w:type="dxa" w:w="60"/>
              <w:right w:type="dxa" w:w="100"/>
            </w:tcMar>
            <w:vAlign w:val="center"/>
          </w:tcPr>
          <w:p>
            <w:pPr>
              <w:jc w:val="left"/>
            </w:pPr>
            <w:r>
              <w:rPr>
                <w:b/>
                <w:bCs/>
                <w:color w:val="FFFFFF"/>
                <w:sz w:val="18"/>
                <w:szCs w:val="18"/>
              </w:rPr>
              <w:t xml:space="preserve">Additional Filters</w:t>
            </w:r>
          </w:p>
        </w:tc>
        <w:tc>
          <w:tcPr>
            <w:tcW w:type="dxa" w:w="1900"/>
            <w:shd w:fill="1F3864" w:color="auto" w:val="clear"/>
            <w:tcMar>
              <w:top w:type="dxa" w:w="60"/>
              <w:left w:type="dxa" w:w="100"/>
              <w:bottom w:type="dxa" w:w="60"/>
              <w:right w:type="dxa" w:w="100"/>
            </w:tcMar>
            <w:vAlign w:val="center"/>
          </w:tcPr>
          <w:p>
            <w:pPr>
              <w:jc w:val="left"/>
            </w:pPr>
            <w:r>
              <w:rPr>
                <w:b/>
                <w:bCs/>
                <w:color w:val="FFFFFF"/>
                <w:sz w:val="18"/>
                <w:szCs w:val="18"/>
              </w:rPr>
              <w:t xml:space="preserve">Data Source</w:t>
            </w:r>
          </w:p>
        </w:tc>
        <w:tc>
          <w:tcPr>
            <w:tcW w:type="dxa" w:w="2500"/>
            <w:shd w:fill="1F3864" w:color="auto" w:val="clear"/>
            <w:tcMar>
              <w:top w:type="dxa" w:w="60"/>
              <w:left w:type="dxa" w:w="100"/>
              <w:bottom w:type="dxa" w:w="60"/>
              <w:right w:type="dxa" w:w="100"/>
            </w:tcMar>
            <w:vAlign w:val="center"/>
          </w:tcPr>
          <w:p>
            <w:pPr>
              <w:jc w:val="left"/>
            </w:pPr>
            <w:r>
              <w:rPr>
                <w:b/>
                <w:bCs/>
                <w:color w:val="FFFFFF"/>
                <w:sz w:val="18"/>
                <w:szCs w:val="18"/>
              </w:rPr>
              <w:t xml:space="preserve">Key Output Columns</w:t>
            </w:r>
          </w:p>
        </w:tc>
      </w:tr>
      <w:tr>
        <w:tc>
          <w:tcPr>
            <w:tcW w:type="dxa" w:w="1000"/>
            <w:tcMar>
              <w:top w:type="dxa" w:w="60"/>
              <w:left w:type="dxa" w:w="100"/>
              <w:bottom w:type="dxa" w:w="60"/>
              <w:right w:type="dxa" w:w="100"/>
            </w:tcMar>
            <w:vAlign w:val="center"/>
          </w:tcPr>
          <w:p>
            <w:pPr>
              <w:jc w:val="left"/>
            </w:pPr>
            <w:r>
              <w:rPr>
                <w:b w:val="false"/>
                <w:bCs w:val="false"/>
                <w:sz w:val="18"/>
                <w:szCs w:val="18"/>
              </w:rPr>
              <w:t xml:space="preserve">RPT-001</w:t>
            </w:r>
          </w:p>
        </w:tc>
        <w:tc>
          <w:tcPr>
            <w:tcW w:type="dxa" w:w="1900"/>
            <w:tcMar>
              <w:top w:type="dxa" w:w="60"/>
              <w:left w:type="dxa" w:w="100"/>
              <w:bottom w:type="dxa" w:w="60"/>
              <w:right w:type="dxa" w:w="100"/>
            </w:tcMar>
            <w:vAlign w:val="center"/>
          </w:tcPr>
          <w:p>
            <w:pPr>
              <w:jc w:val="left"/>
            </w:pPr>
            <w:r>
              <w:rPr>
                <w:b w:val="false"/>
                <w:bCs w:val="false"/>
                <w:sz w:val="18"/>
                <w:szCs w:val="18"/>
              </w:rPr>
              <w:t xml:space="preserve">Product Cost Sheet</w:t>
            </w:r>
          </w:p>
        </w:tc>
        <w:tc>
          <w:tcPr>
            <w:tcW w:type="dxa" w:w="2400"/>
            <w:tcMar>
              <w:top w:type="dxa" w:w="60"/>
              <w:left w:type="dxa" w:w="100"/>
              <w:bottom w:type="dxa" w:w="60"/>
              <w:right w:type="dxa" w:w="100"/>
            </w:tcMar>
            <w:vAlign w:val="center"/>
          </w:tcPr>
          <w:p>
            <w:pPr>
              <w:jc w:val="left"/>
            </w:pPr>
            <w:r>
              <w:rPr>
                <w:b w:val="false"/>
                <w:bCs w:val="false"/>
                <w:sz w:val="18"/>
                <w:szCs w:val="18"/>
              </w:rPr>
              <w:t xml:space="preserve">Full cost breakdown for one product/period.</w:t>
            </w:r>
          </w:p>
        </w:tc>
        <w:tc>
          <w:tcPr>
            <w:tcW w:type="dxa" w:w="1900"/>
            <w:tcMar>
              <w:top w:type="dxa" w:w="60"/>
              <w:left w:type="dxa" w:w="100"/>
              <w:bottom w:type="dxa" w:w="60"/>
              <w:right w:type="dxa" w:w="100"/>
            </w:tcMar>
            <w:vAlign w:val="center"/>
          </w:tcPr>
          <w:p>
            <w:pPr>
              <w:jc w:val="left"/>
            </w:pPr>
            <w:r>
              <w:rPr>
                <w:b w:val="false"/>
                <w:bCs w:val="false"/>
                <w:sz w:val="18"/>
                <w:szCs w:val="18"/>
              </w:rPr>
              <w:t xml:space="preserve">Product, Costing Version</w:t>
            </w:r>
          </w:p>
        </w:tc>
        <w:tc>
          <w:tcPr>
            <w:tcW w:type="dxa" w:w="1900"/>
            <w:tcMar>
              <w:top w:type="dxa" w:w="60"/>
              <w:left w:type="dxa" w:w="100"/>
              <w:bottom w:type="dxa" w:w="60"/>
              <w:right w:type="dxa" w:w="100"/>
            </w:tcMar>
            <w:vAlign w:val="center"/>
          </w:tcPr>
          <w:p>
            <w:pPr>
              <w:jc w:val="left"/>
            </w:pPr>
            <w:r>
              <w:rPr>
                <w:b w:val="false"/>
                <w:bCs w:val="false"/>
                <w:sz w:val="18"/>
                <w:szCs w:val="18"/>
              </w:rPr>
              <w:t xml:space="preserve">costing_results</w:t>
            </w:r>
          </w:p>
        </w:tc>
        <w:tc>
          <w:tcPr>
            <w:tcW w:type="dxa" w:w="2500"/>
            <w:tcMar>
              <w:top w:type="dxa" w:w="60"/>
              <w:left w:type="dxa" w:w="100"/>
              <w:bottom w:type="dxa" w:w="60"/>
              <w:right w:type="dxa" w:w="100"/>
            </w:tcMar>
            <w:vAlign w:val="center"/>
          </w:tcPr>
          <w:p>
            <w:pPr>
              <w:jc w:val="left"/>
            </w:pPr>
            <w:r>
              <w:rPr>
                <w:b w:val="false"/>
                <w:bCs w:val="false"/>
                <w:sz w:val="18"/>
                <w:szCs w:val="18"/>
              </w:rPr>
              <w:t xml:space="preserve">Component category, amount, % of total (see FR-RPT-001)</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RPT-002</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Product Cost Comparison</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Side-by-side cost across periods/versions.</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Product, 2+ Periods</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costing_results</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 component amounts, total, Δ vs prior</w:t>
            </w:r>
          </w:p>
        </w:tc>
      </w:tr>
      <w:tr>
        <w:tc>
          <w:tcPr>
            <w:tcW w:type="dxa" w:w="1000"/>
            <w:tcMar>
              <w:top w:type="dxa" w:w="60"/>
              <w:left w:type="dxa" w:w="100"/>
              <w:bottom w:type="dxa" w:w="60"/>
              <w:right w:type="dxa" w:w="100"/>
            </w:tcMar>
            <w:vAlign w:val="center"/>
          </w:tcPr>
          <w:p>
            <w:pPr>
              <w:jc w:val="left"/>
            </w:pPr>
            <w:r>
              <w:rPr>
                <w:b w:val="false"/>
                <w:bCs w:val="false"/>
                <w:sz w:val="18"/>
                <w:szCs w:val="18"/>
              </w:rPr>
              <w:t xml:space="preserve">RPT-003</w:t>
            </w:r>
          </w:p>
        </w:tc>
        <w:tc>
          <w:tcPr>
            <w:tcW w:type="dxa" w:w="1900"/>
            <w:tcMar>
              <w:top w:type="dxa" w:w="60"/>
              <w:left w:type="dxa" w:w="100"/>
              <w:bottom w:type="dxa" w:w="60"/>
              <w:right w:type="dxa" w:w="100"/>
            </w:tcMar>
            <w:vAlign w:val="center"/>
          </w:tcPr>
          <w:p>
            <w:pPr>
              <w:jc w:val="left"/>
            </w:pPr>
            <w:r>
              <w:rPr>
                <w:b w:val="false"/>
                <w:bCs w:val="false"/>
                <w:sz w:val="18"/>
                <w:szCs w:val="18"/>
              </w:rPr>
              <w:t xml:space="preserve">Inventory Valuation</w:t>
            </w:r>
          </w:p>
        </w:tc>
        <w:tc>
          <w:tcPr>
            <w:tcW w:type="dxa" w:w="2400"/>
            <w:tcMar>
              <w:top w:type="dxa" w:w="60"/>
              <w:left w:type="dxa" w:w="100"/>
              <w:bottom w:type="dxa" w:w="60"/>
              <w:right w:type="dxa" w:w="100"/>
            </w:tcMar>
            <w:vAlign w:val="center"/>
          </w:tcPr>
          <w:p>
            <w:pPr>
              <w:jc w:val="left"/>
            </w:pPr>
            <w:r>
              <w:rPr>
                <w:b w:val="false"/>
                <w:bCs w:val="false"/>
                <w:sz w:val="18"/>
                <w:szCs w:val="18"/>
              </w:rPr>
              <w:t xml:space="preserve">Period-end inventory value by item/warehouse.</w:t>
            </w:r>
          </w:p>
        </w:tc>
        <w:tc>
          <w:tcPr>
            <w:tcW w:type="dxa" w:w="1900"/>
            <w:tcMar>
              <w:top w:type="dxa" w:w="60"/>
              <w:left w:type="dxa" w:w="100"/>
              <w:bottom w:type="dxa" w:w="60"/>
              <w:right w:type="dxa" w:w="100"/>
            </w:tcMar>
            <w:vAlign w:val="center"/>
          </w:tcPr>
          <w:p>
            <w:pPr>
              <w:jc w:val="left"/>
            </w:pPr>
            <w:r>
              <w:rPr>
                <w:b w:val="false"/>
                <w:bCs w:val="false"/>
                <w:sz w:val="18"/>
                <w:szCs w:val="18"/>
              </w:rPr>
              <w:t xml:space="preserve">Item, Warehouse, Method</w:t>
            </w:r>
          </w:p>
        </w:tc>
        <w:tc>
          <w:tcPr>
            <w:tcW w:type="dxa" w:w="1900"/>
            <w:tcMar>
              <w:top w:type="dxa" w:w="60"/>
              <w:left w:type="dxa" w:w="100"/>
              <w:bottom w:type="dxa" w:w="60"/>
              <w:right w:type="dxa" w:w="100"/>
            </w:tcMar>
            <w:vAlign w:val="center"/>
          </w:tcPr>
          <w:p>
            <w:pPr>
              <w:jc w:val="left"/>
            </w:pPr>
            <w:r>
              <w:rPr>
                <w:b w:val="false"/>
                <w:bCs w:val="false"/>
                <w:sz w:val="18"/>
                <w:szCs w:val="18"/>
              </w:rPr>
              <w:t xml:space="preserve">inventory_valuation_results</w:t>
            </w:r>
          </w:p>
        </w:tc>
        <w:tc>
          <w:tcPr>
            <w:tcW w:type="dxa" w:w="2500"/>
            <w:tcMar>
              <w:top w:type="dxa" w:w="60"/>
              <w:left w:type="dxa" w:w="100"/>
              <w:bottom w:type="dxa" w:w="60"/>
              <w:right w:type="dxa" w:w="100"/>
            </w:tcMar>
            <w:vAlign w:val="center"/>
          </w:tcPr>
          <w:p>
            <w:pPr>
              <w:jc w:val="left"/>
            </w:pPr>
            <w:r>
              <w:rPr>
                <w:b w:val="false"/>
                <w:bCs w:val="false"/>
                <w:sz w:val="18"/>
                <w:szCs w:val="18"/>
              </w:rPr>
              <w:t xml:space="preserve">Item, opening/closing qty &amp; value, method</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RPT-004</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FIFO Valuation</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FIFO layer detail supporting RPT-003 for FIFO items.</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Item, Warehouse</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inventory_cost_layers</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Layer date, qty remaining, unit cost</w:t>
            </w:r>
          </w:p>
        </w:tc>
      </w:tr>
      <w:tr>
        <w:tc>
          <w:tcPr>
            <w:tcW w:type="dxa" w:w="1000"/>
            <w:tcMar>
              <w:top w:type="dxa" w:w="60"/>
              <w:left w:type="dxa" w:w="100"/>
              <w:bottom w:type="dxa" w:w="60"/>
              <w:right w:type="dxa" w:w="100"/>
            </w:tcMar>
            <w:vAlign w:val="center"/>
          </w:tcPr>
          <w:p>
            <w:pPr>
              <w:jc w:val="left"/>
            </w:pPr>
            <w:r>
              <w:rPr>
                <w:b w:val="false"/>
                <w:bCs w:val="false"/>
                <w:sz w:val="18"/>
                <w:szCs w:val="18"/>
              </w:rPr>
              <w:t xml:space="preserve">RPT-005</w:t>
            </w:r>
          </w:p>
        </w:tc>
        <w:tc>
          <w:tcPr>
            <w:tcW w:type="dxa" w:w="1900"/>
            <w:tcMar>
              <w:top w:type="dxa" w:w="60"/>
              <w:left w:type="dxa" w:w="100"/>
              <w:bottom w:type="dxa" w:w="60"/>
              <w:right w:type="dxa" w:w="100"/>
            </w:tcMar>
            <w:vAlign w:val="center"/>
          </w:tcPr>
          <w:p>
            <w:pPr>
              <w:jc w:val="left"/>
            </w:pPr>
            <w:r>
              <w:rPr>
                <w:b w:val="false"/>
                <w:bCs w:val="false"/>
                <w:sz w:val="18"/>
                <w:szCs w:val="18"/>
              </w:rPr>
              <w:t xml:space="preserve">Weighted Average Valuation</w:t>
            </w:r>
          </w:p>
        </w:tc>
        <w:tc>
          <w:tcPr>
            <w:tcW w:type="dxa" w:w="2400"/>
            <w:tcMar>
              <w:top w:type="dxa" w:w="60"/>
              <w:left w:type="dxa" w:w="100"/>
              <w:bottom w:type="dxa" w:w="60"/>
              <w:right w:type="dxa" w:w="100"/>
            </w:tcMar>
            <w:vAlign w:val="center"/>
          </w:tcPr>
          <w:p>
            <w:pPr>
              <w:jc w:val="left"/>
            </w:pPr>
            <w:r>
              <w:rPr>
                <w:b w:val="false"/>
                <w:bCs w:val="false"/>
                <w:sz w:val="18"/>
                <w:szCs w:val="18"/>
              </w:rPr>
              <w:t xml:space="preserve">WAC/MWAC detail supporting RPT-003.</w:t>
            </w:r>
          </w:p>
        </w:tc>
        <w:tc>
          <w:tcPr>
            <w:tcW w:type="dxa" w:w="1900"/>
            <w:tcMar>
              <w:top w:type="dxa" w:w="60"/>
              <w:left w:type="dxa" w:w="100"/>
              <w:bottom w:type="dxa" w:w="60"/>
              <w:right w:type="dxa" w:w="100"/>
            </w:tcMar>
            <w:vAlign w:val="center"/>
          </w:tcPr>
          <w:p>
            <w:pPr>
              <w:jc w:val="left"/>
            </w:pPr>
            <w:r>
              <w:rPr>
                <w:b w:val="false"/>
                <w:bCs w:val="false"/>
                <w:sz w:val="18"/>
                <w:szCs w:val="18"/>
              </w:rPr>
              <w:t xml:space="preserve">Item, Warehouse, Method</w:t>
            </w:r>
          </w:p>
        </w:tc>
        <w:tc>
          <w:tcPr>
            <w:tcW w:type="dxa" w:w="1900"/>
            <w:tcMar>
              <w:top w:type="dxa" w:w="60"/>
              <w:left w:type="dxa" w:w="100"/>
              <w:bottom w:type="dxa" w:w="60"/>
              <w:right w:type="dxa" w:w="100"/>
            </w:tcMar>
            <w:vAlign w:val="center"/>
          </w:tcPr>
          <w:p>
            <w:pPr>
              <w:jc w:val="left"/>
            </w:pPr>
            <w:r>
              <w:rPr>
                <w:b w:val="false"/>
                <w:bCs w:val="false"/>
                <w:sz w:val="18"/>
                <w:szCs w:val="18"/>
              </w:rPr>
              <w:t xml:space="preserve">inventory_valuation_results</w:t>
            </w:r>
          </w:p>
        </w:tc>
        <w:tc>
          <w:tcPr>
            <w:tcW w:type="dxa" w:w="2500"/>
            <w:tcMar>
              <w:top w:type="dxa" w:w="60"/>
              <w:left w:type="dxa" w:w="100"/>
              <w:bottom w:type="dxa" w:w="60"/>
              <w:right w:type="dxa" w:w="100"/>
            </w:tcMar>
            <w:vAlign w:val="center"/>
          </w:tcPr>
          <w:p>
            <w:pPr>
              <w:jc w:val="left"/>
            </w:pPr>
            <w:r>
              <w:rPr>
                <w:b w:val="false"/>
                <w:bCs w:val="false"/>
                <w:sz w:val="18"/>
                <w:szCs w:val="18"/>
              </w:rPr>
              <w:t xml:space="preserve">Period average rate, qty, value</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RPT-006</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BOM Cost Roll-up</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Multi-level BOM cost breakdown for a product.</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Product, BOM Version</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bom_header, bom_components, costing_results</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Level, component, qty-per, unit cost, extended cost</w:t>
            </w:r>
          </w:p>
        </w:tc>
      </w:tr>
      <w:tr>
        <w:tc>
          <w:tcPr>
            <w:tcW w:type="dxa" w:w="1000"/>
            <w:tcMar>
              <w:top w:type="dxa" w:w="60"/>
              <w:left w:type="dxa" w:w="100"/>
              <w:bottom w:type="dxa" w:w="60"/>
              <w:right w:type="dxa" w:w="100"/>
            </w:tcMar>
            <w:vAlign w:val="center"/>
          </w:tcPr>
          <w:p>
            <w:pPr>
              <w:jc w:val="left"/>
            </w:pPr>
            <w:r>
              <w:rPr>
                <w:b w:val="false"/>
                <w:bCs w:val="false"/>
                <w:sz w:val="18"/>
                <w:szCs w:val="18"/>
              </w:rPr>
              <w:t xml:space="preserve">RPT-007</w:t>
            </w:r>
          </w:p>
        </w:tc>
        <w:tc>
          <w:tcPr>
            <w:tcW w:type="dxa" w:w="1900"/>
            <w:tcMar>
              <w:top w:type="dxa" w:w="60"/>
              <w:left w:type="dxa" w:w="100"/>
              <w:bottom w:type="dxa" w:w="60"/>
              <w:right w:type="dxa" w:w="100"/>
            </w:tcMar>
            <w:vAlign w:val="center"/>
          </w:tcPr>
          <w:p>
            <w:pPr>
              <w:jc w:val="left"/>
            </w:pPr>
            <w:r>
              <w:rPr>
                <w:b w:val="false"/>
                <w:bCs w:val="false"/>
                <w:sz w:val="18"/>
                <w:szCs w:val="18"/>
              </w:rPr>
              <w:t xml:space="preserve">Standard vs Actual</w:t>
            </w:r>
          </w:p>
        </w:tc>
        <w:tc>
          <w:tcPr>
            <w:tcW w:type="dxa" w:w="2400"/>
            <w:tcMar>
              <w:top w:type="dxa" w:w="60"/>
              <w:left w:type="dxa" w:w="100"/>
              <w:bottom w:type="dxa" w:w="60"/>
              <w:right w:type="dxa" w:w="100"/>
            </w:tcMar>
            <w:vAlign w:val="center"/>
          </w:tcPr>
          <w:p>
            <w:pPr>
              <w:jc w:val="left"/>
            </w:pPr>
            <w:r>
              <w:rPr>
                <w:b w:val="false"/>
                <w:bCs w:val="false"/>
                <w:sz w:val="18"/>
                <w:szCs w:val="18"/>
              </w:rPr>
              <w:t xml:space="preserve">Standard vs Actual cost and variance by product.</w:t>
            </w:r>
          </w:p>
        </w:tc>
        <w:tc>
          <w:tcPr>
            <w:tcW w:type="dxa" w:w="1900"/>
            <w:tcMar>
              <w:top w:type="dxa" w:w="60"/>
              <w:left w:type="dxa" w:w="100"/>
              <w:bottom w:type="dxa" w:w="60"/>
              <w:right w:type="dxa" w:w="100"/>
            </w:tcMar>
            <w:vAlign w:val="center"/>
          </w:tcPr>
          <w:p>
            <w:pPr>
              <w:jc w:val="left"/>
            </w:pPr>
            <w:r>
              <w:rPr>
                <w:b w:val="false"/>
                <w:bCs w:val="false"/>
                <w:sz w:val="18"/>
                <w:szCs w:val="18"/>
              </w:rPr>
              <w:t xml:space="preserve">Product(s), Period</w:t>
            </w:r>
          </w:p>
        </w:tc>
        <w:tc>
          <w:tcPr>
            <w:tcW w:type="dxa" w:w="1900"/>
            <w:tcMar>
              <w:top w:type="dxa" w:w="60"/>
              <w:left w:type="dxa" w:w="100"/>
              <w:bottom w:type="dxa" w:w="60"/>
              <w:right w:type="dxa" w:w="100"/>
            </w:tcMar>
            <w:vAlign w:val="center"/>
          </w:tcPr>
          <w:p>
            <w:pPr>
              <w:jc w:val="left"/>
            </w:pPr>
            <w:r>
              <w:rPr>
                <w:b w:val="false"/>
                <w:bCs w:val="false"/>
                <w:sz w:val="18"/>
                <w:szCs w:val="18"/>
              </w:rPr>
              <w:t xml:space="preserve">costing_results (both modes)</w:t>
            </w:r>
          </w:p>
        </w:tc>
        <w:tc>
          <w:tcPr>
            <w:tcW w:type="dxa" w:w="2500"/>
            <w:tcMar>
              <w:top w:type="dxa" w:w="60"/>
              <w:left w:type="dxa" w:w="100"/>
              <w:bottom w:type="dxa" w:w="60"/>
              <w:right w:type="dxa" w:w="100"/>
            </w:tcMar>
            <w:vAlign w:val="center"/>
          </w:tcPr>
          <w:p>
            <w:pPr>
              <w:jc w:val="left"/>
            </w:pPr>
            <w:r>
              <w:rPr>
                <w:b w:val="false"/>
                <w:bCs w:val="false"/>
                <w:sz w:val="18"/>
                <w:szCs w:val="18"/>
              </w:rPr>
              <w:t xml:space="preserve">Standard cost, Actual cost, Variance, Variance %</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RPT-008</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Material Consumption</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Actual material usage vs BOM-standard usage.</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Product, Item, Period</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inventory_transactions, bom_components</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Item, standard qty, actual qty, usage variance</w:t>
            </w:r>
          </w:p>
        </w:tc>
      </w:tr>
      <w:tr>
        <w:tc>
          <w:tcPr>
            <w:tcW w:type="dxa" w:w="1000"/>
            <w:tcMar>
              <w:top w:type="dxa" w:w="60"/>
              <w:left w:type="dxa" w:w="100"/>
              <w:bottom w:type="dxa" w:w="60"/>
              <w:right w:type="dxa" w:w="100"/>
            </w:tcMar>
            <w:vAlign w:val="center"/>
          </w:tcPr>
          <w:p>
            <w:pPr>
              <w:jc w:val="left"/>
            </w:pPr>
            <w:r>
              <w:rPr>
                <w:b w:val="false"/>
                <w:bCs w:val="false"/>
                <w:sz w:val="18"/>
                <w:szCs w:val="18"/>
              </w:rPr>
              <w:t xml:space="preserve">RPT-009</w:t>
            </w:r>
          </w:p>
        </w:tc>
        <w:tc>
          <w:tcPr>
            <w:tcW w:type="dxa" w:w="1900"/>
            <w:tcMar>
              <w:top w:type="dxa" w:w="60"/>
              <w:left w:type="dxa" w:w="100"/>
              <w:bottom w:type="dxa" w:w="60"/>
              <w:right w:type="dxa" w:w="100"/>
            </w:tcMar>
            <w:vAlign w:val="center"/>
          </w:tcPr>
          <w:p>
            <w:pPr>
              <w:jc w:val="left"/>
            </w:pPr>
            <w:r>
              <w:rPr>
                <w:b w:val="false"/>
                <w:bCs w:val="false"/>
                <w:sz w:val="18"/>
                <w:szCs w:val="18"/>
              </w:rPr>
              <w:t xml:space="preserve">Yield Analysis</w:t>
            </w:r>
          </w:p>
        </w:tc>
        <w:tc>
          <w:tcPr>
            <w:tcW w:type="dxa" w:w="2400"/>
            <w:tcMar>
              <w:top w:type="dxa" w:w="60"/>
              <w:left w:type="dxa" w:w="100"/>
              <w:bottom w:type="dxa" w:w="60"/>
              <w:right w:type="dxa" w:w="100"/>
            </w:tcMar>
            <w:vAlign w:val="center"/>
          </w:tcPr>
          <w:p>
            <w:pPr>
              <w:jc w:val="left"/>
            </w:pPr>
            <w:r>
              <w:rPr>
                <w:b w:val="false"/>
                <w:bCs w:val="false"/>
                <w:sz w:val="18"/>
                <w:szCs w:val="18"/>
              </w:rPr>
              <w:t xml:space="preserve">Actual output yield vs expected yield.</w:t>
            </w:r>
          </w:p>
        </w:tc>
        <w:tc>
          <w:tcPr>
            <w:tcW w:type="dxa" w:w="1900"/>
            <w:tcMar>
              <w:top w:type="dxa" w:w="60"/>
              <w:left w:type="dxa" w:w="100"/>
              <w:bottom w:type="dxa" w:w="60"/>
              <w:right w:type="dxa" w:w="100"/>
            </w:tcMar>
            <w:vAlign w:val="center"/>
          </w:tcPr>
          <w:p>
            <w:pPr>
              <w:jc w:val="left"/>
            </w:pPr>
            <w:r>
              <w:rPr>
                <w:b w:val="false"/>
                <w:bCs w:val="false"/>
                <w:sz w:val="18"/>
                <w:szCs w:val="18"/>
              </w:rPr>
              <w:t xml:space="preserve">Product, Plant, Period</w:t>
            </w:r>
          </w:p>
        </w:tc>
        <w:tc>
          <w:tcPr>
            <w:tcW w:type="dxa" w:w="1900"/>
            <w:tcMar>
              <w:top w:type="dxa" w:w="60"/>
              <w:left w:type="dxa" w:w="100"/>
              <w:bottom w:type="dxa" w:w="60"/>
              <w:right w:type="dxa" w:w="100"/>
            </w:tcMar>
            <w:vAlign w:val="center"/>
          </w:tcPr>
          <w:p>
            <w:pPr>
              <w:jc w:val="left"/>
            </w:pPr>
            <w:r>
              <w:rPr>
                <w:b w:val="false"/>
                <w:bCs w:val="false"/>
                <w:sz w:val="18"/>
                <w:szCs w:val="18"/>
              </w:rPr>
              <w:t xml:space="preserve">production_transactions, bom_header</w:t>
            </w:r>
          </w:p>
        </w:tc>
        <w:tc>
          <w:tcPr>
            <w:tcW w:type="dxa" w:w="2500"/>
            <w:tcMar>
              <w:top w:type="dxa" w:w="60"/>
              <w:left w:type="dxa" w:w="100"/>
              <w:bottom w:type="dxa" w:w="60"/>
              <w:right w:type="dxa" w:w="100"/>
            </w:tcMar>
            <w:vAlign w:val="center"/>
          </w:tcPr>
          <w:p>
            <w:pPr>
              <w:jc w:val="left"/>
            </w:pPr>
            <w:r>
              <w:rPr>
                <w:b w:val="false"/>
                <w:bCs w:val="false"/>
                <w:sz w:val="18"/>
                <w:szCs w:val="18"/>
              </w:rPr>
              <w:t xml:space="preserve">Expected output, actual output, yield %, yield variance</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RPT-010</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Cost Bridge</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Waterfall from Standard to Actual cost.</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Product, Period</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cost_bridge_segments</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Segment name, amount, running total</w:t>
            </w:r>
          </w:p>
        </w:tc>
      </w:tr>
      <w:tr>
        <w:tc>
          <w:tcPr>
            <w:tcW w:type="dxa" w:w="1000"/>
            <w:tcMar>
              <w:top w:type="dxa" w:w="60"/>
              <w:left w:type="dxa" w:w="100"/>
              <w:bottom w:type="dxa" w:w="60"/>
              <w:right w:type="dxa" w:w="100"/>
            </w:tcMar>
            <w:vAlign w:val="center"/>
          </w:tcPr>
          <w:p>
            <w:pPr>
              <w:jc w:val="left"/>
            </w:pPr>
            <w:r>
              <w:rPr>
                <w:b w:val="false"/>
                <w:bCs w:val="false"/>
                <w:sz w:val="18"/>
                <w:szCs w:val="18"/>
              </w:rPr>
              <w:t xml:space="preserve">RPT-011</w:t>
            </w:r>
          </w:p>
        </w:tc>
        <w:tc>
          <w:tcPr>
            <w:tcW w:type="dxa" w:w="1900"/>
            <w:tcMar>
              <w:top w:type="dxa" w:w="60"/>
              <w:left w:type="dxa" w:w="100"/>
              <w:bottom w:type="dxa" w:w="60"/>
              <w:right w:type="dxa" w:w="100"/>
            </w:tcMar>
            <w:vAlign w:val="center"/>
          </w:tcPr>
          <w:p>
            <w:pPr>
              <w:jc w:val="left"/>
            </w:pPr>
            <w:r>
              <w:rPr>
                <w:b w:val="false"/>
                <w:bCs w:val="false"/>
                <w:sz w:val="18"/>
                <w:szCs w:val="18"/>
              </w:rPr>
              <w:t xml:space="preserve">Variance Analysis</w:t>
            </w:r>
          </w:p>
        </w:tc>
        <w:tc>
          <w:tcPr>
            <w:tcW w:type="dxa" w:w="2400"/>
            <w:tcMar>
              <w:top w:type="dxa" w:w="60"/>
              <w:left w:type="dxa" w:w="100"/>
              <w:bottom w:type="dxa" w:w="60"/>
              <w:right w:type="dxa" w:w="100"/>
            </w:tcMar>
            <w:vAlign w:val="center"/>
          </w:tcPr>
          <w:p>
            <w:pPr>
              <w:jc w:val="left"/>
            </w:pPr>
            <w:r>
              <w:rPr>
                <w:b w:val="false"/>
                <w:bCs w:val="false"/>
                <w:sz w:val="18"/>
                <w:szCs w:val="18"/>
              </w:rPr>
              <w:t xml:space="preserve">Full sub-variance decomposition.</w:t>
            </w:r>
          </w:p>
        </w:tc>
        <w:tc>
          <w:tcPr>
            <w:tcW w:type="dxa" w:w="1900"/>
            <w:tcMar>
              <w:top w:type="dxa" w:w="60"/>
              <w:left w:type="dxa" w:w="100"/>
              <w:bottom w:type="dxa" w:w="60"/>
              <w:right w:type="dxa" w:w="100"/>
            </w:tcMar>
            <w:vAlign w:val="center"/>
          </w:tcPr>
          <w:p>
            <w:pPr>
              <w:jc w:val="left"/>
            </w:pPr>
            <w:r>
              <w:rPr>
                <w:b w:val="false"/>
                <w:bCs w:val="false"/>
                <w:sz w:val="18"/>
                <w:szCs w:val="18"/>
              </w:rPr>
              <w:t xml:space="preserve">Product, Period, Variance category</w:t>
            </w:r>
          </w:p>
        </w:tc>
        <w:tc>
          <w:tcPr>
            <w:tcW w:type="dxa" w:w="1900"/>
            <w:tcMar>
              <w:top w:type="dxa" w:w="60"/>
              <w:left w:type="dxa" w:w="100"/>
              <w:bottom w:type="dxa" w:w="60"/>
              <w:right w:type="dxa" w:w="100"/>
            </w:tcMar>
            <w:vAlign w:val="center"/>
          </w:tcPr>
          <w:p>
            <w:pPr>
              <w:jc w:val="left"/>
            </w:pPr>
            <w:r>
              <w:rPr>
                <w:b w:val="false"/>
                <w:bCs w:val="false"/>
                <w:sz w:val="18"/>
                <w:szCs w:val="18"/>
              </w:rPr>
              <w:t xml:space="preserve">variances</w:t>
            </w:r>
          </w:p>
        </w:tc>
        <w:tc>
          <w:tcPr>
            <w:tcW w:type="dxa" w:w="2500"/>
            <w:tcMar>
              <w:top w:type="dxa" w:w="60"/>
              <w:left w:type="dxa" w:w="100"/>
              <w:bottom w:type="dxa" w:w="60"/>
              <w:right w:type="dxa" w:w="100"/>
            </w:tcMar>
            <w:vAlign w:val="center"/>
          </w:tcPr>
          <w:p>
            <w:pPr>
              <w:jc w:val="left"/>
            </w:pPr>
            <w:r>
              <w:rPr>
                <w:b w:val="false"/>
                <w:bCs w:val="false"/>
                <w:sz w:val="18"/>
                <w:szCs w:val="18"/>
              </w:rPr>
              <w:t xml:space="preserve">Category, sub-category, amount, root-cause link</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RPT-012</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Plant Cost</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Total cost aggregated by plant.</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Plant(s), Period</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costing_results</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Plant, total cost, cost per unit, trend</w:t>
            </w:r>
          </w:p>
        </w:tc>
      </w:tr>
      <w:tr>
        <w:tc>
          <w:tcPr>
            <w:tcW w:type="dxa" w:w="1000"/>
            <w:tcMar>
              <w:top w:type="dxa" w:w="60"/>
              <w:left w:type="dxa" w:w="100"/>
              <w:bottom w:type="dxa" w:w="60"/>
              <w:right w:type="dxa" w:w="100"/>
            </w:tcMar>
            <w:vAlign w:val="center"/>
          </w:tcPr>
          <w:p>
            <w:pPr>
              <w:jc w:val="left"/>
            </w:pPr>
            <w:r>
              <w:rPr>
                <w:b w:val="false"/>
                <w:bCs w:val="false"/>
                <w:sz w:val="18"/>
                <w:szCs w:val="18"/>
              </w:rPr>
              <w:t xml:space="preserve">RPT-013</w:t>
            </w:r>
          </w:p>
        </w:tc>
        <w:tc>
          <w:tcPr>
            <w:tcW w:type="dxa" w:w="1900"/>
            <w:tcMar>
              <w:top w:type="dxa" w:w="60"/>
              <w:left w:type="dxa" w:w="100"/>
              <w:bottom w:type="dxa" w:w="60"/>
              <w:right w:type="dxa" w:w="100"/>
            </w:tcMar>
            <w:vAlign w:val="center"/>
          </w:tcPr>
          <w:p>
            <w:pPr>
              <w:jc w:val="left"/>
            </w:pPr>
            <w:r>
              <w:rPr>
                <w:b w:val="false"/>
                <w:bCs w:val="false"/>
                <w:sz w:val="18"/>
                <w:szCs w:val="18"/>
              </w:rPr>
              <w:t xml:space="preserve">Company Cost</w:t>
            </w:r>
          </w:p>
        </w:tc>
        <w:tc>
          <w:tcPr>
            <w:tcW w:type="dxa" w:w="2400"/>
            <w:tcMar>
              <w:top w:type="dxa" w:w="60"/>
              <w:left w:type="dxa" w:w="100"/>
              <w:bottom w:type="dxa" w:w="60"/>
              <w:right w:type="dxa" w:w="100"/>
            </w:tcMar>
            <w:vAlign w:val="center"/>
          </w:tcPr>
          <w:p>
            <w:pPr>
              <w:jc w:val="left"/>
            </w:pPr>
            <w:r>
              <w:rPr>
                <w:b w:val="false"/>
                <w:bCs w:val="false"/>
                <w:sz w:val="18"/>
                <w:szCs w:val="18"/>
              </w:rPr>
              <w:t xml:space="preserve">Total cost aggregated by company.</w:t>
            </w:r>
          </w:p>
        </w:tc>
        <w:tc>
          <w:tcPr>
            <w:tcW w:type="dxa" w:w="1900"/>
            <w:tcMar>
              <w:top w:type="dxa" w:w="60"/>
              <w:left w:type="dxa" w:w="100"/>
              <w:bottom w:type="dxa" w:w="60"/>
              <w:right w:type="dxa" w:w="100"/>
            </w:tcMar>
            <w:vAlign w:val="center"/>
          </w:tcPr>
          <w:p>
            <w:pPr>
              <w:jc w:val="left"/>
            </w:pPr>
            <w:r>
              <w:rPr>
                <w:b w:val="false"/>
                <w:bCs w:val="false"/>
                <w:sz w:val="18"/>
                <w:szCs w:val="18"/>
              </w:rPr>
              <w:t xml:space="preserve">Company, Period</w:t>
            </w:r>
          </w:p>
        </w:tc>
        <w:tc>
          <w:tcPr>
            <w:tcW w:type="dxa" w:w="1900"/>
            <w:tcMar>
              <w:top w:type="dxa" w:w="60"/>
              <w:left w:type="dxa" w:w="100"/>
              <w:bottom w:type="dxa" w:w="60"/>
              <w:right w:type="dxa" w:w="100"/>
            </w:tcMar>
            <w:vAlign w:val="center"/>
          </w:tcPr>
          <w:p>
            <w:pPr>
              <w:jc w:val="left"/>
            </w:pPr>
            <w:r>
              <w:rPr>
                <w:b w:val="false"/>
                <w:bCs w:val="false"/>
                <w:sz w:val="18"/>
                <w:szCs w:val="18"/>
              </w:rPr>
              <w:t xml:space="preserve">costing_results</w:t>
            </w:r>
          </w:p>
        </w:tc>
        <w:tc>
          <w:tcPr>
            <w:tcW w:type="dxa" w:w="2500"/>
            <w:tcMar>
              <w:top w:type="dxa" w:w="60"/>
              <w:left w:type="dxa" w:w="100"/>
              <w:bottom w:type="dxa" w:w="60"/>
              <w:right w:type="dxa" w:w="100"/>
            </w:tcMar>
            <w:vAlign w:val="center"/>
          </w:tcPr>
          <w:p>
            <w:pPr>
              <w:jc w:val="left"/>
            </w:pPr>
            <w:r>
              <w:rPr>
                <w:b w:val="false"/>
                <w:bCs w:val="false"/>
                <w:sz w:val="18"/>
                <w:szCs w:val="18"/>
              </w:rPr>
              <w:t xml:space="preserve">Company, total cost, plant breakdown</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RPT-014</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Cost Centre Report (Phase 2)</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Cost by cost centre.</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Cost Centre, Period</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overhead_allocations, cost_centres</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Cost centre, allocated cost, driver basis</w:t>
            </w:r>
          </w:p>
        </w:tc>
      </w:tr>
      <w:tr>
        <w:tc>
          <w:tcPr>
            <w:tcW w:type="dxa" w:w="1000"/>
            <w:tcMar>
              <w:top w:type="dxa" w:w="60"/>
              <w:left w:type="dxa" w:w="100"/>
              <w:bottom w:type="dxa" w:w="60"/>
              <w:right w:type="dxa" w:w="100"/>
            </w:tcMar>
            <w:vAlign w:val="center"/>
          </w:tcPr>
          <w:p>
            <w:pPr>
              <w:jc w:val="left"/>
            </w:pPr>
            <w:r>
              <w:rPr>
                <w:b w:val="false"/>
                <w:bCs w:val="false"/>
                <w:sz w:val="18"/>
                <w:szCs w:val="18"/>
              </w:rPr>
              <w:t xml:space="preserve">RPT-015</w:t>
            </w:r>
          </w:p>
        </w:tc>
        <w:tc>
          <w:tcPr>
            <w:tcW w:type="dxa" w:w="1900"/>
            <w:tcMar>
              <w:top w:type="dxa" w:w="60"/>
              <w:left w:type="dxa" w:w="100"/>
              <w:bottom w:type="dxa" w:w="60"/>
              <w:right w:type="dxa" w:w="100"/>
            </w:tcMar>
            <w:vAlign w:val="center"/>
          </w:tcPr>
          <w:p>
            <w:pPr>
              <w:jc w:val="left"/>
            </w:pPr>
            <w:r>
              <w:rPr>
                <w:b w:val="false"/>
                <w:bCs w:val="false"/>
                <w:sz w:val="18"/>
                <w:szCs w:val="18"/>
              </w:rPr>
              <w:t xml:space="preserve">Reconciliation Report</w:t>
            </w:r>
          </w:p>
        </w:tc>
        <w:tc>
          <w:tcPr>
            <w:tcW w:type="dxa" w:w="2400"/>
            <w:tcMar>
              <w:top w:type="dxa" w:w="60"/>
              <w:left w:type="dxa" w:w="100"/>
              <w:bottom w:type="dxa" w:w="60"/>
              <w:right w:type="dxa" w:w="100"/>
            </w:tcMar>
            <w:vAlign w:val="center"/>
          </w:tcPr>
          <w:p>
            <w:pPr>
              <w:jc w:val="left"/>
            </w:pPr>
            <w:r>
              <w:rPr>
                <w:b w:val="false"/>
                <w:bCs w:val="false"/>
                <w:sz w:val="18"/>
                <w:szCs w:val="18"/>
              </w:rPr>
              <w:t xml:space="preserve">Reconciliation status and variances.</w:t>
            </w:r>
          </w:p>
        </w:tc>
        <w:tc>
          <w:tcPr>
            <w:tcW w:type="dxa" w:w="1900"/>
            <w:tcMar>
              <w:top w:type="dxa" w:w="60"/>
              <w:left w:type="dxa" w:w="100"/>
              <w:bottom w:type="dxa" w:w="60"/>
              <w:right w:type="dxa" w:w="100"/>
            </w:tcMar>
            <w:vAlign w:val="center"/>
          </w:tcPr>
          <w:p>
            <w:pPr>
              <w:jc w:val="left"/>
            </w:pPr>
            <w:r>
              <w:rPr>
                <w:b w:val="false"/>
                <w:bCs w:val="false"/>
                <w:sz w:val="18"/>
                <w:szCs w:val="18"/>
              </w:rPr>
              <w:t xml:space="preserve">Recon Type, Period</w:t>
            </w:r>
          </w:p>
        </w:tc>
        <w:tc>
          <w:tcPr>
            <w:tcW w:type="dxa" w:w="1900"/>
            <w:tcMar>
              <w:top w:type="dxa" w:w="60"/>
              <w:left w:type="dxa" w:w="100"/>
              <w:bottom w:type="dxa" w:w="60"/>
              <w:right w:type="dxa" w:w="100"/>
            </w:tcMar>
            <w:vAlign w:val="center"/>
          </w:tcPr>
          <w:p>
            <w:pPr>
              <w:jc w:val="left"/>
            </w:pPr>
            <w:r>
              <w:rPr>
                <w:b w:val="false"/>
                <w:bCs w:val="false"/>
                <w:sz w:val="18"/>
                <w:szCs w:val="18"/>
              </w:rPr>
              <w:t xml:space="preserve">reconciliations</w:t>
            </w:r>
          </w:p>
        </w:tc>
        <w:tc>
          <w:tcPr>
            <w:tcW w:type="dxa" w:w="2500"/>
            <w:tcMar>
              <w:top w:type="dxa" w:w="60"/>
              <w:left w:type="dxa" w:w="100"/>
              <w:bottom w:type="dxa" w:w="60"/>
              <w:right w:type="dxa" w:w="100"/>
            </w:tcMar>
            <w:vAlign w:val="center"/>
          </w:tcPr>
          <w:p>
            <w:pPr>
              <w:jc w:val="left"/>
            </w:pPr>
            <w:r>
              <w:rPr>
                <w:b w:val="false"/>
                <w:bCs w:val="false"/>
                <w:sz w:val="18"/>
                <w:szCs w:val="18"/>
              </w:rPr>
              <w:t xml:space="preserve">Computed value, source value, variance, status</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RPT-016</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Exception Report</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All exceptions with status.</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Module, Severity, Status, Period</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exceptions</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Module, severity, description, status, resolved by</w:t>
            </w:r>
          </w:p>
        </w:tc>
      </w:tr>
      <w:tr>
        <w:tc>
          <w:tcPr>
            <w:tcW w:type="dxa" w:w="1000"/>
            <w:tcMar>
              <w:top w:type="dxa" w:w="60"/>
              <w:left w:type="dxa" w:w="100"/>
              <w:bottom w:type="dxa" w:w="60"/>
              <w:right w:type="dxa" w:w="100"/>
            </w:tcMar>
            <w:vAlign w:val="center"/>
          </w:tcPr>
          <w:p>
            <w:pPr>
              <w:jc w:val="left"/>
            </w:pPr>
            <w:r>
              <w:rPr>
                <w:b w:val="false"/>
                <w:bCs w:val="false"/>
                <w:sz w:val="18"/>
                <w:szCs w:val="18"/>
              </w:rPr>
              <w:t xml:space="preserve">RPT-017</w:t>
            </w:r>
          </w:p>
        </w:tc>
        <w:tc>
          <w:tcPr>
            <w:tcW w:type="dxa" w:w="1900"/>
            <w:tcMar>
              <w:top w:type="dxa" w:w="60"/>
              <w:left w:type="dxa" w:w="100"/>
              <w:bottom w:type="dxa" w:w="60"/>
              <w:right w:type="dxa" w:w="100"/>
            </w:tcMar>
            <w:vAlign w:val="center"/>
          </w:tcPr>
          <w:p>
            <w:pPr>
              <w:jc w:val="left"/>
            </w:pPr>
            <w:r>
              <w:rPr>
                <w:b w:val="false"/>
                <w:bCs w:val="false"/>
                <w:sz w:val="18"/>
                <w:szCs w:val="18"/>
              </w:rPr>
              <w:t xml:space="preserve">Audit Trail Report</w:t>
            </w:r>
          </w:p>
        </w:tc>
        <w:tc>
          <w:tcPr>
            <w:tcW w:type="dxa" w:w="2400"/>
            <w:tcMar>
              <w:top w:type="dxa" w:w="60"/>
              <w:left w:type="dxa" w:w="100"/>
              <w:bottom w:type="dxa" w:w="60"/>
              <w:right w:type="dxa" w:w="100"/>
            </w:tcMar>
            <w:vAlign w:val="center"/>
          </w:tcPr>
          <w:p>
            <w:pPr>
              <w:jc w:val="left"/>
            </w:pPr>
            <w:r>
              <w:rPr>
                <w:b w:val="false"/>
                <w:bCs w:val="false"/>
                <w:sz w:val="18"/>
                <w:szCs w:val="18"/>
              </w:rPr>
              <w:t xml:space="preserve">Chronological log of material actions.</w:t>
            </w:r>
          </w:p>
        </w:tc>
        <w:tc>
          <w:tcPr>
            <w:tcW w:type="dxa" w:w="1900"/>
            <w:tcMar>
              <w:top w:type="dxa" w:w="60"/>
              <w:left w:type="dxa" w:w="100"/>
              <w:bottom w:type="dxa" w:w="60"/>
              <w:right w:type="dxa" w:w="100"/>
            </w:tcMar>
            <w:vAlign w:val="center"/>
          </w:tcPr>
          <w:p>
            <w:pPr>
              <w:jc w:val="left"/>
            </w:pPr>
            <w:r>
              <w:rPr>
                <w:b w:val="false"/>
                <w:bCs w:val="false"/>
                <w:sz w:val="18"/>
                <w:szCs w:val="18"/>
              </w:rPr>
              <w:t xml:space="preserve">Entity type, Actor, Date range</w:t>
            </w:r>
          </w:p>
        </w:tc>
        <w:tc>
          <w:tcPr>
            <w:tcW w:type="dxa" w:w="1900"/>
            <w:tcMar>
              <w:top w:type="dxa" w:w="60"/>
              <w:left w:type="dxa" w:w="100"/>
              <w:bottom w:type="dxa" w:w="60"/>
              <w:right w:type="dxa" w:w="100"/>
            </w:tcMar>
            <w:vAlign w:val="center"/>
          </w:tcPr>
          <w:p>
            <w:pPr>
              <w:jc w:val="left"/>
            </w:pPr>
            <w:r>
              <w:rPr>
                <w:b w:val="false"/>
                <w:bCs w:val="false"/>
                <w:sz w:val="18"/>
                <w:szCs w:val="18"/>
              </w:rPr>
              <w:t xml:space="preserve">audit_trail</w:t>
            </w:r>
          </w:p>
        </w:tc>
        <w:tc>
          <w:tcPr>
            <w:tcW w:type="dxa" w:w="2500"/>
            <w:tcMar>
              <w:top w:type="dxa" w:w="60"/>
              <w:left w:type="dxa" w:w="100"/>
              <w:bottom w:type="dxa" w:w="60"/>
              <w:right w:type="dxa" w:w="100"/>
            </w:tcMar>
            <w:vAlign w:val="center"/>
          </w:tcPr>
          <w:p>
            <w:pPr>
              <w:jc w:val="left"/>
            </w:pPr>
            <w:r>
              <w:rPr>
                <w:b w:val="false"/>
                <w:bCs w:val="false"/>
                <w:sz w:val="18"/>
                <w:szCs w:val="18"/>
              </w:rPr>
              <w:t xml:space="preserve">Timestamp, actor, action, entity, old/new value</w:t>
            </w:r>
          </w:p>
        </w:tc>
      </w:tr>
      <w:tr>
        <w:tc>
          <w:tcPr>
            <w:tcW w:type="dxa" w:w="1000"/>
            <w:shd w:fill="F2F2F2" w:color="auto" w:val="clear"/>
            <w:tcMar>
              <w:top w:type="dxa" w:w="60"/>
              <w:left w:type="dxa" w:w="100"/>
              <w:bottom w:type="dxa" w:w="60"/>
              <w:right w:type="dxa" w:w="100"/>
            </w:tcMar>
            <w:vAlign w:val="center"/>
          </w:tcPr>
          <w:p>
            <w:pPr>
              <w:jc w:val="left"/>
            </w:pPr>
            <w:r>
              <w:rPr>
                <w:b w:val="false"/>
                <w:bCs w:val="false"/>
                <w:sz w:val="18"/>
                <w:szCs w:val="18"/>
              </w:rPr>
              <w:t xml:space="preserve">RPT-018</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Product Profitability (Phase 2)</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Margin by product.</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Product, Period</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costing_results + sales (Phase 2)</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Revenue, cost, margin, margin %</w:t>
            </w:r>
          </w:p>
        </w:tc>
      </w:tr>
      <w:tr>
        <w:tc>
          <w:tcPr>
            <w:tcW w:type="dxa" w:w="1000"/>
            <w:tcMar>
              <w:top w:type="dxa" w:w="60"/>
              <w:left w:type="dxa" w:w="100"/>
              <w:bottom w:type="dxa" w:w="60"/>
              <w:right w:type="dxa" w:w="100"/>
            </w:tcMar>
            <w:vAlign w:val="center"/>
          </w:tcPr>
          <w:p>
            <w:pPr>
              <w:jc w:val="left"/>
            </w:pPr>
            <w:r>
              <w:rPr>
                <w:b w:val="false"/>
                <w:bCs w:val="false"/>
                <w:sz w:val="18"/>
                <w:szCs w:val="18"/>
              </w:rPr>
              <w:t xml:space="preserve">RPT-019</w:t>
            </w:r>
          </w:p>
        </w:tc>
        <w:tc>
          <w:tcPr>
            <w:tcW w:type="dxa" w:w="1900"/>
            <w:tcMar>
              <w:top w:type="dxa" w:w="60"/>
              <w:left w:type="dxa" w:w="100"/>
              <w:bottom w:type="dxa" w:w="60"/>
              <w:right w:type="dxa" w:w="100"/>
            </w:tcMar>
            <w:vAlign w:val="center"/>
          </w:tcPr>
          <w:p>
            <w:pPr>
              <w:jc w:val="left"/>
            </w:pPr>
            <w:r>
              <w:rPr>
                <w:b w:val="false"/>
                <w:bCs w:val="false"/>
                <w:sz w:val="18"/>
                <w:szCs w:val="18"/>
              </w:rPr>
              <w:t xml:space="preserve">Inventory Ageing (Phase 2)</w:t>
            </w:r>
          </w:p>
        </w:tc>
        <w:tc>
          <w:tcPr>
            <w:tcW w:type="dxa" w:w="2400"/>
            <w:tcMar>
              <w:top w:type="dxa" w:w="60"/>
              <w:left w:type="dxa" w:w="100"/>
              <w:bottom w:type="dxa" w:w="60"/>
              <w:right w:type="dxa" w:w="100"/>
            </w:tcMar>
            <w:vAlign w:val="center"/>
          </w:tcPr>
          <w:p>
            <w:pPr>
              <w:jc w:val="left"/>
            </w:pPr>
            <w:r>
              <w:rPr>
                <w:b w:val="false"/>
                <w:bCs w:val="false"/>
                <w:sz w:val="18"/>
                <w:szCs w:val="18"/>
              </w:rPr>
              <w:t xml:space="preserve">Age-banded inventory value.</w:t>
            </w:r>
          </w:p>
        </w:tc>
        <w:tc>
          <w:tcPr>
            <w:tcW w:type="dxa" w:w="1900"/>
            <w:tcMar>
              <w:top w:type="dxa" w:w="60"/>
              <w:left w:type="dxa" w:w="100"/>
              <w:bottom w:type="dxa" w:w="60"/>
              <w:right w:type="dxa" w:w="100"/>
            </w:tcMar>
            <w:vAlign w:val="center"/>
          </w:tcPr>
          <w:p>
            <w:pPr>
              <w:jc w:val="left"/>
            </w:pPr>
            <w:r>
              <w:rPr>
                <w:b w:val="false"/>
                <w:bCs w:val="false"/>
                <w:sz w:val="18"/>
                <w:szCs w:val="18"/>
              </w:rPr>
              <w:t xml:space="preserve">Item, Warehouse, Age band</w:t>
            </w:r>
          </w:p>
        </w:tc>
        <w:tc>
          <w:tcPr>
            <w:tcW w:type="dxa" w:w="1900"/>
            <w:tcMar>
              <w:top w:type="dxa" w:w="60"/>
              <w:left w:type="dxa" w:w="100"/>
              <w:bottom w:type="dxa" w:w="60"/>
              <w:right w:type="dxa" w:w="100"/>
            </w:tcMar>
            <w:vAlign w:val="center"/>
          </w:tcPr>
          <w:p>
            <w:pPr>
              <w:jc w:val="left"/>
            </w:pPr>
            <w:r>
              <w:rPr>
                <w:b w:val="false"/>
                <w:bCs w:val="false"/>
                <w:sz w:val="18"/>
                <w:szCs w:val="18"/>
              </w:rPr>
              <w:t xml:space="preserve">inventory_transactions</w:t>
            </w:r>
          </w:p>
        </w:tc>
        <w:tc>
          <w:tcPr>
            <w:tcW w:type="dxa" w:w="2500"/>
            <w:tcMar>
              <w:top w:type="dxa" w:w="60"/>
              <w:left w:type="dxa" w:w="100"/>
              <w:bottom w:type="dxa" w:w="60"/>
              <w:right w:type="dxa" w:w="100"/>
            </w:tcMar>
            <w:vAlign w:val="center"/>
          </w:tcPr>
          <w:p>
            <w:pPr>
              <w:jc w:val="left"/>
            </w:pPr>
            <w:r>
              <w:rPr>
                <w:b w:val="false"/>
                <w:bCs w:val="false"/>
                <w:sz w:val="18"/>
                <w:szCs w:val="18"/>
              </w:rPr>
              <w:t xml:space="preserve">Age band, quantity, value</w:t>
            </w:r>
          </w:p>
        </w:tc>
      </w:tr>
    </w:tbl>
    <w:p>
      <w:pPr>
        <w:spacing w:after="200"/>
      </w:pPr>
    </w:p>
    <w:p>
      <w:pPr>
        <w:spacing w:after="160"/>
      </w:pPr>
      <w:r>
        <w:t xml:space="preserve">Reports RPT-014, RPT-018 and RPT-019 are Phase 2 (they depend on modules marked Phase 2 in Section 8.5, Part 2) and are catalogued here for completeness of the reporting architecture, not as MVP deliverables (see Section 36, Part 4).</w:t>
      </w:r>
    </w:p>
    <w:p>
      <w:r>
        <w:br w:type="page"/>
      </w:r>
    </w:p>
    <w:p>
      <w:pPr>
        <w:pStyle w:val="Heading1"/>
        <w:spacing w:after="240" w:before="480"/>
      </w:pPr>
      <w:r>
        <w:rPr>
          <w:b/>
          <w:bCs/>
        </w:rPr>
        <w:t xml:space="preserve">18. Business Rules</w:t>
      </w:r>
    </w:p>
    <w:p>
      <w:pPr>
        <w:spacing w:after="160"/>
      </w:pPr>
      <w:r>
        <w:t xml:space="preserve">This is the consolidated catalogue of every business rule referenced throughout this SRS (Parts 1–3), gathered here as the single source of truth. “Rule” includes the trigger, the system's response when satisfied, and how violations/exceptions are handled, where applicable.</w:t>
      </w:r>
    </w:p>
    <w:p>
      <w:pPr>
        <w:pStyle w:val="Heading2"/>
        <w:spacing w:after="160" w:before="320"/>
      </w:pPr>
      <w:r>
        <w:rPr>
          <w:b/>
          <w:bCs/>
        </w:rPr>
        <w:t xml:space="preserve">18.1 Inventory and BOM Rules</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900"/>
        <w:gridCol w:w="620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Rule ID</w:t>
            </w:r>
          </w:p>
        </w:tc>
        <w:tc>
          <w:tcPr>
            <w:tcW w:type="dxa" w:w="1900"/>
            <w:shd w:fill="1F3864" w:color="auto"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6200"/>
            <w:shd w:fill="1F3864" w:color="auto" w:val="clear"/>
            <w:tcMar>
              <w:top w:type="dxa" w:w="60"/>
              <w:left w:type="dxa" w:w="100"/>
              <w:bottom w:type="dxa" w:w="60"/>
              <w:right w:type="dxa" w:w="100"/>
            </w:tcMar>
            <w:vAlign w:val="center"/>
          </w:tcPr>
          <w:p>
            <w:pPr>
              <w:jc w:val="left"/>
            </w:pPr>
            <w:r>
              <w:rPr>
                <w:b/>
                <w:bCs/>
                <w:color w:val="FFFFFF"/>
                <w:sz w:val="18"/>
                <w:szCs w:val="18"/>
              </w:rPr>
              <w:t xml:space="preserve">Rule</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BR-INV-001</w:t>
            </w:r>
          </w:p>
        </w:tc>
        <w:tc>
          <w:tcPr>
            <w:tcW w:type="dxa" w:w="1900"/>
            <w:tcMar>
              <w:top w:type="dxa" w:w="60"/>
              <w:left w:type="dxa" w:w="100"/>
              <w:bottom w:type="dxa" w:w="60"/>
              <w:right w:type="dxa" w:w="100"/>
            </w:tcMar>
            <w:vAlign w:val="center"/>
          </w:tcPr>
          <w:p>
            <w:pPr>
              <w:jc w:val="left"/>
            </w:pPr>
            <w:r>
              <w:rPr>
                <w:b w:val="false"/>
                <w:bCs w:val="false"/>
                <w:sz w:val="18"/>
                <w:szCs w:val="18"/>
              </w:rPr>
              <w:t xml:space="preserve">Inventory Valuation</w:t>
            </w:r>
          </w:p>
        </w:tc>
        <w:tc>
          <w:tcPr>
            <w:tcW w:type="dxa" w:w="6200"/>
            <w:tcMar>
              <w:top w:type="dxa" w:w="60"/>
              <w:left w:type="dxa" w:w="100"/>
              <w:bottom w:type="dxa" w:w="60"/>
              <w:right w:type="dxa" w:w="100"/>
            </w:tcMar>
            <w:vAlign w:val="center"/>
          </w:tcPr>
          <w:p>
            <w:pPr>
              <w:jc w:val="left"/>
            </w:pPr>
            <w:r>
              <w:rPr>
                <w:b w:val="false"/>
                <w:bCs w:val="false"/>
                <w:sz w:val="18"/>
                <w:szCs w:val="18"/>
              </w:rPr>
              <w:t xml:space="preserve">Opening Quantity/Value + Receipts − Issues ± Adjustments = Closing Quantity/Value, for every item/warehouse/period. Engine self-checks this identity on every valuation run (FR-INV-001); a failure blocks finalisation.</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BR-INV-002</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Inventory Valuation</w:t>
            </w:r>
          </w:p>
        </w:tc>
        <w:tc>
          <w:tcPr>
            <w:tcW w:type="dxa" w:w="6200"/>
            <w:shd w:fill="F2F2F2" w:color="auto" w:val="clear"/>
            <w:tcMar>
              <w:top w:type="dxa" w:w="60"/>
              <w:left w:type="dxa" w:w="100"/>
              <w:bottom w:type="dxa" w:w="60"/>
              <w:right w:type="dxa" w:w="100"/>
            </w:tcMar>
            <w:vAlign w:val="center"/>
          </w:tcPr>
          <w:p>
            <w:pPr>
              <w:jc w:val="left"/>
            </w:pPr>
            <w:r>
              <w:rPr>
                <w:b w:val="false"/>
                <w:bCs w:val="false"/>
                <w:sz w:val="18"/>
                <w:szCs w:val="18"/>
              </w:rPr>
              <w:t xml:space="preserve">Negative inventory (an issue exceeding available quantity) is not permitted without an explicit, logged override by an authorised CMA stating a reason — Proposed control, To Be Confirmed whether override is allowed at all in MVP.</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BR-BOM-001</w:t>
            </w:r>
          </w:p>
        </w:tc>
        <w:tc>
          <w:tcPr>
            <w:tcW w:type="dxa" w:w="1900"/>
            <w:tcMar>
              <w:top w:type="dxa" w:w="60"/>
              <w:left w:type="dxa" w:w="100"/>
              <w:bottom w:type="dxa" w:w="60"/>
              <w:right w:type="dxa" w:w="100"/>
            </w:tcMar>
            <w:vAlign w:val="center"/>
          </w:tcPr>
          <w:p>
            <w:pPr>
              <w:jc w:val="left"/>
            </w:pPr>
            <w:r>
              <w:rPr>
                <w:b w:val="false"/>
                <w:bCs w:val="false"/>
                <w:sz w:val="18"/>
                <w:szCs w:val="18"/>
              </w:rPr>
              <w:t xml:space="preserve">BOM</w:t>
            </w:r>
          </w:p>
        </w:tc>
        <w:tc>
          <w:tcPr>
            <w:tcW w:type="dxa" w:w="6200"/>
            <w:tcMar>
              <w:top w:type="dxa" w:w="60"/>
              <w:left w:type="dxa" w:w="100"/>
              <w:bottom w:type="dxa" w:w="60"/>
              <w:right w:type="dxa" w:w="100"/>
            </w:tcMar>
            <w:vAlign w:val="center"/>
          </w:tcPr>
          <w:p>
            <w:pPr>
              <w:jc w:val="left"/>
            </w:pPr>
            <w:r>
              <w:rPr>
                <w:b w:val="false"/>
                <w:bCs w:val="false"/>
                <w:sz w:val="18"/>
                <w:szCs w:val="18"/>
              </w:rPr>
              <w:t xml:space="preserve">Circular BOM structures (an item directly or transitively containing itself as a component) must be detected and block BOM Explosion (FR-BOM-001).</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BR-BOM-002</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BOM</w:t>
            </w:r>
          </w:p>
        </w:tc>
        <w:tc>
          <w:tcPr>
            <w:tcW w:type="dxa" w:w="6200"/>
            <w:shd w:fill="F2F2F2" w:color="auto" w:val="clear"/>
            <w:tcMar>
              <w:top w:type="dxa" w:w="60"/>
              <w:left w:type="dxa" w:w="100"/>
              <w:bottom w:type="dxa" w:w="60"/>
              <w:right w:type="dxa" w:w="100"/>
            </w:tcMar>
            <w:vAlign w:val="center"/>
          </w:tcPr>
          <w:p>
            <w:pPr>
              <w:jc w:val="left"/>
            </w:pPr>
            <w:r>
              <w:rPr>
                <w:b w:val="false"/>
                <w:bCs w:val="false"/>
                <w:sz w:val="18"/>
                <w:szCs w:val="18"/>
              </w:rPr>
              <w:t xml:space="preserve">Only one BOM version may be Active for a given item on any given date; effective-dating windows must not overlap — Proposed rule.</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BR-UOM-001</w:t>
            </w:r>
          </w:p>
        </w:tc>
        <w:tc>
          <w:tcPr>
            <w:tcW w:type="dxa" w:w="1900"/>
            <w:tcMar>
              <w:top w:type="dxa" w:w="60"/>
              <w:left w:type="dxa" w:w="100"/>
              <w:bottom w:type="dxa" w:w="60"/>
              <w:right w:type="dxa" w:w="100"/>
            </w:tcMar>
            <w:vAlign w:val="center"/>
          </w:tcPr>
          <w:p>
            <w:pPr>
              <w:jc w:val="left"/>
            </w:pPr>
            <w:r>
              <w:rPr>
                <w:b w:val="false"/>
                <w:bCs w:val="false"/>
                <w:sz w:val="18"/>
                <w:szCs w:val="18"/>
              </w:rPr>
              <w:t xml:space="preserve">UOM</w:t>
            </w:r>
          </w:p>
        </w:tc>
        <w:tc>
          <w:tcPr>
            <w:tcW w:type="dxa" w:w="6200"/>
            <w:tcMar>
              <w:top w:type="dxa" w:w="60"/>
              <w:left w:type="dxa" w:w="100"/>
              <w:bottom w:type="dxa" w:w="60"/>
              <w:right w:type="dxa" w:w="100"/>
            </w:tcMar>
            <w:vAlign w:val="center"/>
          </w:tcPr>
          <w:p>
            <w:pPr>
              <w:jc w:val="left"/>
            </w:pPr>
            <w:r>
              <w:rPr>
                <w:b w:val="false"/>
                <w:bCs w:val="false"/>
                <w:sz w:val="18"/>
                <w:szCs w:val="18"/>
              </w:rPr>
              <w:t xml:space="preserve">UOM conversions used in any calculation (BOM explosion, inventory valuation, reporting) must be effective-dated and the conversion effective on the transaction/calculation date must be used, not the latest conversion factor.</w:t>
            </w:r>
          </w:p>
        </w:tc>
      </w:tr>
    </w:tbl>
    <w:p>
      <w:pPr>
        <w:spacing w:after="200"/>
      </w:pPr>
    </w:p>
    <w:p>
      <w:pPr>
        <w:pStyle w:val="Heading2"/>
        <w:spacing w:after="160" w:before="320"/>
      </w:pPr>
      <w:r>
        <w:rPr>
          <w:b/>
          <w:bCs/>
        </w:rPr>
        <w:t xml:space="preserve">18.2 Costing Rules</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900"/>
        <w:gridCol w:w="620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Rule ID</w:t>
            </w:r>
          </w:p>
        </w:tc>
        <w:tc>
          <w:tcPr>
            <w:tcW w:type="dxa" w:w="1900"/>
            <w:shd w:fill="1F3864" w:color="auto"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6200"/>
            <w:shd w:fill="1F3864" w:color="auto" w:val="clear"/>
            <w:tcMar>
              <w:top w:type="dxa" w:w="60"/>
              <w:left w:type="dxa" w:w="100"/>
              <w:bottom w:type="dxa" w:w="60"/>
              <w:right w:type="dxa" w:w="100"/>
            </w:tcMar>
            <w:vAlign w:val="center"/>
          </w:tcPr>
          <w:p>
            <w:pPr>
              <w:jc w:val="left"/>
            </w:pPr>
            <w:r>
              <w:rPr>
                <w:b/>
                <w:bCs/>
                <w:color w:val="FFFFFF"/>
                <w:sz w:val="18"/>
                <w:szCs w:val="18"/>
              </w:rPr>
              <w:t xml:space="preserve">Rule</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BR-COST-001</w:t>
            </w:r>
          </w:p>
        </w:tc>
        <w:tc>
          <w:tcPr>
            <w:tcW w:type="dxa" w:w="1900"/>
            <w:tcMar>
              <w:top w:type="dxa" w:w="60"/>
              <w:left w:type="dxa" w:w="100"/>
              <w:bottom w:type="dxa" w:w="60"/>
              <w:right w:type="dxa" w:w="100"/>
            </w:tcMar>
            <w:vAlign w:val="center"/>
          </w:tcPr>
          <w:p>
            <w:pPr>
              <w:jc w:val="left"/>
            </w:pPr>
            <w:r>
              <w:rPr>
                <w:b w:val="false"/>
                <w:bCs w:val="false"/>
                <w:sz w:val="18"/>
                <w:szCs w:val="18"/>
              </w:rPr>
              <w:t xml:space="preserve">Product Costing</w:t>
            </w:r>
          </w:p>
        </w:tc>
        <w:tc>
          <w:tcPr>
            <w:tcW w:type="dxa" w:w="6200"/>
            <w:tcMar>
              <w:top w:type="dxa" w:w="60"/>
              <w:left w:type="dxa" w:w="100"/>
              <w:bottom w:type="dxa" w:w="60"/>
              <w:right w:type="dxa" w:w="100"/>
            </w:tcMar>
            <w:vAlign w:val="center"/>
          </w:tcPr>
          <w:p>
            <w:pPr>
              <w:jc w:val="left"/>
            </w:pPr>
            <w:r>
              <w:rPr>
                <w:b w:val="false"/>
                <w:bCs w:val="false"/>
                <w:sz w:val="18"/>
                <w:szCs w:val="18"/>
              </w:rPr>
              <w:t xml:space="preserve">Product Cost = Material + Labour + Process/Machine + Production Overheads + Other Direct Cost + Allocated Overheads. Enforced by the Cost Engine and defensively by a database CHECK constraint on costing_results (Section 17.15, Part 2).</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BR-ALLOC-001</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Overhead Allocation</w:t>
            </w:r>
          </w:p>
        </w:tc>
        <w:tc>
          <w:tcPr>
            <w:tcW w:type="dxa" w:w="6200"/>
            <w:shd w:fill="F2F2F2" w:color="auto" w:val="clear"/>
            <w:tcMar>
              <w:top w:type="dxa" w:w="60"/>
              <w:left w:type="dxa" w:w="100"/>
              <w:bottom w:type="dxa" w:w="60"/>
              <w:right w:type="dxa" w:w="100"/>
            </w:tcMar>
            <w:vAlign w:val="center"/>
          </w:tcPr>
          <w:p>
            <w:pPr>
              <w:jc w:val="left"/>
            </w:pPr>
            <w:r>
              <w:rPr>
                <w:b w:val="false"/>
                <w:bCs w:val="false"/>
                <w:sz w:val="18"/>
                <w:szCs w:val="18"/>
              </w:rPr>
              <w:t xml:space="preserve">The sum of amounts allocated from a cost pool must equal the cost pool's total amount, within a configured rounding tolerance — Proposed tolerance, To Be Confirmed.</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BR-VAR-001</w:t>
            </w:r>
          </w:p>
        </w:tc>
        <w:tc>
          <w:tcPr>
            <w:tcW w:type="dxa" w:w="1900"/>
            <w:tcMar>
              <w:top w:type="dxa" w:w="60"/>
              <w:left w:type="dxa" w:w="100"/>
              <w:bottom w:type="dxa" w:w="60"/>
              <w:right w:type="dxa" w:w="100"/>
            </w:tcMar>
            <w:vAlign w:val="center"/>
          </w:tcPr>
          <w:p>
            <w:pPr>
              <w:jc w:val="left"/>
            </w:pPr>
            <w:r>
              <w:rPr>
                <w:b w:val="false"/>
                <w:bCs w:val="false"/>
                <w:sz w:val="18"/>
                <w:szCs w:val="18"/>
              </w:rPr>
              <w:t xml:space="preserve">Variance Analysis</w:t>
            </w:r>
          </w:p>
        </w:tc>
        <w:tc>
          <w:tcPr>
            <w:tcW w:type="dxa" w:w="6200"/>
            <w:tcMar>
              <w:top w:type="dxa" w:w="60"/>
              <w:left w:type="dxa" w:w="100"/>
              <w:bottom w:type="dxa" w:w="60"/>
              <w:right w:type="dxa" w:w="100"/>
            </w:tcMar>
            <w:vAlign w:val="center"/>
          </w:tcPr>
          <w:p>
            <w:pPr>
              <w:jc w:val="left"/>
            </w:pPr>
            <w:r>
              <w:rPr>
                <w:b w:val="false"/>
                <w:bCs w:val="false"/>
                <w:sz w:val="18"/>
                <w:szCs w:val="18"/>
              </w:rPr>
              <w:t xml:space="preserve">The sum of decomposed sub-variances (material price/usage, labour rate/efficiency, overhead volume/spending) must equal the total variance (Actual − Standard) — Proposed formula set, To Be Confirmed against the source note's exact variance taxonomy.</w:t>
            </w:r>
          </w:p>
        </w:tc>
      </w:tr>
    </w:tbl>
    <w:p>
      <w:pPr>
        <w:spacing w:after="200"/>
      </w:pPr>
    </w:p>
    <w:p>
      <w:pPr>
        <w:pStyle w:val="Heading2"/>
        <w:spacing w:after="160" w:before="320"/>
      </w:pPr>
      <w:r>
        <w:rPr>
          <w:b/>
          <w:bCs/>
        </w:rPr>
        <w:t xml:space="preserve">18.3 Reconciliation, Audit and Period Rules</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900"/>
        <w:gridCol w:w="620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Rule ID</w:t>
            </w:r>
          </w:p>
        </w:tc>
        <w:tc>
          <w:tcPr>
            <w:tcW w:type="dxa" w:w="1900"/>
            <w:shd w:fill="1F3864" w:color="auto"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6200"/>
            <w:shd w:fill="1F3864" w:color="auto" w:val="clear"/>
            <w:tcMar>
              <w:top w:type="dxa" w:w="60"/>
              <w:left w:type="dxa" w:w="100"/>
              <w:bottom w:type="dxa" w:w="60"/>
              <w:right w:type="dxa" w:w="100"/>
            </w:tcMar>
            <w:vAlign w:val="center"/>
          </w:tcPr>
          <w:p>
            <w:pPr>
              <w:jc w:val="left"/>
            </w:pPr>
            <w:r>
              <w:rPr>
                <w:b/>
                <w:bCs/>
                <w:color w:val="FFFFFF"/>
                <w:sz w:val="18"/>
                <w:szCs w:val="18"/>
              </w:rPr>
              <w:t xml:space="preserve">Rule</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BR-REC-001</w:t>
            </w:r>
          </w:p>
        </w:tc>
        <w:tc>
          <w:tcPr>
            <w:tcW w:type="dxa" w:w="1900"/>
            <w:tcMar>
              <w:top w:type="dxa" w:w="60"/>
              <w:left w:type="dxa" w:w="100"/>
              <w:bottom w:type="dxa" w:w="60"/>
              <w:right w:type="dxa" w:w="100"/>
            </w:tcMar>
            <w:vAlign w:val="center"/>
          </w:tcPr>
          <w:p>
            <w:pPr>
              <w:jc w:val="left"/>
            </w:pPr>
            <w:r>
              <w:rPr>
                <w:b w:val="false"/>
                <w:bCs w:val="false"/>
                <w:sz w:val="18"/>
                <w:szCs w:val="18"/>
              </w:rPr>
              <w:t xml:space="preserve">Reconciliation</w:t>
            </w:r>
          </w:p>
        </w:tc>
        <w:tc>
          <w:tcPr>
            <w:tcW w:type="dxa" w:w="6200"/>
            <w:tcMar>
              <w:top w:type="dxa" w:w="60"/>
              <w:left w:type="dxa" w:w="100"/>
              <w:bottom w:type="dxa" w:w="60"/>
              <w:right w:type="dxa" w:w="100"/>
            </w:tcMar>
            <w:vAlign w:val="center"/>
          </w:tcPr>
          <w:p>
            <w:pPr>
              <w:jc w:val="left"/>
            </w:pPr>
            <w:r>
              <w:rPr>
                <w:b w:val="false"/>
                <w:bCs w:val="false"/>
                <w:sz w:val="18"/>
                <w:szCs w:val="18"/>
              </w:rPr>
              <w:t xml:space="preserve">A reconciliation variance beyond the configured tolerance (Proposed, To Be Confirmed) is raised as an open Reconciliation Exception and must be resolved (corrected or accepted with reason) before the period can be locked.</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BR-AUD-001</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Audit Desk</w:t>
            </w:r>
          </w:p>
        </w:tc>
        <w:tc>
          <w:tcPr>
            <w:tcW w:type="dxa" w:w="6200"/>
            <w:shd w:fill="F2F2F2" w:color="auto" w:val="clear"/>
            <w:tcMar>
              <w:top w:type="dxa" w:w="60"/>
              <w:left w:type="dxa" w:w="100"/>
              <w:bottom w:type="dxa" w:w="60"/>
              <w:right w:type="dxa" w:w="100"/>
            </w:tcMar>
            <w:vAlign w:val="center"/>
          </w:tcPr>
          <w:p>
            <w:pPr>
              <w:jc w:val="left"/>
            </w:pPr>
            <w:r>
              <w:rPr>
                <w:b w:val="false"/>
                <w:bCs w:val="false"/>
                <w:sz w:val="18"/>
                <w:szCs w:val="18"/>
              </w:rPr>
              <w:t xml:space="preserve">Every exception (validation, reconciliation, costing, AI-flagged) must have a logged resolution — approved with justification or corrected — before the affected period can be locked.</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BR-PER-001</w:t>
            </w:r>
          </w:p>
        </w:tc>
        <w:tc>
          <w:tcPr>
            <w:tcW w:type="dxa" w:w="1900"/>
            <w:tcMar>
              <w:top w:type="dxa" w:w="60"/>
              <w:left w:type="dxa" w:w="100"/>
              <w:bottom w:type="dxa" w:w="60"/>
              <w:right w:type="dxa" w:w="100"/>
            </w:tcMar>
            <w:vAlign w:val="center"/>
          </w:tcPr>
          <w:p>
            <w:pPr>
              <w:jc w:val="left"/>
            </w:pPr>
            <w:r>
              <w:rPr>
                <w:b w:val="false"/>
                <w:bCs w:val="false"/>
                <w:sz w:val="18"/>
                <w:szCs w:val="18"/>
              </w:rPr>
              <w:t xml:space="preserve">Period Close</w:t>
            </w:r>
          </w:p>
        </w:tc>
        <w:tc>
          <w:tcPr>
            <w:tcW w:type="dxa" w:w="6200"/>
            <w:tcMar>
              <w:top w:type="dxa" w:w="60"/>
              <w:left w:type="dxa" w:w="100"/>
              <w:bottom w:type="dxa" w:w="60"/>
              <w:right w:type="dxa" w:w="100"/>
            </w:tcMar>
            <w:vAlign w:val="center"/>
          </w:tcPr>
          <w:p>
            <w:pPr>
              <w:jc w:val="left"/>
            </w:pPr>
            <w:r>
              <w:rPr>
                <w:b w:val="false"/>
                <w:bCs w:val="false"/>
                <w:sz w:val="18"/>
                <w:szCs w:val="18"/>
              </w:rPr>
              <w:t xml:space="preserve">Locked periods cannot be silently modified. Any change to a locked period's data requires a formal Reopen (BR-PER-002).</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BR-PER-002</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 Close</w:t>
            </w:r>
          </w:p>
        </w:tc>
        <w:tc>
          <w:tcPr>
            <w:tcW w:type="dxa" w:w="6200"/>
            <w:shd w:fill="F2F2F2" w:color="auto" w:val="clear"/>
            <w:tcMar>
              <w:top w:type="dxa" w:w="60"/>
              <w:left w:type="dxa" w:w="100"/>
              <w:bottom w:type="dxa" w:w="60"/>
              <w:right w:type="dxa" w:w="100"/>
            </w:tcMar>
            <w:vAlign w:val="center"/>
          </w:tcPr>
          <w:p>
            <w:pPr>
              <w:jc w:val="left"/>
            </w:pPr>
            <w:r>
              <w:rPr>
                <w:b w:val="false"/>
                <w:bCs w:val="false"/>
                <w:sz w:val="18"/>
                <w:szCs w:val="18"/>
              </w:rPr>
              <w:t xml:space="preserve">Reopening a locked period requires a mandatory reason and (Proposed) a second-level approval; reopening creates a new Costing Version rather than overwriting the locked version's history.</w:t>
            </w:r>
          </w:p>
        </w:tc>
      </w:tr>
    </w:tbl>
    <w:p>
      <w:pPr>
        <w:spacing w:after="200"/>
      </w:pPr>
    </w:p>
    <w:p>
      <w:pPr>
        <w:pStyle w:val="Heading2"/>
        <w:spacing w:after="160" w:before="320"/>
      </w:pPr>
      <w:r>
        <w:rPr>
          <w:b/>
          <w:bCs/>
        </w:rPr>
        <w:t xml:space="preserve">18.4 Mapping and AI Rules</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900"/>
        <w:gridCol w:w="620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Rule ID</w:t>
            </w:r>
          </w:p>
        </w:tc>
        <w:tc>
          <w:tcPr>
            <w:tcW w:type="dxa" w:w="1900"/>
            <w:shd w:fill="1F3864" w:color="auto"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6200"/>
            <w:shd w:fill="1F3864" w:color="auto" w:val="clear"/>
            <w:tcMar>
              <w:top w:type="dxa" w:w="60"/>
              <w:left w:type="dxa" w:w="100"/>
              <w:bottom w:type="dxa" w:w="60"/>
              <w:right w:type="dxa" w:w="100"/>
            </w:tcMar>
            <w:vAlign w:val="center"/>
          </w:tcPr>
          <w:p>
            <w:pPr>
              <w:jc w:val="left"/>
            </w:pPr>
            <w:r>
              <w:rPr>
                <w:b/>
                <w:bCs/>
                <w:color w:val="FFFFFF"/>
                <w:sz w:val="18"/>
                <w:szCs w:val="18"/>
              </w:rPr>
              <w:t xml:space="preserve">Rule</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BR-MAP-001</w:t>
            </w:r>
          </w:p>
        </w:tc>
        <w:tc>
          <w:tcPr>
            <w:tcW w:type="dxa" w:w="1900"/>
            <w:tcMar>
              <w:top w:type="dxa" w:w="60"/>
              <w:left w:type="dxa" w:w="100"/>
              <w:bottom w:type="dxa" w:w="60"/>
              <w:right w:type="dxa" w:w="100"/>
            </w:tcMar>
            <w:vAlign w:val="center"/>
          </w:tcPr>
          <w:p>
            <w:pPr>
              <w:jc w:val="left"/>
            </w:pPr>
            <w:r>
              <w:rPr>
                <w:b w:val="false"/>
                <w:bCs w:val="false"/>
                <w:sz w:val="18"/>
                <w:szCs w:val="18"/>
              </w:rPr>
              <w:t xml:space="preserve">Mapping</w:t>
            </w:r>
          </w:p>
        </w:tc>
        <w:tc>
          <w:tcPr>
            <w:tcW w:type="dxa" w:w="6200"/>
            <w:tcMar>
              <w:top w:type="dxa" w:w="60"/>
              <w:left w:type="dxa" w:w="100"/>
              <w:bottom w:type="dxa" w:w="60"/>
              <w:right w:type="dxa" w:w="100"/>
            </w:tcMar>
            <w:vAlign w:val="center"/>
          </w:tcPr>
          <w:p>
            <w:pPr>
              <w:jc w:val="left"/>
            </w:pPr>
            <w:r>
              <w:rPr>
                <w:b w:val="false"/>
                <w:bCs w:val="false"/>
                <w:sz w:val="18"/>
                <w:szCs w:val="18"/>
              </w:rPr>
              <w:t xml:space="preserve">Every mandatory canonical (Standard Data Model) field must be mapped to a source column, or explicitly marked Not Applicable with a reason, before a mapping can be saved as Complete.</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BR-MAP-002</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Mapping</w:t>
            </w:r>
          </w:p>
        </w:tc>
        <w:tc>
          <w:tcPr>
            <w:tcW w:type="dxa" w:w="6200"/>
            <w:shd w:fill="F2F2F2" w:color="auto" w:val="clear"/>
            <w:tcMar>
              <w:top w:type="dxa" w:w="60"/>
              <w:left w:type="dxa" w:w="100"/>
              <w:bottom w:type="dxa" w:w="60"/>
              <w:right w:type="dxa" w:w="100"/>
            </w:tcMar>
            <w:vAlign w:val="center"/>
          </w:tcPr>
          <w:p>
            <w:pPr>
              <w:jc w:val="left"/>
            </w:pPr>
            <w:r>
              <w:rPr>
                <w:b w:val="false"/>
                <w:bCs w:val="false"/>
                <w:sz w:val="18"/>
                <w:szCs w:val="18"/>
              </w:rPr>
              <w:t xml:space="preserve">Changing the mapping configuration for an upload that has already progressed to Validated or Processed requires the upload to be re-validated before it can progress further; already-Processed results are not silently recalculated.</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BR-AI-001</w:t>
            </w:r>
          </w:p>
        </w:tc>
        <w:tc>
          <w:tcPr>
            <w:tcW w:type="dxa" w:w="1900"/>
            <w:tcMar>
              <w:top w:type="dxa" w:w="60"/>
              <w:left w:type="dxa" w:w="100"/>
              <w:bottom w:type="dxa" w:w="60"/>
              <w:right w:type="dxa" w:w="100"/>
            </w:tcMar>
            <w:vAlign w:val="center"/>
          </w:tcPr>
          <w:p>
            <w:pPr>
              <w:jc w:val="left"/>
            </w:pPr>
            <w:r>
              <w:rPr>
                <w:b w:val="false"/>
                <w:bCs w:val="false"/>
                <w:sz w:val="18"/>
                <w:szCs w:val="18"/>
              </w:rPr>
              <w:t xml:space="preserve">AI Layer</w:t>
            </w:r>
          </w:p>
        </w:tc>
        <w:tc>
          <w:tcPr>
            <w:tcW w:type="dxa" w:w="6200"/>
            <w:tcMar>
              <w:top w:type="dxa" w:w="60"/>
              <w:left w:type="dxa" w:w="100"/>
              <w:bottom w:type="dxa" w:w="60"/>
              <w:right w:type="dxa" w:w="100"/>
            </w:tcMar>
            <w:vAlign w:val="center"/>
          </w:tcPr>
          <w:p>
            <w:pPr>
              <w:jc w:val="left"/>
            </w:pPr>
            <w:r>
              <w:rPr>
                <w:b w:val="false"/>
                <w:bCs w:val="false"/>
                <w:sz w:val="18"/>
                <w:szCs w:val="18"/>
              </w:rPr>
              <w:t xml:space="preserve">AI-generated suggestions and observations are never auto-applied to financial/costing results without explicit human confirmation (Section 43 Financial Integrity Rule of the source note).</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BR-AI-002</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AI Layer</w:t>
            </w:r>
          </w:p>
        </w:tc>
        <w:tc>
          <w:tcPr>
            <w:tcW w:type="dxa" w:w="6200"/>
            <w:shd w:fill="F2F2F2" w:color="auto" w:val="clear"/>
            <w:tcMar>
              <w:top w:type="dxa" w:w="60"/>
              <w:left w:type="dxa" w:w="100"/>
              <w:bottom w:type="dxa" w:w="60"/>
              <w:right w:type="dxa" w:w="100"/>
            </w:tcMar>
            <w:vAlign w:val="center"/>
          </w:tcPr>
          <w:p>
            <w:pPr>
              <w:jc w:val="left"/>
            </w:pPr>
            <w:r>
              <w:rPr>
                <w:b w:val="false"/>
                <w:bCs w:val="false"/>
                <w:sz w:val="18"/>
                <w:szCs w:val="18"/>
              </w:rPr>
              <w:t xml:space="preserve">Every AI suggestion's outcome (accepted as-is / edited / rejected) is logged, to support AI Governance and accuracy tracking (Section 23).</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BR-AI-003</w:t>
            </w:r>
          </w:p>
        </w:tc>
        <w:tc>
          <w:tcPr>
            <w:tcW w:type="dxa" w:w="1900"/>
            <w:tcMar>
              <w:top w:type="dxa" w:w="60"/>
              <w:left w:type="dxa" w:w="100"/>
              <w:bottom w:type="dxa" w:w="60"/>
              <w:right w:type="dxa" w:w="100"/>
            </w:tcMar>
            <w:vAlign w:val="center"/>
          </w:tcPr>
          <w:p>
            <w:pPr>
              <w:jc w:val="left"/>
            </w:pPr>
            <w:r>
              <w:rPr>
                <w:b w:val="false"/>
                <w:bCs w:val="false"/>
                <w:sz w:val="18"/>
                <w:szCs w:val="18"/>
              </w:rPr>
              <w:t xml:space="preserve">AI Layer</w:t>
            </w:r>
          </w:p>
        </w:tc>
        <w:tc>
          <w:tcPr>
            <w:tcW w:type="dxa" w:w="6200"/>
            <w:tcMar>
              <w:top w:type="dxa" w:w="60"/>
              <w:left w:type="dxa" w:w="100"/>
              <w:bottom w:type="dxa" w:w="60"/>
              <w:right w:type="dxa" w:w="100"/>
            </w:tcMar>
            <w:vAlign w:val="center"/>
          </w:tcPr>
          <w:p>
            <w:pPr>
              <w:jc w:val="left"/>
            </w:pPr>
            <w:r>
              <w:rPr>
                <w:b w:val="false"/>
                <w:bCs w:val="false"/>
                <w:sz w:val="18"/>
                <w:szCs w:val="18"/>
              </w:rPr>
              <w:t xml:space="preserve">Every AI Copilot response must visually distinguish Fact, Calculation, Inference and Prediction, and must carry a confidence indicator for any non-Fact statement.</w:t>
            </w:r>
          </w:p>
        </w:tc>
      </w:tr>
    </w:tbl>
    <w:p>
      <w:pPr>
        <w:spacing w:after="200"/>
      </w:pPr>
    </w:p>
    <w:p>
      <w:pPr>
        <w:pStyle w:val="Heading2"/>
        <w:spacing w:after="160" w:before="320"/>
      </w:pPr>
      <w:r>
        <w:rPr>
          <w:b/>
          <w:bCs/>
        </w:rPr>
        <w:t xml:space="preserve">18.5 Security and Administration Rules</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900"/>
        <w:gridCol w:w="620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Rule ID</w:t>
            </w:r>
          </w:p>
        </w:tc>
        <w:tc>
          <w:tcPr>
            <w:tcW w:type="dxa" w:w="1900"/>
            <w:shd w:fill="1F3864" w:color="auto"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6200"/>
            <w:shd w:fill="1F3864" w:color="auto" w:val="clear"/>
            <w:tcMar>
              <w:top w:type="dxa" w:w="60"/>
              <w:left w:type="dxa" w:w="100"/>
              <w:bottom w:type="dxa" w:w="60"/>
              <w:right w:type="dxa" w:w="100"/>
            </w:tcMar>
            <w:vAlign w:val="center"/>
          </w:tcPr>
          <w:p>
            <w:pPr>
              <w:jc w:val="left"/>
            </w:pPr>
            <w:r>
              <w:rPr>
                <w:b/>
                <w:bCs/>
                <w:color w:val="FFFFFF"/>
                <w:sz w:val="18"/>
                <w:szCs w:val="18"/>
              </w:rPr>
              <w:t xml:space="preserve">Rule</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BR-USER-001</w:t>
            </w:r>
          </w:p>
        </w:tc>
        <w:tc>
          <w:tcPr>
            <w:tcW w:type="dxa" w:w="1900"/>
            <w:tcMar>
              <w:top w:type="dxa" w:w="60"/>
              <w:left w:type="dxa" w:w="100"/>
              <w:bottom w:type="dxa" w:w="60"/>
              <w:right w:type="dxa" w:w="100"/>
            </w:tcMar>
            <w:vAlign w:val="center"/>
          </w:tcPr>
          <w:p>
            <w:pPr>
              <w:jc w:val="left"/>
            </w:pPr>
            <w:r>
              <w:rPr>
                <w:b w:val="false"/>
                <w:bCs w:val="false"/>
                <w:sz w:val="18"/>
                <w:szCs w:val="18"/>
              </w:rPr>
              <w:t xml:space="preserve">User Master</w:t>
            </w:r>
          </w:p>
        </w:tc>
        <w:tc>
          <w:tcPr>
            <w:tcW w:type="dxa" w:w="6200"/>
            <w:tcMar>
              <w:top w:type="dxa" w:w="60"/>
              <w:left w:type="dxa" w:w="100"/>
              <w:bottom w:type="dxa" w:w="60"/>
              <w:right w:type="dxa" w:w="100"/>
            </w:tcMar>
            <w:vAlign w:val="center"/>
          </w:tcPr>
          <w:p>
            <w:pPr>
              <w:jc w:val="left"/>
            </w:pPr>
            <w:r>
              <w:rPr>
                <w:b w:val="false"/>
                <w:bCs w:val="false"/>
                <w:sz w:val="18"/>
                <w:szCs w:val="18"/>
              </w:rPr>
              <w:t xml:space="preserve">A user has exactly one primary tenant in the MVP (a person working across multiple customer organisations needs a separate account per tenant) — Proposed, To Be Confirmed for Phase 2.</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BR-SEC-001</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Security / RBAC</w:t>
            </w:r>
          </w:p>
        </w:tc>
        <w:tc>
          <w:tcPr>
            <w:tcW w:type="dxa" w:w="6200"/>
            <w:shd w:fill="F2F2F2" w:color="auto" w:val="clear"/>
            <w:tcMar>
              <w:top w:type="dxa" w:w="60"/>
              <w:left w:type="dxa" w:w="100"/>
              <w:bottom w:type="dxa" w:w="60"/>
              <w:right w:type="dxa" w:w="100"/>
            </w:tcMar>
            <w:vAlign w:val="center"/>
          </w:tcPr>
          <w:p>
            <w:pPr>
              <w:jc w:val="left"/>
            </w:pPr>
            <w:r>
              <w:rPr>
                <w:b w:val="false"/>
                <w:bCs w:val="false"/>
                <w:sz w:val="18"/>
                <w:szCs w:val="18"/>
              </w:rPr>
              <w:t xml:space="preserve">Separation of duties: a Customer Administrator cannot self-assign CMA approval permissions; where practical, the actor who causes an exception should not be the sole approver of its resolution — Proposed, To Be Confirmed enforcement mechanism.</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BR-SEC-002</w:t>
            </w:r>
          </w:p>
        </w:tc>
        <w:tc>
          <w:tcPr>
            <w:tcW w:type="dxa" w:w="1900"/>
            <w:tcMar>
              <w:top w:type="dxa" w:w="60"/>
              <w:left w:type="dxa" w:w="100"/>
              <w:bottom w:type="dxa" w:w="60"/>
              <w:right w:type="dxa" w:w="100"/>
            </w:tcMar>
            <w:vAlign w:val="center"/>
          </w:tcPr>
          <w:p>
            <w:pPr>
              <w:jc w:val="left"/>
            </w:pPr>
            <w:r>
              <w:rPr>
                <w:b w:val="false"/>
                <w:bCs w:val="false"/>
                <w:sz w:val="18"/>
                <w:szCs w:val="18"/>
              </w:rPr>
              <w:t xml:space="preserve">Security / Tenant Isolation</w:t>
            </w:r>
          </w:p>
        </w:tc>
        <w:tc>
          <w:tcPr>
            <w:tcW w:type="dxa" w:w="6200"/>
            <w:tcMar>
              <w:top w:type="dxa" w:w="60"/>
              <w:left w:type="dxa" w:w="100"/>
              <w:bottom w:type="dxa" w:w="60"/>
              <w:right w:type="dxa" w:w="100"/>
            </w:tcMar>
            <w:vAlign w:val="center"/>
          </w:tcPr>
          <w:p>
            <w:pPr>
              <w:jc w:val="left"/>
            </w:pPr>
            <w:r>
              <w:rPr>
                <w:b w:val="false"/>
                <w:bCs w:val="false"/>
                <w:sz w:val="18"/>
                <w:szCs w:val="18"/>
              </w:rPr>
              <w:t xml:space="preserve">Every tenant-scoped query must be scoped by the authenticated session's tenant_id, sourced server-side, never from client input (Section 17.12, Part 2).</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BR-SEC-003</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Security / Architecture</w:t>
            </w:r>
          </w:p>
        </w:tc>
        <w:tc>
          <w:tcPr>
            <w:tcW w:type="dxa" w:w="6200"/>
            <w:shd w:fill="F2F2F2" w:color="auto" w:val="clear"/>
            <w:tcMar>
              <w:top w:type="dxa" w:w="60"/>
              <w:left w:type="dxa" w:w="100"/>
              <w:bottom w:type="dxa" w:w="60"/>
              <w:right w:type="dxa" w:w="100"/>
            </w:tcMar>
            <w:vAlign w:val="center"/>
          </w:tcPr>
          <w:p>
            <w:pPr>
              <w:jc w:val="left"/>
            </w:pPr>
            <w:r>
              <w:rPr>
                <w:b w:val="false"/>
                <w:bCs w:val="false"/>
                <w:sz w:val="18"/>
                <w:szCs w:val="18"/>
              </w:rPr>
              <w:t xml:space="preserve">Authorisation is checked once, at the Controller layer; downstream layers (engines, data access) trust the Controller's authorisation decision rather than re-implementing it (Section 7.3, Part 1).</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BR-SEC-004</w:t>
            </w:r>
          </w:p>
        </w:tc>
        <w:tc>
          <w:tcPr>
            <w:tcW w:type="dxa" w:w="1900"/>
            <w:tcMar>
              <w:top w:type="dxa" w:w="60"/>
              <w:left w:type="dxa" w:w="100"/>
              <w:bottom w:type="dxa" w:w="60"/>
              <w:right w:type="dxa" w:w="100"/>
            </w:tcMar>
            <w:vAlign w:val="center"/>
          </w:tcPr>
          <w:p>
            <w:pPr>
              <w:jc w:val="left"/>
            </w:pPr>
            <w:r>
              <w:rPr>
                <w:b w:val="false"/>
                <w:bCs w:val="false"/>
                <w:sz w:val="18"/>
                <w:szCs w:val="18"/>
              </w:rPr>
              <w:t xml:space="preserve">Security / Authentication</w:t>
            </w:r>
          </w:p>
        </w:tc>
        <w:tc>
          <w:tcPr>
            <w:tcW w:type="dxa" w:w="6200"/>
            <w:tcMar>
              <w:top w:type="dxa" w:w="60"/>
              <w:left w:type="dxa" w:w="100"/>
              <w:bottom w:type="dxa" w:w="60"/>
              <w:right w:type="dxa" w:w="100"/>
            </w:tcMar>
            <w:vAlign w:val="center"/>
          </w:tcPr>
          <w:p>
            <w:pPr>
              <w:jc w:val="left"/>
            </w:pPr>
            <w:r>
              <w:rPr>
                <w:b w:val="false"/>
                <w:bCs w:val="false"/>
                <w:sz w:val="18"/>
                <w:szCs w:val="18"/>
              </w:rPr>
              <w:t xml:space="preserve">Password policy (Proposed, To Be Confirmed exact parameters): minimum length and complexity; account lockout after repeated failed attempts (Proposed: 5 attempts / 15 minutes).</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BR-SEC-005</w:t>
            </w:r>
          </w:p>
        </w:tc>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Security / Session</w:t>
            </w:r>
          </w:p>
        </w:tc>
        <w:tc>
          <w:tcPr>
            <w:tcW w:type="dxa" w:w="6200"/>
            <w:shd w:fill="F2F2F2" w:color="auto" w:val="clear"/>
            <w:tcMar>
              <w:top w:type="dxa" w:w="60"/>
              <w:left w:type="dxa" w:w="100"/>
              <w:bottom w:type="dxa" w:w="60"/>
              <w:right w:type="dxa" w:w="100"/>
            </w:tcMar>
            <w:vAlign w:val="center"/>
          </w:tcPr>
          <w:p>
            <w:pPr>
              <w:jc w:val="left"/>
            </w:pPr>
            <w:r>
              <w:rPr>
                <w:b w:val="false"/>
                <w:bCs w:val="false"/>
                <w:sz w:val="18"/>
                <w:szCs w:val="18"/>
              </w:rPr>
              <w:t xml:space="preserve">Sessions expire after a configured idle timeout (Proposed Target: 30 minutes, To Be Confirmed) and are invalidated on logout.</w:t>
            </w:r>
          </w:p>
        </w:tc>
      </w:tr>
    </w:tbl>
    <w:p>
      <w:r>
        <w:br w:type="page"/>
      </w:r>
    </w:p>
    <w:p>
      <w:pPr>
        <w:pStyle w:val="Heading1"/>
        <w:spacing w:after="240" w:before="480"/>
      </w:pPr>
      <w:r>
        <w:rPr>
          <w:b/>
          <w:bCs/>
        </w:rPr>
        <w:t xml:space="preserve">19. Validation Rules</w:t>
      </w:r>
    </w:p>
    <w:p>
      <w:pPr>
        <w:spacing w:after="160"/>
      </w:pPr>
      <w:r>
        <w:t xml:space="preserve">Severity classification used throughout: Error (blocks progression to the next pipeline stage until resolved or explicitly overridden with a logged reason), Warning (does not block, but is surfaced prominently and factored into the Data Quality Score), Information (advisory only, e.g. a value that is unusual but not invalid).</w:t>
      </w:r>
    </w:p>
    <w:p>
      <w:pPr>
        <w:pStyle w:val="Heading2"/>
        <w:spacing w:after="160" w:before="320"/>
      </w:pPr>
      <w:r>
        <w:rPr>
          <w:b/>
          <w:bCs/>
        </w:rPr>
        <w:t xml:space="preserve">19.1 File Upload</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7200"/>
        <w:gridCol w:w="2400"/>
      </w:tblGrid>
      <w:tr>
        <w:trPr>
          <w:tblHeader/>
        </w:trPr>
        <w:tc>
          <w:tcPr>
            <w:tcW w:type="dxa" w:w="7200"/>
            <w:shd w:fill="1F3864" w:color="auto" w:val="clear"/>
            <w:tcMar>
              <w:top w:type="dxa" w:w="60"/>
              <w:left w:type="dxa" w:w="100"/>
              <w:bottom w:type="dxa" w:w="60"/>
              <w:right w:type="dxa" w:w="100"/>
            </w:tcMar>
            <w:vAlign w:val="center"/>
          </w:tcPr>
          <w:p>
            <w:pPr>
              <w:jc w:val="left"/>
            </w:pPr>
            <w:r>
              <w:rPr>
                <w:b/>
                <w:bCs/>
                <w:color w:val="FFFFFF"/>
                <w:sz w:val="18"/>
                <w:szCs w:val="18"/>
              </w:rPr>
              <w:t xml:space="preserve">Rule</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Severity</w:t>
            </w:r>
          </w:p>
        </w:tc>
      </w:tr>
      <w:tr>
        <w:tc>
          <w:tcPr>
            <w:tcW w:type="dxa" w:w="7200"/>
            <w:tcMar>
              <w:top w:type="dxa" w:w="60"/>
              <w:left w:type="dxa" w:w="100"/>
              <w:bottom w:type="dxa" w:w="60"/>
              <w:right w:type="dxa" w:w="100"/>
            </w:tcMar>
            <w:vAlign w:val="center"/>
          </w:tcPr>
          <w:p>
            <w:pPr>
              <w:jc w:val="left"/>
            </w:pPr>
            <w:r>
              <w:rPr>
                <w:b w:val="false"/>
                <w:bCs w:val="false"/>
                <w:sz w:val="18"/>
                <w:szCs w:val="18"/>
              </w:rPr>
              <w:t xml:space="preserve">File type is not one of the supported formats (xlsx/xls/csv — Proposed)</w:t>
            </w:r>
          </w:p>
        </w:tc>
        <w:tc>
          <w:tcPr>
            <w:tcW w:type="dxa" w:w="2400"/>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File is empty or unreadable</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tcMar>
              <w:top w:type="dxa" w:w="60"/>
              <w:left w:type="dxa" w:w="100"/>
              <w:bottom w:type="dxa" w:w="60"/>
              <w:right w:type="dxa" w:w="100"/>
            </w:tcMar>
            <w:vAlign w:val="center"/>
          </w:tcPr>
          <w:p>
            <w:pPr>
              <w:jc w:val="left"/>
            </w:pPr>
            <w:r>
              <w:rPr>
                <w:b w:val="false"/>
                <w:bCs w:val="false"/>
                <w:sz w:val="18"/>
                <w:szCs w:val="18"/>
              </w:rPr>
              <w:t xml:space="preserve">File exceeds maximum size (Proposed Target, To Be Confirmed)</w:t>
            </w:r>
          </w:p>
        </w:tc>
        <w:tc>
          <w:tcPr>
            <w:tcW w:type="dxa" w:w="2400"/>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File name suggests a duplicate of a recent upload for the same source type/period</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Warning</w:t>
            </w:r>
          </w:p>
        </w:tc>
      </w:tr>
    </w:tbl>
    <w:p>
      <w:pPr>
        <w:spacing w:after="200"/>
      </w:pPr>
    </w:p>
    <w:p>
      <w:pPr>
        <w:pStyle w:val="Heading2"/>
        <w:spacing w:after="160" w:before="320"/>
      </w:pPr>
      <w:r>
        <w:rPr>
          <w:b/>
          <w:bCs/>
        </w:rPr>
        <w:t xml:space="preserve">19.2 Mapping</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7200"/>
        <w:gridCol w:w="2400"/>
      </w:tblGrid>
      <w:tr>
        <w:trPr>
          <w:tblHeader/>
        </w:trPr>
        <w:tc>
          <w:tcPr>
            <w:tcW w:type="dxa" w:w="7200"/>
            <w:shd w:fill="1F3864" w:color="auto" w:val="clear"/>
            <w:tcMar>
              <w:top w:type="dxa" w:w="60"/>
              <w:left w:type="dxa" w:w="100"/>
              <w:bottom w:type="dxa" w:w="60"/>
              <w:right w:type="dxa" w:w="100"/>
            </w:tcMar>
            <w:vAlign w:val="center"/>
          </w:tcPr>
          <w:p>
            <w:pPr>
              <w:jc w:val="left"/>
            </w:pPr>
            <w:r>
              <w:rPr>
                <w:b/>
                <w:bCs/>
                <w:color w:val="FFFFFF"/>
                <w:sz w:val="18"/>
                <w:szCs w:val="18"/>
              </w:rPr>
              <w:t xml:space="preserve">Rule</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Severity</w:t>
            </w:r>
          </w:p>
        </w:tc>
      </w:tr>
      <w:tr>
        <w:tc>
          <w:tcPr>
            <w:tcW w:type="dxa" w:w="7200"/>
            <w:tcMar>
              <w:top w:type="dxa" w:w="60"/>
              <w:left w:type="dxa" w:w="100"/>
              <w:bottom w:type="dxa" w:w="60"/>
              <w:right w:type="dxa" w:w="100"/>
            </w:tcMar>
            <w:vAlign w:val="center"/>
          </w:tcPr>
          <w:p>
            <w:pPr>
              <w:jc w:val="left"/>
            </w:pPr>
            <w:r>
              <w:rPr>
                <w:b w:val="false"/>
                <w:bCs w:val="false"/>
                <w:sz w:val="18"/>
                <w:szCs w:val="18"/>
              </w:rPr>
              <w:t xml:space="preserve">A mandatory canonical field has no source mapping and no Not-Applicable justification (BR-MAP-001)</w:t>
            </w:r>
          </w:p>
        </w:tc>
        <w:tc>
          <w:tcPr>
            <w:tcW w:type="dxa" w:w="2400"/>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Two source columns map to the same target field without an aggregation rule</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tcMar>
              <w:top w:type="dxa" w:w="60"/>
              <w:left w:type="dxa" w:w="100"/>
              <w:bottom w:type="dxa" w:w="60"/>
              <w:right w:type="dxa" w:w="100"/>
            </w:tcMar>
            <w:vAlign w:val="center"/>
          </w:tcPr>
          <w:p>
            <w:pPr>
              <w:jc w:val="left"/>
            </w:pPr>
            <w:r>
              <w:rPr>
                <w:b w:val="false"/>
                <w:bCs w:val="false"/>
                <w:sz w:val="18"/>
                <w:szCs w:val="18"/>
              </w:rPr>
              <w:t xml:space="preserve">A mapped column's sample values do not match the expected data type for the target field</w:t>
            </w:r>
          </w:p>
        </w:tc>
        <w:tc>
          <w:tcPr>
            <w:tcW w:type="dxa" w:w="2400"/>
            <w:tcMar>
              <w:top w:type="dxa" w:w="60"/>
              <w:left w:type="dxa" w:w="100"/>
              <w:bottom w:type="dxa" w:w="60"/>
              <w:right w:type="dxa" w:w="100"/>
            </w:tcMar>
            <w:vAlign w:val="center"/>
          </w:tcPr>
          <w:p>
            <w:pPr>
              <w:jc w:val="left"/>
            </w:pPr>
            <w:r>
              <w:rPr>
                <w:b w:val="false"/>
                <w:bCs w:val="false"/>
                <w:sz w:val="18"/>
                <w:szCs w:val="18"/>
              </w:rPr>
              <w:t xml:space="preserve">Warning</w:t>
            </w:r>
          </w:p>
        </w:tc>
      </w:tr>
      <w:tr>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An AI-suggested mapping was accepted without any manual review (flagged for governance, not blocking)</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Information</w:t>
            </w:r>
          </w:p>
        </w:tc>
      </w:tr>
    </w:tbl>
    <w:p>
      <w:pPr>
        <w:spacing w:after="200"/>
      </w:pPr>
    </w:p>
    <w:p>
      <w:pPr>
        <w:pStyle w:val="Heading2"/>
        <w:spacing w:after="160" w:before="320"/>
      </w:pPr>
      <w:r>
        <w:rPr>
          <w:b/>
          <w:bCs/>
        </w:rPr>
        <w:t xml:space="preserve">19.3 Master Data (Item, BOM, Standard Cost, Allocation Rule, etc.)</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7200"/>
        <w:gridCol w:w="2400"/>
      </w:tblGrid>
      <w:tr>
        <w:trPr>
          <w:tblHeader/>
        </w:trPr>
        <w:tc>
          <w:tcPr>
            <w:tcW w:type="dxa" w:w="7200"/>
            <w:shd w:fill="1F3864" w:color="auto" w:val="clear"/>
            <w:tcMar>
              <w:top w:type="dxa" w:w="60"/>
              <w:left w:type="dxa" w:w="100"/>
              <w:bottom w:type="dxa" w:w="60"/>
              <w:right w:type="dxa" w:w="100"/>
            </w:tcMar>
            <w:vAlign w:val="center"/>
          </w:tcPr>
          <w:p>
            <w:pPr>
              <w:jc w:val="left"/>
            </w:pPr>
            <w:r>
              <w:rPr>
                <w:b/>
                <w:bCs/>
                <w:color w:val="FFFFFF"/>
                <w:sz w:val="18"/>
                <w:szCs w:val="18"/>
              </w:rPr>
              <w:t xml:space="preserve">Rule</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Severity</w:t>
            </w:r>
          </w:p>
        </w:tc>
      </w:tr>
      <w:tr>
        <w:tc>
          <w:tcPr>
            <w:tcW w:type="dxa" w:w="7200"/>
            <w:tcMar>
              <w:top w:type="dxa" w:w="60"/>
              <w:left w:type="dxa" w:w="100"/>
              <w:bottom w:type="dxa" w:w="60"/>
              <w:right w:type="dxa" w:w="100"/>
            </w:tcMar>
            <w:vAlign w:val="center"/>
          </w:tcPr>
          <w:p>
            <w:pPr>
              <w:jc w:val="left"/>
            </w:pPr>
            <w:r>
              <w:rPr>
                <w:b w:val="false"/>
                <w:bCs w:val="false"/>
                <w:sz w:val="18"/>
                <w:szCs w:val="18"/>
              </w:rPr>
              <w:t xml:space="preserve">Mandatory field missing (per master, Section 10, Part 2)</w:t>
            </w:r>
          </w:p>
        </w:tc>
        <w:tc>
          <w:tcPr>
            <w:tcW w:type="dxa" w:w="2400"/>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Referenced entity does not exist (e.g. BOM component item not found in Item Master)</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tcMar>
              <w:top w:type="dxa" w:w="60"/>
              <w:left w:type="dxa" w:w="100"/>
              <w:bottom w:type="dxa" w:w="60"/>
              <w:right w:type="dxa" w:w="100"/>
            </w:tcMar>
            <w:vAlign w:val="center"/>
          </w:tcPr>
          <w:p>
            <w:pPr>
              <w:jc w:val="left"/>
            </w:pPr>
            <w:r>
              <w:rPr>
                <w:b w:val="false"/>
                <w:bCs w:val="false"/>
                <w:sz w:val="18"/>
                <w:szCs w:val="18"/>
              </w:rPr>
              <w:t xml:space="preserve">Effective-dated record has an overlapping date range with an existing active record</w:t>
            </w:r>
          </w:p>
        </w:tc>
        <w:tc>
          <w:tcPr>
            <w:tcW w:type="dxa" w:w="2400"/>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A new master record duplicates an existing one by name (not code) — possible duplicate entry</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Warning</w:t>
            </w:r>
          </w:p>
        </w:tc>
      </w:tr>
    </w:tbl>
    <w:p>
      <w:pPr>
        <w:spacing w:after="200"/>
      </w:pPr>
    </w:p>
    <w:p>
      <w:pPr>
        <w:pStyle w:val="Heading2"/>
        <w:spacing w:after="160" w:before="320"/>
      </w:pPr>
      <w:r>
        <w:rPr>
          <w:b/>
          <w:bCs/>
        </w:rPr>
        <w:t xml:space="preserve">19.4 Trial Balance</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7200"/>
        <w:gridCol w:w="2400"/>
      </w:tblGrid>
      <w:tr>
        <w:trPr>
          <w:tblHeader/>
        </w:trPr>
        <w:tc>
          <w:tcPr>
            <w:tcW w:type="dxa" w:w="7200"/>
            <w:shd w:fill="1F3864" w:color="auto" w:val="clear"/>
            <w:tcMar>
              <w:top w:type="dxa" w:w="60"/>
              <w:left w:type="dxa" w:w="100"/>
              <w:bottom w:type="dxa" w:w="60"/>
              <w:right w:type="dxa" w:w="100"/>
            </w:tcMar>
            <w:vAlign w:val="center"/>
          </w:tcPr>
          <w:p>
            <w:pPr>
              <w:jc w:val="left"/>
            </w:pPr>
            <w:r>
              <w:rPr>
                <w:b/>
                <w:bCs/>
                <w:color w:val="FFFFFF"/>
                <w:sz w:val="18"/>
                <w:szCs w:val="18"/>
              </w:rPr>
              <w:t xml:space="preserve">Rule</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Severity</w:t>
            </w:r>
          </w:p>
        </w:tc>
      </w:tr>
      <w:tr>
        <w:tc>
          <w:tcPr>
            <w:tcW w:type="dxa" w:w="7200"/>
            <w:tcMar>
              <w:top w:type="dxa" w:w="60"/>
              <w:left w:type="dxa" w:w="100"/>
              <w:bottom w:type="dxa" w:w="60"/>
              <w:right w:type="dxa" w:w="100"/>
            </w:tcMar>
            <w:vAlign w:val="center"/>
          </w:tcPr>
          <w:p>
            <w:pPr>
              <w:jc w:val="left"/>
            </w:pPr>
            <w:r>
              <w:rPr>
                <w:b w:val="false"/>
                <w:bCs w:val="false"/>
                <w:sz w:val="18"/>
                <w:szCs w:val="18"/>
              </w:rPr>
              <w:t xml:space="preserve">Total Debits ≠ Total Credits for the uploaded TB</w:t>
            </w:r>
          </w:p>
        </w:tc>
        <w:tc>
          <w:tcPr>
            <w:tcW w:type="dxa" w:w="2400"/>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A GL account in the TB has no GL Classification mapping</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tcMar>
              <w:top w:type="dxa" w:w="60"/>
              <w:left w:type="dxa" w:w="100"/>
              <w:bottom w:type="dxa" w:w="60"/>
              <w:right w:type="dxa" w:w="100"/>
            </w:tcMar>
            <w:vAlign w:val="center"/>
          </w:tcPr>
          <w:p>
            <w:pPr>
              <w:jc w:val="left"/>
            </w:pPr>
            <w:r>
              <w:rPr>
                <w:b w:val="false"/>
                <w:bCs w:val="false"/>
                <w:sz w:val="18"/>
                <w:szCs w:val="18"/>
              </w:rPr>
              <w:t xml:space="preserve">A TB account balance moved by more than a configured % vs prior period — Proposed threshold, TBC</w:t>
            </w:r>
          </w:p>
        </w:tc>
        <w:tc>
          <w:tcPr>
            <w:tcW w:type="dxa" w:w="2400"/>
            <w:tcMar>
              <w:top w:type="dxa" w:w="60"/>
              <w:left w:type="dxa" w:w="100"/>
              <w:bottom w:type="dxa" w:w="60"/>
              <w:right w:type="dxa" w:w="100"/>
            </w:tcMar>
            <w:vAlign w:val="center"/>
          </w:tcPr>
          <w:p>
            <w:pPr>
              <w:jc w:val="left"/>
            </w:pPr>
            <w:r>
              <w:rPr>
                <w:b w:val="false"/>
                <w:bCs w:val="false"/>
                <w:sz w:val="18"/>
                <w:szCs w:val="18"/>
              </w:rPr>
              <w:t xml:space="preserve">Warning</w:t>
            </w:r>
          </w:p>
        </w:tc>
      </w:tr>
      <w:tr>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A previously-populated account is missing from this period's TB</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Warning</w:t>
            </w:r>
          </w:p>
        </w:tc>
      </w:tr>
    </w:tbl>
    <w:p>
      <w:pPr>
        <w:spacing w:after="200"/>
      </w:pPr>
    </w:p>
    <w:p>
      <w:pPr>
        <w:pStyle w:val="Heading2"/>
        <w:spacing w:after="160" w:before="320"/>
      </w:pPr>
      <w:r>
        <w:rPr>
          <w:b/>
          <w:bCs/>
        </w:rPr>
        <w:t xml:space="preserve">19.5 Inventory</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7200"/>
        <w:gridCol w:w="2400"/>
      </w:tblGrid>
      <w:tr>
        <w:trPr>
          <w:tblHeader/>
        </w:trPr>
        <w:tc>
          <w:tcPr>
            <w:tcW w:type="dxa" w:w="7200"/>
            <w:shd w:fill="1F3864" w:color="auto" w:val="clear"/>
            <w:tcMar>
              <w:top w:type="dxa" w:w="60"/>
              <w:left w:type="dxa" w:w="100"/>
              <w:bottom w:type="dxa" w:w="60"/>
              <w:right w:type="dxa" w:w="100"/>
            </w:tcMar>
            <w:vAlign w:val="center"/>
          </w:tcPr>
          <w:p>
            <w:pPr>
              <w:jc w:val="left"/>
            </w:pPr>
            <w:r>
              <w:rPr>
                <w:b/>
                <w:bCs/>
                <w:color w:val="FFFFFF"/>
                <w:sz w:val="18"/>
                <w:szCs w:val="18"/>
              </w:rPr>
              <w:t xml:space="preserve">Rule</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Severity</w:t>
            </w:r>
          </w:p>
        </w:tc>
      </w:tr>
      <w:tr>
        <w:tc>
          <w:tcPr>
            <w:tcW w:type="dxa" w:w="7200"/>
            <w:tcMar>
              <w:top w:type="dxa" w:w="60"/>
              <w:left w:type="dxa" w:w="100"/>
              <w:bottom w:type="dxa" w:w="60"/>
              <w:right w:type="dxa" w:w="100"/>
            </w:tcMar>
            <w:vAlign w:val="center"/>
          </w:tcPr>
          <w:p>
            <w:pPr>
              <w:jc w:val="left"/>
            </w:pPr>
            <w:r>
              <w:rPr>
                <w:b w:val="false"/>
                <w:bCs w:val="false"/>
                <w:sz w:val="18"/>
                <w:szCs w:val="18"/>
              </w:rPr>
              <w:t xml:space="preserve">BR-INV-001 identity fails to balance for an item/warehouse/period</w:t>
            </w:r>
          </w:p>
        </w:tc>
        <w:tc>
          <w:tcPr>
            <w:tcW w:type="dxa" w:w="2400"/>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Issue quantity exceeds available balance without a logged override (BR-INV-002)</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tcMar>
              <w:top w:type="dxa" w:w="60"/>
              <w:left w:type="dxa" w:w="100"/>
              <w:bottom w:type="dxa" w:w="60"/>
              <w:right w:type="dxa" w:w="100"/>
            </w:tcMar>
            <w:vAlign w:val="center"/>
          </w:tcPr>
          <w:p>
            <w:pPr>
              <w:jc w:val="left"/>
            </w:pPr>
            <w:r>
              <w:rPr>
                <w:b w:val="false"/>
                <w:bCs w:val="false"/>
                <w:sz w:val="18"/>
                <w:szCs w:val="18"/>
              </w:rPr>
              <w:t xml:space="preserve">A receipt transaction has no unit cost</w:t>
            </w:r>
          </w:p>
        </w:tc>
        <w:tc>
          <w:tcPr>
            <w:tcW w:type="dxa" w:w="2400"/>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Closing quantity is zero but closing value is non-zero (or vice versa)</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Warning</w:t>
            </w:r>
          </w:p>
        </w:tc>
      </w:tr>
    </w:tbl>
    <w:p>
      <w:pPr>
        <w:spacing w:after="200"/>
      </w:pPr>
    </w:p>
    <w:p>
      <w:pPr>
        <w:pStyle w:val="Heading2"/>
        <w:spacing w:after="160" w:before="320"/>
      </w:pPr>
      <w:r>
        <w:rPr>
          <w:b/>
          <w:bCs/>
        </w:rPr>
        <w:t xml:space="preserve">19.6 BOM</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7200"/>
        <w:gridCol w:w="2400"/>
      </w:tblGrid>
      <w:tr>
        <w:trPr>
          <w:tblHeader/>
        </w:trPr>
        <w:tc>
          <w:tcPr>
            <w:tcW w:type="dxa" w:w="7200"/>
            <w:shd w:fill="1F3864" w:color="auto" w:val="clear"/>
            <w:tcMar>
              <w:top w:type="dxa" w:w="60"/>
              <w:left w:type="dxa" w:w="100"/>
              <w:bottom w:type="dxa" w:w="60"/>
              <w:right w:type="dxa" w:w="100"/>
            </w:tcMar>
            <w:vAlign w:val="center"/>
          </w:tcPr>
          <w:p>
            <w:pPr>
              <w:jc w:val="left"/>
            </w:pPr>
            <w:r>
              <w:rPr>
                <w:b/>
                <w:bCs/>
                <w:color w:val="FFFFFF"/>
                <w:sz w:val="18"/>
                <w:szCs w:val="18"/>
              </w:rPr>
              <w:t xml:space="preserve">Rule</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Severity</w:t>
            </w:r>
          </w:p>
        </w:tc>
      </w:tr>
      <w:tr>
        <w:tc>
          <w:tcPr>
            <w:tcW w:type="dxa" w:w="7200"/>
            <w:tcMar>
              <w:top w:type="dxa" w:w="60"/>
              <w:left w:type="dxa" w:w="100"/>
              <w:bottom w:type="dxa" w:w="60"/>
              <w:right w:type="dxa" w:w="100"/>
            </w:tcMar>
            <w:vAlign w:val="center"/>
          </w:tcPr>
          <w:p>
            <w:pPr>
              <w:jc w:val="left"/>
            </w:pPr>
            <w:r>
              <w:rPr>
                <w:b w:val="false"/>
                <w:bCs w:val="false"/>
                <w:sz w:val="18"/>
                <w:szCs w:val="18"/>
              </w:rPr>
              <w:t xml:space="preserve">Circular reference detected (BR-BOM-001)</w:t>
            </w:r>
          </w:p>
        </w:tc>
        <w:tc>
          <w:tcPr>
            <w:tcW w:type="dxa" w:w="2400"/>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Component quantity-per ≤ 0</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tcMar>
              <w:top w:type="dxa" w:w="60"/>
              <w:left w:type="dxa" w:w="100"/>
              <w:bottom w:type="dxa" w:w="60"/>
              <w:right w:type="dxa" w:w="100"/>
            </w:tcMar>
            <w:vAlign w:val="center"/>
          </w:tcPr>
          <w:p>
            <w:pPr>
              <w:jc w:val="left"/>
            </w:pPr>
            <w:r>
              <w:rPr>
                <w:b w:val="false"/>
                <w:bCs w:val="false"/>
                <w:sz w:val="18"/>
                <w:szCs w:val="18"/>
              </w:rPr>
              <w:t xml:space="preserve">More than one Active BOM version overlaps for the same item/date (BR-BOM-002)</w:t>
            </w:r>
          </w:p>
        </w:tc>
        <w:tc>
          <w:tcPr>
            <w:tcW w:type="dxa" w:w="2400"/>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A BOM has not been revised in over a configured period — Proposed staleness check, TBC</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Information</w:t>
            </w:r>
          </w:p>
        </w:tc>
      </w:tr>
    </w:tbl>
    <w:p>
      <w:pPr>
        <w:spacing w:after="200"/>
      </w:pPr>
    </w:p>
    <w:p>
      <w:pPr>
        <w:pStyle w:val="Heading2"/>
        <w:spacing w:after="160" w:before="320"/>
      </w:pPr>
      <w:r>
        <w:rPr>
          <w:b/>
          <w:bCs/>
        </w:rPr>
        <w:t xml:space="preserve">19.7 UOM</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7200"/>
        <w:gridCol w:w="2400"/>
      </w:tblGrid>
      <w:tr>
        <w:trPr>
          <w:tblHeader/>
        </w:trPr>
        <w:tc>
          <w:tcPr>
            <w:tcW w:type="dxa" w:w="7200"/>
            <w:shd w:fill="1F3864" w:color="auto" w:val="clear"/>
            <w:tcMar>
              <w:top w:type="dxa" w:w="60"/>
              <w:left w:type="dxa" w:w="100"/>
              <w:bottom w:type="dxa" w:w="60"/>
              <w:right w:type="dxa" w:w="100"/>
            </w:tcMar>
            <w:vAlign w:val="center"/>
          </w:tcPr>
          <w:p>
            <w:pPr>
              <w:jc w:val="left"/>
            </w:pPr>
            <w:r>
              <w:rPr>
                <w:b/>
                <w:bCs/>
                <w:color w:val="FFFFFF"/>
                <w:sz w:val="18"/>
                <w:szCs w:val="18"/>
              </w:rPr>
              <w:t xml:space="preserve">Rule</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Severity</w:t>
            </w:r>
          </w:p>
        </w:tc>
      </w:tr>
      <w:tr>
        <w:tc>
          <w:tcPr>
            <w:tcW w:type="dxa" w:w="7200"/>
            <w:tcMar>
              <w:top w:type="dxa" w:w="60"/>
              <w:left w:type="dxa" w:w="100"/>
              <w:bottom w:type="dxa" w:w="60"/>
              <w:right w:type="dxa" w:w="100"/>
            </w:tcMar>
            <w:vAlign w:val="center"/>
          </w:tcPr>
          <w:p>
            <w:pPr>
              <w:jc w:val="left"/>
            </w:pPr>
            <w:r>
              <w:rPr>
                <w:b w:val="false"/>
                <w:bCs w:val="false"/>
                <w:sz w:val="18"/>
                <w:szCs w:val="18"/>
              </w:rPr>
              <w:t xml:space="preserve">No conversion factor exists between a transaction's UOM and the item's base UOM</w:t>
            </w:r>
          </w:p>
        </w:tc>
        <w:tc>
          <w:tcPr>
            <w:tcW w:type="dxa" w:w="2400"/>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Conversion factor is zero or negative</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tcMar>
              <w:top w:type="dxa" w:w="60"/>
              <w:left w:type="dxa" w:w="100"/>
              <w:bottom w:type="dxa" w:w="60"/>
              <w:right w:type="dxa" w:w="100"/>
            </w:tcMar>
            <w:vAlign w:val="center"/>
          </w:tcPr>
          <w:p>
            <w:pPr>
              <w:jc w:val="left"/>
            </w:pPr>
            <w:r>
              <w:rPr>
                <w:b w:val="false"/>
                <w:bCs w:val="false"/>
                <w:sz w:val="18"/>
                <w:szCs w:val="18"/>
              </w:rPr>
              <w:t xml:space="preserve">Conversion factor used is outside its own effective-dating window (BR-UOM-001)</w:t>
            </w:r>
          </w:p>
        </w:tc>
        <w:tc>
          <w:tcPr>
            <w:tcW w:type="dxa" w:w="2400"/>
            <w:tcMar>
              <w:top w:type="dxa" w:w="60"/>
              <w:left w:type="dxa" w:w="100"/>
              <w:bottom w:type="dxa" w:w="60"/>
              <w:right w:type="dxa" w:w="100"/>
            </w:tcMar>
            <w:vAlign w:val="center"/>
          </w:tcPr>
          <w:p>
            <w:pPr>
              <w:jc w:val="left"/>
            </w:pPr>
            <w:r>
              <w:rPr>
                <w:b w:val="false"/>
                <w:bCs w:val="false"/>
                <w:sz w:val="18"/>
                <w:szCs w:val="18"/>
              </w:rPr>
              <w:t xml:space="preserve">Error</w:t>
            </w:r>
          </w:p>
        </w:tc>
      </w:tr>
    </w:tbl>
    <w:p>
      <w:pPr>
        <w:spacing w:after="200"/>
      </w:pPr>
    </w:p>
    <w:p>
      <w:pPr>
        <w:pStyle w:val="Heading2"/>
        <w:spacing w:after="160" w:before="320"/>
      </w:pPr>
      <w:r>
        <w:rPr>
          <w:b/>
          <w:bCs/>
        </w:rPr>
        <w:t xml:space="preserve">19.8 Standard Cost</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7200"/>
        <w:gridCol w:w="2400"/>
      </w:tblGrid>
      <w:tr>
        <w:trPr>
          <w:tblHeader/>
        </w:trPr>
        <w:tc>
          <w:tcPr>
            <w:tcW w:type="dxa" w:w="7200"/>
            <w:shd w:fill="1F3864" w:color="auto" w:val="clear"/>
            <w:tcMar>
              <w:top w:type="dxa" w:w="60"/>
              <w:left w:type="dxa" w:w="100"/>
              <w:bottom w:type="dxa" w:w="60"/>
              <w:right w:type="dxa" w:w="100"/>
            </w:tcMar>
            <w:vAlign w:val="center"/>
          </w:tcPr>
          <w:p>
            <w:pPr>
              <w:jc w:val="left"/>
            </w:pPr>
            <w:r>
              <w:rPr>
                <w:b/>
                <w:bCs/>
                <w:color w:val="FFFFFF"/>
                <w:sz w:val="18"/>
                <w:szCs w:val="18"/>
              </w:rPr>
              <w:t xml:space="preserve">Rule</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Severity</w:t>
            </w:r>
          </w:p>
        </w:tc>
      </w:tr>
      <w:tr>
        <w:tc>
          <w:tcPr>
            <w:tcW w:type="dxa" w:w="7200"/>
            <w:tcMar>
              <w:top w:type="dxa" w:w="60"/>
              <w:left w:type="dxa" w:w="100"/>
              <w:bottom w:type="dxa" w:w="60"/>
              <w:right w:type="dxa" w:w="100"/>
            </w:tcMar>
            <w:vAlign w:val="center"/>
          </w:tcPr>
          <w:p>
            <w:pPr>
              <w:jc w:val="left"/>
            </w:pPr>
            <w:r>
              <w:rPr>
                <w:b w:val="false"/>
                <w:bCs w:val="false"/>
                <w:sz w:val="18"/>
                <w:szCs w:val="18"/>
              </w:rPr>
              <w:t xml:space="preserve">Standard rate is negative</w:t>
            </w:r>
          </w:p>
        </w:tc>
        <w:tc>
          <w:tcPr>
            <w:tcW w:type="dxa" w:w="2400"/>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No standard cost exists for an item/component required by a Standard-mode costing run</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tcMar>
              <w:top w:type="dxa" w:w="60"/>
              <w:left w:type="dxa" w:w="100"/>
              <w:bottom w:type="dxa" w:w="60"/>
              <w:right w:type="dxa" w:w="100"/>
            </w:tcMar>
            <w:vAlign w:val="center"/>
          </w:tcPr>
          <w:p>
            <w:pPr>
              <w:jc w:val="left"/>
            </w:pPr>
            <w:r>
              <w:rPr>
                <w:b w:val="false"/>
                <w:bCs w:val="false"/>
                <w:sz w:val="18"/>
                <w:szCs w:val="18"/>
              </w:rPr>
              <w:t xml:space="preserve">Standard rate changed by more than a configured % vs the prior version — Proposed threshold, TBC</w:t>
            </w:r>
          </w:p>
        </w:tc>
        <w:tc>
          <w:tcPr>
            <w:tcW w:type="dxa" w:w="2400"/>
            <w:tcMar>
              <w:top w:type="dxa" w:w="60"/>
              <w:left w:type="dxa" w:w="100"/>
              <w:bottom w:type="dxa" w:w="60"/>
              <w:right w:type="dxa" w:w="100"/>
            </w:tcMar>
            <w:vAlign w:val="center"/>
          </w:tcPr>
          <w:p>
            <w:pPr>
              <w:jc w:val="left"/>
            </w:pPr>
            <w:r>
              <w:rPr>
                <w:b w:val="false"/>
                <w:bCs w:val="false"/>
                <w:sz w:val="18"/>
                <w:szCs w:val="18"/>
              </w:rPr>
              <w:t xml:space="preserve">Warning</w:t>
            </w:r>
          </w:p>
        </w:tc>
      </w:tr>
    </w:tbl>
    <w:p>
      <w:pPr>
        <w:spacing w:after="200"/>
      </w:pPr>
    </w:p>
    <w:p>
      <w:pPr>
        <w:pStyle w:val="Heading2"/>
        <w:spacing w:after="160" w:before="320"/>
      </w:pPr>
      <w:r>
        <w:rPr>
          <w:b/>
          <w:bCs/>
        </w:rPr>
        <w:t xml:space="preserve">19.9 Production</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7200"/>
        <w:gridCol w:w="2400"/>
      </w:tblGrid>
      <w:tr>
        <w:trPr>
          <w:tblHeader/>
        </w:trPr>
        <w:tc>
          <w:tcPr>
            <w:tcW w:type="dxa" w:w="7200"/>
            <w:shd w:fill="1F3864" w:color="auto" w:val="clear"/>
            <w:tcMar>
              <w:top w:type="dxa" w:w="60"/>
              <w:left w:type="dxa" w:w="100"/>
              <w:bottom w:type="dxa" w:w="60"/>
              <w:right w:type="dxa" w:w="100"/>
            </w:tcMar>
            <w:vAlign w:val="center"/>
          </w:tcPr>
          <w:p>
            <w:pPr>
              <w:jc w:val="left"/>
            </w:pPr>
            <w:r>
              <w:rPr>
                <w:b/>
                <w:bCs/>
                <w:color w:val="FFFFFF"/>
                <w:sz w:val="18"/>
                <w:szCs w:val="18"/>
              </w:rPr>
              <w:t xml:space="preserve">Rule</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Severity</w:t>
            </w:r>
          </w:p>
        </w:tc>
      </w:tr>
      <w:tr>
        <w:tc>
          <w:tcPr>
            <w:tcW w:type="dxa" w:w="7200"/>
            <w:tcMar>
              <w:top w:type="dxa" w:w="60"/>
              <w:left w:type="dxa" w:w="100"/>
              <w:bottom w:type="dxa" w:w="60"/>
              <w:right w:type="dxa" w:w="100"/>
            </w:tcMar>
            <w:vAlign w:val="center"/>
          </w:tcPr>
          <w:p>
            <w:pPr>
              <w:jc w:val="left"/>
            </w:pPr>
            <w:r>
              <w:rPr>
                <w:b w:val="false"/>
                <w:bCs w:val="false"/>
                <w:sz w:val="18"/>
                <w:szCs w:val="18"/>
              </w:rPr>
              <w:t xml:space="preserve">Production output recorded for an item with no Active BOM</w:t>
            </w:r>
          </w:p>
        </w:tc>
        <w:tc>
          <w:tcPr>
            <w:tcW w:type="dxa" w:w="2400"/>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Recorded consumption for a material not present on the item's BOM</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Warning</w:t>
            </w:r>
          </w:p>
        </w:tc>
      </w:tr>
      <w:tr>
        <w:tc>
          <w:tcPr>
            <w:tcW w:type="dxa" w:w="7200"/>
            <w:tcMar>
              <w:top w:type="dxa" w:w="60"/>
              <w:left w:type="dxa" w:w="100"/>
              <w:bottom w:type="dxa" w:w="60"/>
              <w:right w:type="dxa" w:w="100"/>
            </w:tcMar>
            <w:vAlign w:val="center"/>
          </w:tcPr>
          <w:p>
            <w:pPr>
              <w:jc w:val="left"/>
            </w:pPr>
            <w:r>
              <w:rPr>
                <w:b w:val="false"/>
                <w:bCs w:val="false"/>
                <w:sz w:val="18"/>
                <w:szCs w:val="18"/>
              </w:rPr>
              <w:t xml:space="preserve">Actual yield falls outside a configured tolerance band of expected yield — Proposed, TBC</w:t>
            </w:r>
          </w:p>
        </w:tc>
        <w:tc>
          <w:tcPr>
            <w:tcW w:type="dxa" w:w="2400"/>
            <w:tcMar>
              <w:top w:type="dxa" w:w="60"/>
              <w:left w:type="dxa" w:w="100"/>
              <w:bottom w:type="dxa" w:w="60"/>
              <w:right w:type="dxa" w:w="100"/>
            </w:tcMar>
            <w:vAlign w:val="center"/>
          </w:tcPr>
          <w:p>
            <w:pPr>
              <w:jc w:val="left"/>
            </w:pPr>
            <w:r>
              <w:rPr>
                <w:b w:val="false"/>
                <w:bCs w:val="false"/>
                <w:sz w:val="18"/>
                <w:szCs w:val="18"/>
              </w:rPr>
              <w:t xml:space="preserve">Warning</w:t>
            </w:r>
          </w:p>
        </w:tc>
      </w:tr>
    </w:tbl>
    <w:p>
      <w:pPr>
        <w:spacing w:after="200"/>
      </w:pPr>
    </w:p>
    <w:p>
      <w:pPr>
        <w:pStyle w:val="Heading2"/>
        <w:spacing w:after="160" w:before="320"/>
      </w:pPr>
      <w:r>
        <w:rPr>
          <w:b/>
          <w:bCs/>
        </w:rPr>
        <w:t xml:space="preserve">19.10 Costing</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7200"/>
        <w:gridCol w:w="2400"/>
      </w:tblGrid>
      <w:tr>
        <w:trPr>
          <w:tblHeader/>
        </w:trPr>
        <w:tc>
          <w:tcPr>
            <w:tcW w:type="dxa" w:w="7200"/>
            <w:shd w:fill="1F3864" w:color="auto" w:val="clear"/>
            <w:tcMar>
              <w:top w:type="dxa" w:w="60"/>
              <w:left w:type="dxa" w:w="100"/>
              <w:bottom w:type="dxa" w:w="60"/>
              <w:right w:type="dxa" w:w="100"/>
            </w:tcMar>
            <w:vAlign w:val="center"/>
          </w:tcPr>
          <w:p>
            <w:pPr>
              <w:jc w:val="left"/>
            </w:pPr>
            <w:r>
              <w:rPr>
                <w:b/>
                <w:bCs/>
                <w:color w:val="FFFFFF"/>
                <w:sz w:val="18"/>
                <w:szCs w:val="18"/>
              </w:rPr>
              <w:t xml:space="preserve">Rule</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Severity</w:t>
            </w:r>
          </w:p>
        </w:tc>
      </w:tr>
      <w:tr>
        <w:tc>
          <w:tcPr>
            <w:tcW w:type="dxa" w:w="7200"/>
            <w:tcMar>
              <w:top w:type="dxa" w:w="60"/>
              <w:left w:type="dxa" w:w="100"/>
              <w:bottom w:type="dxa" w:w="60"/>
              <w:right w:type="dxa" w:w="100"/>
            </w:tcMar>
            <w:vAlign w:val="center"/>
          </w:tcPr>
          <w:p>
            <w:pPr>
              <w:jc w:val="left"/>
            </w:pPr>
            <w:r>
              <w:rPr>
                <w:b w:val="false"/>
                <w:bCs w:val="false"/>
                <w:sz w:val="18"/>
                <w:szCs w:val="18"/>
              </w:rPr>
              <w:t xml:space="preserve">BR-COST-001 identity fails to balance for a costing result</w:t>
            </w:r>
          </w:p>
        </w:tc>
        <w:tc>
          <w:tcPr>
            <w:tcW w:type="dxa" w:w="2400"/>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A required cost component (material/labour/machine/overhead) is missing for a Finalise action</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tcMar>
              <w:top w:type="dxa" w:w="60"/>
              <w:left w:type="dxa" w:w="100"/>
              <w:bottom w:type="dxa" w:w="60"/>
              <w:right w:type="dxa" w:w="100"/>
            </w:tcMar>
            <w:vAlign w:val="center"/>
          </w:tcPr>
          <w:p>
            <w:pPr>
              <w:jc w:val="left"/>
            </w:pPr>
            <w:r>
              <w:rPr>
                <w:b w:val="false"/>
                <w:bCs w:val="false"/>
                <w:sz w:val="18"/>
                <w:szCs w:val="18"/>
              </w:rPr>
              <w:t xml:space="preserve">Total cost changed by more than a configured % vs the prior period — Proposed threshold, TBC (also drives AI Copilot observations, FR-AI-001)</w:t>
            </w:r>
          </w:p>
        </w:tc>
        <w:tc>
          <w:tcPr>
            <w:tcW w:type="dxa" w:w="2400"/>
            <w:tcMar>
              <w:top w:type="dxa" w:w="60"/>
              <w:left w:type="dxa" w:w="100"/>
              <w:bottom w:type="dxa" w:w="60"/>
              <w:right w:type="dxa" w:w="100"/>
            </w:tcMar>
            <w:vAlign w:val="center"/>
          </w:tcPr>
          <w:p>
            <w:pPr>
              <w:jc w:val="left"/>
            </w:pPr>
            <w:r>
              <w:rPr>
                <w:b w:val="false"/>
                <w:bCs w:val="false"/>
                <w:sz w:val="18"/>
                <w:szCs w:val="18"/>
              </w:rPr>
              <w:t xml:space="preserve">Warning</w:t>
            </w:r>
          </w:p>
        </w:tc>
      </w:tr>
    </w:tbl>
    <w:p>
      <w:pPr>
        <w:spacing w:after="200"/>
      </w:pPr>
    </w:p>
    <w:p>
      <w:pPr>
        <w:pStyle w:val="Heading2"/>
        <w:spacing w:after="160" w:before="320"/>
      </w:pPr>
      <w:r>
        <w:rPr>
          <w:b/>
          <w:bCs/>
        </w:rPr>
        <w:t xml:space="preserve">19.11 Reconciliation</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7200"/>
        <w:gridCol w:w="2400"/>
      </w:tblGrid>
      <w:tr>
        <w:trPr>
          <w:tblHeader/>
        </w:trPr>
        <w:tc>
          <w:tcPr>
            <w:tcW w:type="dxa" w:w="7200"/>
            <w:shd w:fill="1F3864" w:color="auto" w:val="clear"/>
            <w:tcMar>
              <w:top w:type="dxa" w:w="60"/>
              <w:left w:type="dxa" w:w="100"/>
              <w:bottom w:type="dxa" w:w="60"/>
              <w:right w:type="dxa" w:w="100"/>
            </w:tcMar>
            <w:vAlign w:val="center"/>
          </w:tcPr>
          <w:p>
            <w:pPr>
              <w:jc w:val="left"/>
            </w:pPr>
            <w:r>
              <w:rPr>
                <w:b/>
                <w:bCs/>
                <w:color w:val="FFFFFF"/>
                <w:sz w:val="18"/>
                <w:szCs w:val="18"/>
              </w:rPr>
              <w:t xml:space="preserve">Rule</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Severity</w:t>
            </w:r>
          </w:p>
        </w:tc>
      </w:tr>
      <w:tr>
        <w:tc>
          <w:tcPr>
            <w:tcW w:type="dxa" w:w="7200"/>
            <w:tcMar>
              <w:top w:type="dxa" w:w="60"/>
              <w:left w:type="dxa" w:w="100"/>
              <w:bottom w:type="dxa" w:w="60"/>
              <w:right w:type="dxa" w:w="100"/>
            </w:tcMar>
            <w:vAlign w:val="center"/>
          </w:tcPr>
          <w:p>
            <w:pPr>
              <w:jc w:val="left"/>
            </w:pPr>
            <w:r>
              <w:rPr>
                <w:b w:val="false"/>
                <w:bCs w:val="false"/>
                <w:sz w:val="18"/>
                <w:szCs w:val="18"/>
              </w:rPr>
              <w:t xml:space="preserve">Computed value vs source value variance exceeds tolerance (BR-REC-001)</w:t>
            </w:r>
          </w:p>
        </w:tc>
        <w:tc>
          <w:tcPr>
            <w:tcW w:type="dxa" w:w="2400"/>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Reconciliation run attempted before all contributing costing runs are complete</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tcMar>
              <w:top w:type="dxa" w:w="60"/>
              <w:left w:type="dxa" w:w="100"/>
              <w:bottom w:type="dxa" w:w="60"/>
              <w:right w:type="dxa" w:w="100"/>
            </w:tcMar>
            <w:vAlign w:val="center"/>
          </w:tcPr>
          <w:p>
            <w:pPr>
              <w:jc w:val="left"/>
            </w:pPr>
            <w:r>
              <w:rPr>
                <w:b w:val="false"/>
                <w:bCs w:val="false"/>
                <w:sz w:val="18"/>
                <w:szCs w:val="18"/>
              </w:rPr>
              <w:t xml:space="preserve">Variance within tolerance but trending upward over consecutive periods — Proposed, TBC</w:t>
            </w:r>
          </w:p>
        </w:tc>
        <w:tc>
          <w:tcPr>
            <w:tcW w:type="dxa" w:w="2400"/>
            <w:tcMar>
              <w:top w:type="dxa" w:w="60"/>
              <w:left w:type="dxa" w:w="100"/>
              <w:bottom w:type="dxa" w:w="60"/>
              <w:right w:type="dxa" w:w="100"/>
            </w:tcMar>
            <w:vAlign w:val="center"/>
          </w:tcPr>
          <w:p>
            <w:pPr>
              <w:jc w:val="left"/>
            </w:pPr>
            <w:r>
              <w:rPr>
                <w:b w:val="false"/>
                <w:bCs w:val="false"/>
                <w:sz w:val="18"/>
                <w:szCs w:val="18"/>
              </w:rPr>
              <w:t xml:space="preserve">Information</w:t>
            </w:r>
          </w:p>
        </w:tc>
      </w:tr>
    </w:tbl>
    <w:p>
      <w:pPr>
        <w:spacing w:after="200"/>
      </w:pPr>
    </w:p>
    <w:p>
      <w:pPr>
        <w:pStyle w:val="Heading2"/>
        <w:spacing w:after="160" w:before="320"/>
      </w:pPr>
      <w:r>
        <w:rPr>
          <w:b/>
          <w:bCs/>
        </w:rPr>
        <w:t xml:space="preserve">19.12 Period Close</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7200"/>
        <w:gridCol w:w="2400"/>
      </w:tblGrid>
      <w:tr>
        <w:trPr>
          <w:tblHeader/>
        </w:trPr>
        <w:tc>
          <w:tcPr>
            <w:tcW w:type="dxa" w:w="7200"/>
            <w:shd w:fill="1F3864" w:color="auto" w:val="clear"/>
            <w:tcMar>
              <w:top w:type="dxa" w:w="60"/>
              <w:left w:type="dxa" w:w="100"/>
              <w:bottom w:type="dxa" w:w="60"/>
              <w:right w:type="dxa" w:w="100"/>
            </w:tcMar>
            <w:vAlign w:val="center"/>
          </w:tcPr>
          <w:p>
            <w:pPr>
              <w:jc w:val="left"/>
            </w:pPr>
            <w:r>
              <w:rPr>
                <w:b/>
                <w:bCs/>
                <w:color w:val="FFFFFF"/>
                <w:sz w:val="18"/>
                <w:szCs w:val="18"/>
              </w:rPr>
              <w:t xml:space="preserve">Rule</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Severity</w:t>
            </w:r>
          </w:p>
        </w:tc>
      </w:tr>
      <w:tr>
        <w:tc>
          <w:tcPr>
            <w:tcW w:type="dxa" w:w="7200"/>
            <w:tcMar>
              <w:top w:type="dxa" w:w="60"/>
              <w:left w:type="dxa" w:w="100"/>
              <w:bottom w:type="dxa" w:w="60"/>
              <w:right w:type="dxa" w:w="100"/>
            </w:tcMar>
            <w:vAlign w:val="center"/>
          </w:tcPr>
          <w:p>
            <w:pPr>
              <w:jc w:val="left"/>
            </w:pPr>
            <w:r>
              <w:rPr>
                <w:b w:val="false"/>
                <w:bCs w:val="false"/>
                <w:sz w:val="18"/>
                <w:szCs w:val="18"/>
              </w:rPr>
              <w:t xml:space="preserve">Open validation Errors exist for the period/scope</w:t>
            </w:r>
          </w:p>
        </w:tc>
        <w:tc>
          <w:tcPr>
            <w:tcW w:type="dxa" w:w="2400"/>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Open reconciliation exceptions beyond tolerance exist</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tcMar>
              <w:top w:type="dxa" w:w="60"/>
              <w:left w:type="dxa" w:w="100"/>
              <w:bottom w:type="dxa" w:w="60"/>
              <w:right w:type="dxa" w:w="100"/>
            </w:tcMar>
            <w:vAlign w:val="center"/>
          </w:tcPr>
          <w:p>
            <w:pPr>
              <w:jc w:val="left"/>
            </w:pPr>
            <w:r>
              <w:rPr>
                <w:b w:val="false"/>
                <w:bCs w:val="false"/>
                <w:sz w:val="18"/>
                <w:szCs w:val="18"/>
              </w:rPr>
              <w:t xml:space="preserve">Open Audit Desk exceptions without a logged resolution exist</w:t>
            </w:r>
          </w:p>
        </w:tc>
        <w:tc>
          <w:tcPr>
            <w:tcW w:type="dxa" w:w="2400"/>
            <w:tcMar>
              <w:top w:type="dxa" w:w="60"/>
              <w:left w:type="dxa" w:w="100"/>
              <w:bottom w:type="dxa" w:w="60"/>
              <w:right w:type="dxa" w:w="100"/>
            </w:tcMar>
            <w:vAlign w:val="center"/>
          </w:tcPr>
          <w:p>
            <w:pPr>
              <w:jc w:val="left"/>
            </w:pPr>
            <w:r>
              <w:rPr>
                <w:b w:val="false"/>
                <w:bCs w:val="false"/>
                <w:sz w:val="18"/>
                <w:szCs w:val="18"/>
              </w:rPr>
              <w:t xml:space="preserve">Error</w:t>
            </w:r>
          </w:p>
        </w:tc>
      </w:tr>
      <w:tr>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Reopen requested without a reason</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Error</w:t>
            </w:r>
          </w:p>
        </w:tc>
      </w:tr>
    </w:tbl>
    <w:p>
      <w:r>
        <w:br w:type="page"/>
      </w:r>
    </w:p>
    <w:p>
      <w:pPr>
        <w:pStyle w:val="Heading1"/>
        <w:spacing w:after="240" w:before="480"/>
      </w:pPr>
      <w:r>
        <w:rPr>
          <w:b/>
          <w:bCs/>
        </w:rPr>
        <w:t xml:space="preserve">20. Security Requirements</w:t>
      </w:r>
    </w:p>
    <w:p>
      <w:pPr>
        <w:spacing w:after="160"/>
      </w:pPr>
      <w:r>
        <w:t xml:space="preserve">Security requirements are organised by concern below. Every item is a requirement on the implementation, cross-referenced to the relevant Business Rule (Section 18) or Functional Requirement (Section 5, Part 2) where one exists.</w:t>
      </w:r>
    </w:p>
    <w:p>
      <w:pPr>
        <w:pStyle w:val="Heading2"/>
        <w:spacing w:after="160" w:before="320"/>
      </w:pPr>
      <w:r>
        <w:rPr>
          <w:b/>
          <w:bCs/>
        </w:rPr>
        <w:t xml:space="preserve">20.1 Authentication</w:t>
      </w:r>
    </w:p>
    <w:p>
      <w:pPr>
        <w:pStyle w:val="ListParagraph"/>
        <w:numPr>
          <w:ilvl w:val="0"/>
          <w:numId w:val="2"/>
        </w:numPr>
        <w:spacing w:after="80"/>
      </w:pPr>
      <w:r>
        <w:t xml:space="preserve">Passwords stored using a strong one-way hash (bcrypt/argon2 — Proposed, To Be Confirmed); never stored or logged in plain text.</w:t>
      </w:r>
    </w:p>
    <w:p>
      <w:pPr>
        <w:pStyle w:val="ListParagraph"/>
        <w:numPr>
          <w:ilvl w:val="0"/>
          <w:numId w:val="2"/>
        </w:numPr>
        <w:spacing w:after="80"/>
      </w:pPr>
      <w:r>
        <w:t xml:space="preserve">Login attempts are rate-limited and accounts lock temporarily after repeated failures (BR-SEC-004).</w:t>
      </w:r>
    </w:p>
    <w:p>
      <w:pPr>
        <w:pStyle w:val="ListParagraph"/>
        <w:numPr>
          <w:ilvl w:val="0"/>
          <w:numId w:val="2"/>
        </w:numPr>
        <w:spacing w:after="80"/>
      </w:pPr>
      <w:r>
        <w:t xml:space="preserve">Multi-Factor Authentication (MFA): Proposed / To Be Confirmed for MVP — recommended at minimum for Platform Administrator accounts given their cross-tenant reach.</w:t>
      </w:r>
    </w:p>
    <w:p>
      <w:pPr>
        <w:pStyle w:val="Heading2"/>
        <w:spacing w:after="160" w:before="320"/>
      </w:pPr>
      <w:r>
        <w:rPr>
          <w:b/>
          <w:bCs/>
        </w:rPr>
        <w:t xml:space="preserve">20.2 Authorization and RBAC</w:t>
      </w:r>
    </w:p>
    <w:p>
      <w:pPr>
        <w:pStyle w:val="ListParagraph"/>
        <w:numPr>
          <w:ilvl w:val="0"/>
          <w:numId w:val="2"/>
        </w:numPr>
        <w:spacing w:after="80"/>
      </w:pPr>
      <w:r>
        <w:t xml:space="preserve">Every controller action checks the authenticated user's permission for that action against the RBAC Matrix (Section 4.7, Part 1) before executing (BR-SEC-003).</w:t>
      </w:r>
    </w:p>
    <w:p>
      <w:pPr>
        <w:pStyle w:val="ListParagraph"/>
        <w:numPr>
          <w:ilvl w:val="0"/>
          <w:numId w:val="2"/>
        </w:numPr>
        <w:spacing w:after="80"/>
      </w:pPr>
      <w:r>
        <w:t xml:space="preserve">Permission checks fail closed: an unrecognised or missing permission denies access rather than defaulting to allow.</w:t>
      </w:r>
    </w:p>
    <w:p>
      <w:pPr>
        <w:pStyle w:val="Heading2"/>
        <w:spacing w:after="160" w:before="320"/>
      </w:pPr>
      <w:r>
        <w:rPr>
          <w:b/>
          <w:bCs/>
        </w:rPr>
        <w:t xml:space="preserve">20.3 Tenant Isolation</w:t>
      </w:r>
    </w:p>
    <w:p>
      <w:pPr>
        <w:pStyle w:val="ListParagraph"/>
        <w:numPr>
          <w:ilvl w:val="0"/>
          <w:numId w:val="2"/>
        </w:numPr>
        <w:spacing w:after="80"/>
      </w:pPr>
      <w:r>
        <w:t xml:space="preserve">Tenant scoping is enforced centrally in the Data Access Layer (Section 17.12, 17.14, Part 2), not left to individual query authors (BR-SEC-002).</w:t>
      </w:r>
    </w:p>
    <w:p>
      <w:pPr>
        <w:pStyle w:val="ListParagraph"/>
        <w:numPr>
          <w:ilvl w:val="0"/>
          <w:numId w:val="2"/>
        </w:numPr>
        <w:spacing w:after="80"/>
      </w:pPr>
      <w:r>
        <w:t xml:space="preserve">Cross-tenant access is only possible for the Platform Administrator role, and even then is logged distinctly as a platform-level action in the Audit Trail.</w:t>
      </w:r>
    </w:p>
    <w:p>
      <w:pPr>
        <w:pStyle w:val="Heading2"/>
        <w:spacing w:after="160" w:before="320"/>
      </w:pPr>
      <w:r>
        <w:rPr>
          <w:b/>
          <w:bCs/>
        </w:rPr>
        <w:t xml:space="preserve">20.4 Session Management</w:t>
      </w:r>
    </w:p>
    <w:p>
      <w:pPr>
        <w:pStyle w:val="ListParagraph"/>
        <w:numPr>
          <w:ilvl w:val="0"/>
          <w:numId w:val="2"/>
        </w:numPr>
        <w:spacing w:after="80"/>
      </w:pPr>
      <w:r>
        <w:t xml:space="preserve">Session tokens are generated with a cryptographically secure random source, transmitted only over HTTPS, and marked HttpOnly/Secure — Proposed cookie flags.</w:t>
      </w:r>
    </w:p>
    <w:p>
      <w:pPr>
        <w:pStyle w:val="ListParagraph"/>
        <w:numPr>
          <w:ilvl w:val="0"/>
          <w:numId w:val="2"/>
        </w:numPr>
        <w:spacing w:after="80"/>
      </w:pPr>
      <w:r>
        <w:t xml:space="preserve">Idle session timeout per BR-SEC-005; sessions invalidated server-side on logout (not merely cleared client-side).</w:t>
      </w:r>
    </w:p>
    <w:p>
      <w:pPr>
        <w:pStyle w:val="Heading2"/>
        <w:spacing w:after="160" w:before="320"/>
      </w:pPr>
      <w:r>
        <w:rPr>
          <w:b/>
          <w:bCs/>
        </w:rPr>
        <w:t xml:space="preserve">20.5 Input Validation and Injection Protection</w:t>
      </w:r>
    </w:p>
    <w:p>
      <w:pPr>
        <w:pStyle w:val="ListParagraph"/>
        <w:numPr>
          <w:ilvl w:val="0"/>
          <w:numId w:val="2"/>
        </w:numPr>
        <w:spacing w:after="80"/>
      </w:pPr>
      <w:r>
        <w:t xml:space="preserve">All database queries use parameterised queries via pg_query_params (Section 17.14, Part 2); string concatenation into SQL is prohibited by design convention.</w:t>
      </w:r>
    </w:p>
    <w:p>
      <w:pPr>
        <w:pStyle w:val="ListParagraph"/>
        <w:numPr>
          <w:ilvl w:val="0"/>
          <w:numId w:val="2"/>
        </w:numPr>
        <w:spacing w:after="80"/>
      </w:pPr>
      <w:r>
        <w:t xml:space="preserve">All user-supplied input is validated server-side (never relying on client-side/JavaScript validation alone) against expected type, length and format.</w:t>
      </w:r>
    </w:p>
    <w:p>
      <w:pPr>
        <w:pStyle w:val="Heading2"/>
        <w:spacing w:after="160" w:before="320"/>
      </w:pPr>
      <w:r>
        <w:rPr>
          <w:b/>
          <w:bCs/>
        </w:rPr>
        <w:t xml:space="preserve">20.6 XSS and CSRF Protection</w:t>
      </w:r>
    </w:p>
    <w:p>
      <w:pPr>
        <w:pStyle w:val="ListParagraph"/>
        <w:numPr>
          <w:ilvl w:val="0"/>
          <w:numId w:val="2"/>
        </w:numPr>
        <w:spacing w:after="80"/>
      </w:pPr>
      <w:r>
        <w:t xml:space="preserve">All output rendered into HTML is escaped/encoded appropriately for its context (HTML body, attribute, JavaScript) to prevent stored/reflected XSS.</w:t>
      </w:r>
    </w:p>
    <w:p>
      <w:pPr>
        <w:pStyle w:val="ListParagraph"/>
        <w:numPr>
          <w:ilvl w:val="0"/>
          <w:numId w:val="2"/>
        </w:numPr>
        <w:spacing w:after="80"/>
      </w:pPr>
      <w:r>
        <w:t xml:space="preserve">State-changing requests (POST/PUT/DELETE-equivalent) include a CSRF token validated server-side — Proposed implementation via a per-session token.</w:t>
      </w:r>
    </w:p>
    <w:p>
      <w:pPr>
        <w:pStyle w:val="Heading2"/>
        <w:spacing w:after="160" w:before="320"/>
      </w:pPr>
      <w:r>
        <w:rPr>
          <w:b/>
          <w:bCs/>
        </w:rPr>
        <w:t xml:space="preserve">20.7 File Upload Security</w:t>
      </w:r>
    </w:p>
    <w:p>
      <w:pPr>
        <w:pStyle w:val="ListParagraph"/>
        <w:numPr>
          <w:ilvl w:val="0"/>
          <w:numId w:val="2"/>
        </w:numPr>
        <w:spacing w:after="80"/>
      </w:pPr>
      <w:r>
        <w:t xml:space="preserve">Uploaded files are validated by content/structure, not only by file extension, before being processed (defence against disguised file types).</w:t>
      </w:r>
    </w:p>
    <w:p>
      <w:pPr>
        <w:pStyle w:val="ListParagraph"/>
        <w:numPr>
          <w:ilvl w:val="0"/>
          <w:numId w:val="2"/>
        </w:numPr>
        <w:spacing w:after="80"/>
      </w:pPr>
      <w:r>
        <w:t xml:space="preserve">Uploaded files are stored outside the web-server-executable path, or with execution disabled for that storage location, to prevent uploaded content from ever being executed as server-side code.</w:t>
      </w:r>
    </w:p>
    <w:p>
      <w:pPr>
        <w:pStyle w:val="ListParagraph"/>
        <w:numPr>
          <w:ilvl w:val="0"/>
          <w:numId w:val="2"/>
        </w:numPr>
        <w:spacing w:after="80"/>
      </w:pPr>
      <w:r>
        <w:t xml:space="preserve">A file hash (Section 16.1, uploads.file_hash) is recorded at upload time to support integrity verification later.</w:t>
      </w:r>
    </w:p>
    <w:p>
      <w:pPr>
        <w:pStyle w:val="Heading2"/>
        <w:spacing w:after="160" w:before="320"/>
      </w:pPr>
      <w:r>
        <w:rPr>
          <w:b/>
          <w:bCs/>
        </w:rPr>
        <w:t xml:space="preserve">20.8 Encryption</w:t>
      </w:r>
    </w:p>
    <w:p>
      <w:pPr>
        <w:pStyle w:val="ListParagraph"/>
        <w:numPr>
          <w:ilvl w:val="0"/>
          <w:numId w:val="2"/>
        </w:numPr>
        <w:spacing w:after="80"/>
      </w:pPr>
      <w:r>
        <w:t xml:space="preserve">Encryption in transit: HTTPS/TLS enforced for all client-server communication — Proposed, To Be Confirmed certificate arrangement for the academic deployment.</w:t>
      </w:r>
    </w:p>
    <w:p>
      <w:pPr>
        <w:pStyle w:val="ListParagraph"/>
        <w:numPr>
          <w:ilvl w:val="0"/>
          <w:numId w:val="2"/>
        </w:numPr>
        <w:spacing w:after="80"/>
      </w:pPr>
      <w:r>
        <w:t xml:space="preserve">Encryption at rest: Proposed / To Be Confirmed for the academic deployment; recommended at minimum for password hashes (already one-way hashed) and any future storage of externally-sourced credentials (e.g. AI API keys, ERP connection secrets).</w:t>
      </w:r>
    </w:p>
    <w:p>
      <w:pPr>
        <w:pStyle w:val="Heading2"/>
        <w:spacing w:after="160" w:before="320"/>
      </w:pPr>
      <w:r>
        <w:rPr>
          <w:b/>
          <w:bCs/>
        </w:rPr>
        <w:t xml:space="preserve">20.9 Audit Logging and Login History</w:t>
      </w:r>
    </w:p>
    <w:p>
      <w:pPr>
        <w:pStyle w:val="ListParagraph"/>
        <w:numPr>
          <w:ilvl w:val="0"/>
          <w:numId w:val="2"/>
        </w:numPr>
        <w:spacing w:after="80"/>
      </w:pPr>
      <w:r>
        <w:t xml:space="preserve">See Section 21 for the full Audit Trail and login_history specification; every authentication event and every material data change is logged, non-optionally.</w:t>
      </w:r>
    </w:p>
    <w:p>
      <w:pPr>
        <w:pStyle w:val="Heading2"/>
        <w:spacing w:after="160" w:before="320"/>
      </w:pPr>
      <w:r>
        <w:rPr>
          <w:b/>
          <w:bCs/>
        </w:rPr>
        <w:t xml:space="preserve">20.10 Database and Administrative Access Security</w:t>
      </w:r>
    </w:p>
    <w:p>
      <w:pPr>
        <w:pStyle w:val="ListParagraph"/>
        <w:numPr>
          <w:ilvl w:val="0"/>
          <w:numId w:val="2"/>
        </w:numPr>
        <w:spacing w:after="80"/>
      </w:pPr>
      <w:r>
        <w:t xml:space="preserve">The PHP application connects to PostgreSQL using a dedicated application role with only the privileges it needs (no superuser), following least-privilege (Section 20.11).</w:t>
      </w:r>
    </w:p>
    <w:p>
      <w:pPr>
        <w:pStyle w:val="ListParagraph"/>
        <w:numPr>
          <w:ilvl w:val="0"/>
          <w:numId w:val="2"/>
        </w:numPr>
        <w:spacing w:after="80"/>
      </w:pPr>
      <w:r>
        <w:t xml:space="preserve">Database credentials are held in environment configuration, not committed to source control — Proposed secrets-management approach for the academic deployment.</w:t>
      </w:r>
    </w:p>
    <w:p>
      <w:pPr>
        <w:pStyle w:val="Heading2"/>
        <w:spacing w:after="160" w:before="320"/>
      </w:pPr>
      <w:r>
        <w:rPr>
          <w:b/>
          <w:bCs/>
        </w:rPr>
        <w:t xml:space="preserve">20.11 Least Privilege and Sensitive Data Handling</w:t>
      </w:r>
    </w:p>
    <w:p>
      <w:pPr>
        <w:pStyle w:val="ListParagraph"/>
        <w:numPr>
          <w:ilvl w:val="0"/>
          <w:numId w:val="2"/>
        </w:numPr>
        <w:spacing w:after="80"/>
      </w:pPr>
      <w:r>
        <w:t xml:space="preserve">Every role's default permission set (Section 4.7, Part 1) grants the minimum access needed for that role's responsibilities; elevated access is the exception, not the default.</w:t>
      </w:r>
    </w:p>
    <w:p>
      <w:pPr>
        <w:pStyle w:val="ListParagraph"/>
        <w:numPr>
          <w:ilvl w:val="0"/>
          <w:numId w:val="2"/>
        </w:numPr>
        <w:spacing w:after="80"/>
      </w:pPr>
      <w:r>
        <w:t xml:space="preserve">Sensitive data (passwords, any future PII beyond user name/email) is never included in application or query logs (Section 17.14, Part 2).</w:t>
      </w:r>
    </w:p>
    <w:p>
      <w:r>
        <w:br w:type="page"/>
      </w:r>
    </w:p>
    <w:p>
      <w:pPr>
        <w:pStyle w:val="Heading1"/>
        <w:spacing w:after="240" w:before="480"/>
      </w:pPr>
      <w:r>
        <w:rPr>
          <w:b/>
          <w:bCs/>
        </w:rPr>
        <w:t xml:space="preserve">21. Audit and Data Lineage</w:t>
      </w:r>
    </w:p>
    <w:p>
      <w:pPr>
        <w:pStyle w:val="Heading2"/>
        <w:spacing w:after="160" w:before="320"/>
      </w:pPr>
      <w:r>
        <w:rPr>
          <w:b/>
          <w:bCs/>
        </w:rPr>
        <w:t xml:space="preserve">21.1 Audit Trail Scope</w:t>
      </w:r>
    </w:p>
    <w:p>
      <w:pPr>
        <w:spacing w:after="160"/>
      </w:pPr>
      <w:r>
        <w:t xml:space="preserve">The audit_trail table (Section 16.1, Part 2) captures every material action across the platform. The following action classes are always logged, non-optionally, with actor, timestamp, entity, old/new value and (where applicable) reason:</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900"/>
        <w:gridCol w:w="3300"/>
        <w:gridCol w:w="4400"/>
      </w:tblGrid>
      <w:tr>
        <w:trPr>
          <w:tblHeader/>
        </w:trPr>
        <w:tc>
          <w:tcPr>
            <w:tcW w:type="dxa" w:w="1900"/>
            <w:shd w:fill="1F3864" w:color="auto" w:val="clear"/>
            <w:tcMar>
              <w:top w:type="dxa" w:w="60"/>
              <w:left w:type="dxa" w:w="100"/>
              <w:bottom w:type="dxa" w:w="60"/>
              <w:right w:type="dxa" w:w="100"/>
            </w:tcMar>
            <w:vAlign w:val="center"/>
          </w:tcPr>
          <w:p>
            <w:pPr>
              <w:jc w:val="left"/>
            </w:pPr>
            <w:r>
              <w:rPr>
                <w:b/>
                <w:bCs/>
                <w:color w:val="FFFFFF"/>
                <w:sz w:val="18"/>
                <w:szCs w:val="18"/>
              </w:rPr>
              <w:t xml:space="preserve">Action Class</w:t>
            </w:r>
          </w:p>
        </w:tc>
        <w:tc>
          <w:tcPr>
            <w:tcW w:type="dxa" w:w="3300"/>
            <w:shd w:fill="1F3864" w:color="auto" w:val="clear"/>
            <w:tcMar>
              <w:top w:type="dxa" w:w="60"/>
              <w:left w:type="dxa" w:w="100"/>
              <w:bottom w:type="dxa" w:w="60"/>
              <w:right w:type="dxa" w:w="100"/>
            </w:tcMar>
            <w:vAlign w:val="center"/>
          </w:tcPr>
          <w:p>
            <w:pPr>
              <w:jc w:val="left"/>
            </w:pPr>
            <w:r>
              <w:rPr>
                <w:b/>
                <w:bCs/>
                <w:color w:val="FFFFFF"/>
                <w:sz w:val="18"/>
                <w:szCs w:val="18"/>
              </w:rPr>
              <w:t xml:space="preserve">Examples</w:t>
            </w:r>
          </w:p>
        </w:tc>
        <w:tc>
          <w:tcPr>
            <w:tcW w:type="dxa" w:w="4400"/>
            <w:shd w:fill="1F3864" w:color="auto" w:val="clear"/>
            <w:tcMar>
              <w:top w:type="dxa" w:w="60"/>
              <w:left w:type="dxa" w:w="100"/>
              <w:bottom w:type="dxa" w:w="60"/>
              <w:right w:type="dxa" w:w="100"/>
            </w:tcMar>
            <w:vAlign w:val="center"/>
          </w:tcPr>
          <w:p>
            <w:pPr>
              <w:jc w:val="left"/>
            </w:pPr>
            <w:r>
              <w:rPr>
                <w:b/>
                <w:bCs/>
                <w:color w:val="FFFFFF"/>
                <w:sz w:val="18"/>
                <w:szCs w:val="18"/>
              </w:rPr>
              <w:t xml:space="preserve">Captured Fields</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Authentication</w:t>
            </w:r>
          </w:p>
        </w:tc>
        <w:tc>
          <w:tcPr>
            <w:tcW w:type="dxa" w:w="3300"/>
            <w:tcMar>
              <w:top w:type="dxa" w:w="60"/>
              <w:left w:type="dxa" w:w="100"/>
              <w:bottom w:type="dxa" w:w="60"/>
              <w:right w:type="dxa" w:w="100"/>
            </w:tcMar>
            <w:vAlign w:val="center"/>
          </w:tcPr>
          <w:p>
            <w:pPr>
              <w:jc w:val="left"/>
            </w:pPr>
            <w:r>
              <w:rPr>
                <w:b w:val="false"/>
                <w:bCs w:val="false"/>
                <w:sz w:val="18"/>
                <w:szCs w:val="18"/>
              </w:rPr>
              <w:t xml:space="preserve">Login success/failure, logout</w:t>
            </w:r>
          </w:p>
        </w:tc>
        <w:tc>
          <w:tcPr>
            <w:tcW w:type="dxa" w:w="4400"/>
            <w:tcMar>
              <w:top w:type="dxa" w:w="60"/>
              <w:left w:type="dxa" w:w="100"/>
              <w:bottom w:type="dxa" w:w="60"/>
              <w:right w:type="dxa" w:w="100"/>
            </w:tcMar>
            <w:vAlign w:val="center"/>
          </w:tcPr>
          <w:p>
            <w:pPr>
              <w:jc w:val="left"/>
            </w:pPr>
            <w:r>
              <w:rPr>
                <w:b w:val="false"/>
                <w:bCs w:val="false"/>
                <w:sz w:val="18"/>
                <w:szCs w:val="18"/>
              </w:rPr>
              <w:t xml:space="preserve">actor, timestamp, IP, outcome (login_history, Section 5, FR-AUTH-001)</w:t>
            </w:r>
          </w:p>
        </w:tc>
      </w:tr>
      <w:tr>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Data Intake</w:t>
            </w:r>
          </w:p>
        </w:tc>
        <w:tc>
          <w:tcPr>
            <w:tcW w:type="dxa" w:w="3300"/>
            <w:shd w:fill="F2F2F2" w:color="auto" w:val="clear"/>
            <w:tcMar>
              <w:top w:type="dxa" w:w="60"/>
              <w:left w:type="dxa" w:w="100"/>
              <w:bottom w:type="dxa" w:w="60"/>
              <w:right w:type="dxa" w:w="100"/>
            </w:tcMar>
            <w:vAlign w:val="center"/>
          </w:tcPr>
          <w:p>
            <w:pPr>
              <w:jc w:val="left"/>
            </w:pPr>
            <w:r>
              <w:rPr>
                <w:b w:val="false"/>
                <w:bCs w:val="false"/>
                <w:sz w:val="18"/>
                <w:szCs w:val="18"/>
              </w:rPr>
              <w:t xml:space="preserve">Upload, mapping save/change</w:t>
            </w:r>
          </w:p>
        </w:tc>
        <w:tc>
          <w:tcPr>
            <w:tcW w:type="dxa" w:w="4400"/>
            <w:shd w:fill="F2F2F2" w:color="auto" w:val="clear"/>
            <w:tcMar>
              <w:top w:type="dxa" w:w="60"/>
              <w:left w:type="dxa" w:w="100"/>
              <w:bottom w:type="dxa" w:w="60"/>
              <w:right w:type="dxa" w:w="100"/>
            </w:tcMar>
            <w:vAlign w:val="center"/>
          </w:tcPr>
          <w:p>
            <w:pPr>
              <w:jc w:val="left"/>
            </w:pPr>
            <w:r>
              <w:rPr>
                <w:b w:val="false"/>
                <w:bCs w:val="false"/>
                <w:sz w:val="18"/>
                <w:szCs w:val="18"/>
              </w:rPr>
              <w:t xml:space="preserve">actor, upload_id, mapping changes, timestamp</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Master Data</w:t>
            </w:r>
          </w:p>
        </w:tc>
        <w:tc>
          <w:tcPr>
            <w:tcW w:type="dxa" w:w="3300"/>
            <w:tcMar>
              <w:top w:type="dxa" w:w="60"/>
              <w:left w:type="dxa" w:w="100"/>
              <w:bottom w:type="dxa" w:w="60"/>
              <w:right w:type="dxa" w:w="100"/>
            </w:tcMar>
            <w:vAlign w:val="center"/>
          </w:tcPr>
          <w:p>
            <w:pPr>
              <w:jc w:val="left"/>
            </w:pPr>
            <w:r>
              <w:rPr>
                <w:b w:val="false"/>
                <w:bCs w:val="false"/>
                <w:sz w:val="18"/>
                <w:szCs w:val="18"/>
              </w:rPr>
              <w:t xml:space="preserve">Create/edit/approve/reject any governed master</w:t>
            </w:r>
          </w:p>
        </w:tc>
        <w:tc>
          <w:tcPr>
            <w:tcW w:type="dxa" w:w="4400"/>
            <w:tcMar>
              <w:top w:type="dxa" w:w="60"/>
              <w:left w:type="dxa" w:w="100"/>
              <w:bottom w:type="dxa" w:w="60"/>
              <w:right w:type="dxa" w:w="100"/>
            </w:tcMar>
            <w:vAlign w:val="center"/>
          </w:tcPr>
          <w:p>
            <w:pPr>
              <w:jc w:val="left"/>
            </w:pPr>
            <w:r>
              <w:rPr>
                <w:b w:val="false"/>
                <w:bCs w:val="false"/>
                <w:sz w:val="18"/>
                <w:szCs w:val="18"/>
              </w:rPr>
              <w:t xml:space="preserve">actor, entity, old/new value, approval chain</w:t>
            </w:r>
          </w:p>
        </w:tc>
      </w:tr>
      <w:tr>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Costing</w:t>
            </w:r>
          </w:p>
        </w:tc>
        <w:tc>
          <w:tcPr>
            <w:tcW w:type="dxa" w:w="3300"/>
            <w:shd w:fill="F2F2F2" w:color="auto" w:val="clear"/>
            <w:tcMar>
              <w:top w:type="dxa" w:w="60"/>
              <w:left w:type="dxa" w:w="100"/>
              <w:bottom w:type="dxa" w:w="60"/>
              <w:right w:type="dxa" w:w="100"/>
            </w:tcMar>
            <w:vAlign w:val="center"/>
          </w:tcPr>
          <w:p>
            <w:pPr>
              <w:jc w:val="left"/>
            </w:pPr>
            <w:r>
              <w:rPr>
                <w:b w:val="false"/>
                <w:bCs w:val="false"/>
                <w:sz w:val="18"/>
                <w:szCs w:val="18"/>
              </w:rPr>
              <w:t xml:space="preserve">Run started/completed/finalised</w:t>
            </w:r>
          </w:p>
        </w:tc>
        <w:tc>
          <w:tcPr>
            <w:tcW w:type="dxa" w:w="4400"/>
            <w:shd w:fill="F2F2F2" w:color="auto" w:val="clear"/>
            <w:tcMar>
              <w:top w:type="dxa" w:w="60"/>
              <w:left w:type="dxa" w:w="100"/>
              <w:bottom w:type="dxa" w:w="60"/>
              <w:right w:type="dxa" w:w="100"/>
            </w:tcMar>
            <w:vAlign w:val="center"/>
          </w:tcPr>
          <w:p>
            <w:pPr>
              <w:jc w:val="left"/>
            </w:pPr>
            <w:r>
              <w:rPr>
                <w:b w:val="false"/>
                <w:bCs w:val="false"/>
                <w:sz w:val="18"/>
                <w:szCs w:val="18"/>
              </w:rPr>
              <w:t xml:space="preserve">actor (or 'system' for scheduled runs), run parameters, version</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Reconciliation</w:t>
            </w:r>
          </w:p>
        </w:tc>
        <w:tc>
          <w:tcPr>
            <w:tcW w:type="dxa" w:w="3300"/>
            <w:tcMar>
              <w:top w:type="dxa" w:w="60"/>
              <w:left w:type="dxa" w:w="100"/>
              <w:bottom w:type="dxa" w:w="60"/>
              <w:right w:type="dxa" w:w="100"/>
            </w:tcMar>
            <w:vAlign w:val="center"/>
          </w:tcPr>
          <w:p>
            <w:pPr>
              <w:jc w:val="left"/>
            </w:pPr>
            <w:r>
              <w:rPr>
                <w:b w:val="false"/>
                <w:bCs w:val="false"/>
                <w:sz w:val="18"/>
                <w:szCs w:val="18"/>
              </w:rPr>
              <w:t xml:space="preserve">Run, exception raised, exception resolved</w:t>
            </w:r>
          </w:p>
        </w:tc>
        <w:tc>
          <w:tcPr>
            <w:tcW w:type="dxa" w:w="4400"/>
            <w:tcMar>
              <w:top w:type="dxa" w:w="60"/>
              <w:left w:type="dxa" w:w="100"/>
              <w:bottom w:type="dxa" w:w="60"/>
              <w:right w:type="dxa" w:w="100"/>
            </w:tcMar>
            <w:vAlign w:val="center"/>
          </w:tcPr>
          <w:p>
            <w:pPr>
              <w:jc w:val="left"/>
            </w:pPr>
            <w:r>
              <w:rPr>
                <w:b w:val="false"/>
                <w:bCs w:val="false"/>
                <w:sz w:val="18"/>
                <w:szCs w:val="18"/>
              </w:rPr>
              <w:t xml:space="preserve">actor, computed/source values, resolution reason</w:t>
            </w:r>
          </w:p>
        </w:tc>
      </w:tr>
      <w:tr>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 Close</w:t>
            </w:r>
          </w:p>
        </w:tc>
        <w:tc>
          <w:tcPr>
            <w:tcW w:type="dxa" w:w="3300"/>
            <w:shd w:fill="F2F2F2" w:color="auto" w:val="clear"/>
            <w:tcMar>
              <w:top w:type="dxa" w:w="60"/>
              <w:left w:type="dxa" w:w="100"/>
              <w:bottom w:type="dxa" w:w="60"/>
              <w:right w:type="dxa" w:w="100"/>
            </w:tcMar>
            <w:vAlign w:val="center"/>
          </w:tcPr>
          <w:p>
            <w:pPr>
              <w:jc w:val="left"/>
            </w:pPr>
            <w:r>
              <w:rPr>
                <w:b w:val="false"/>
                <w:bCs w:val="false"/>
                <w:sz w:val="18"/>
                <w:szCs w:val="18"/>
              </w:rPr>
              <w:t xml:space="preserve">Lock, reopen</w:t>
            </w:r>
          </w:p>
        </w:tc>
        <w:tc>
          <w:tcPr>
            <w:tcW w:type="dxa" w:w="4400"/>
            <w:shd w:fill="F2F2F2" w:color="auto" w:val="clear"/>
            <w:tcMar>
              <w:top w:type="dxa" w:w="60"/>
              <w:left w:type="dxa" w:w="100"/>
              <w:bottom w:type="dxa" w:w="60"/>
              <w:right w:type="dxa" w:w="100"/>
            </w:tcMar>
            <w:vAlign w:val="center"/>
          </w:tcPr>
          <w:p>
            <w:pPr>
              <w:jc w:val="left"/>
            </w:pPr>
            <w:r>
              <w:rPr>
                <w:b w:val="false"/>
                <w:bCs w:val="false"/>
                <w:sz w:val="18"/>
                <w:szCs w:val="18"/>
              </w:rPr>
              <w:t xml:space="preserve">actor, reason (reopen), resulting costing_version_id</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Report Generation</w:t>
            </w:r>
          </w:p>
        </w:tc>
        <w:tc>
          <w:tcPr>
            <w:tcW w:type="dxa" w:w="3300"/>
            <w:tcMar>
              <w:top w:type="dxa" w:w="60"/>
              <w:left w:type="dxa" w:w="100"/>
              <w:bottom w:type="dxa" w:w="60"/>
              <w:right w:type="dxa" w:w="100"/>
            </w:tcMar>
            <w:vAlign w:val="center"/>
          </w:tcPr>
          <w:p>
            <w:pPr>
              <w:jc w:val="left"/>
            </w:pPr>
            <w:r>
              <w:rPr>
                <w:b w:val="false"/>
                <w:bCs w:val="false"/>
                <w:sz w:val="18"/>
                <w:szCs w:val="18"/>
              </w:rPr>
              <w:t xml:space="preserve">Report viewed/exported</w:t>
            </w:r>
          </w:p>
        </w:tc>
        <w:tc>
          <w:tcPr>
            <w:tcW w:type="dxa" w:w="4400"/>
            <w:tcMar>
              <w:top w:type="dxa" w:w="60"/>
              <w:left w:type="dxa" w:w="100"/>
              <w:bottom w:type="dxa" w:w="60"/>
              <w:right w:type="dxa" w:w="100"/>
            </w:tcMar>
            <w:vAlign w:val="center"/>
          </w:tcPr>
          <w:p>
            <w:pPr>
              <w:jc w:val="left"/>
            </w:pPr>
            <w:r>
              <w:rPr>
                <w:b w:val="false"/>
                <w:bCs w:val="false"/>
                <w:sz w:val="18"/>
                <w:szCs w:val="18"/>
              </w:rPr>
              <w:t xml:space="preserve">actor, report ID, filters, timestamp (report_logs)</w:t>
            </w:r>
          </w:p>
        </w:tc>
      </w:tr>
      <w:tr>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AI Recommendation</w:t>
            </w:r>
          </w:p>
        </w:tc>
        <w:tc>
          <w:tcPr>
            <w:tcW w:type="dxa" w:w="3300"/>
            <w:shd w:fill="F2F2F2" w:color="auto" w:val="clear"/>
            <w:tcMar>
              <w:top w:type="dxa" w:w="60"/>
              <w:left w:type="dxa" w:w="100"/>
              <w:bottom w:type="dxa" w:w="60"/>
              <w:right w:type="dxa" w:w="100"/>
            </w:tcMar>
            <w:vAlign w:val="center"/>
          </w:tcPr>
          <w:p>
            <w:pPr>
              <w:jc w:val="left"/>
            </w:pPr>
            <w:r>
              <w:rPr>
                <w:b w:val="false"/>
                <w:bCs w:val="false"/>
                <w:sz w:val="18"/>
                <w:szCs w:val="18"/>
              </w:rPr>
              <w:t xml:space="preserve">Suggestion made, accepted/rejected/edited</w:t>
            </w:r>
          </w:p>
        </w:tc>
        <w:tc>
          <w:tcPr>
            <w:tcW w:type="dxa" w:w="4400"/>
            <w:shd w:fill="F2F2F2" w:color="auto" w:val="clear"/>
            <w:tcMar>
              <w:top w:type="dxa" w:w="60"/>
              <w:left w:type="dxa" w:w="100"/>
              <w:bottom w:type="dxa" w:w="60"/>
              <w:right w:type="dxa" w:w="100"/>
            </w:tcMar>
            <w:vAlign w:val="center"/>
          </w:tcPr>
          <w:p>
            <w:pPr>
              <w:jc w:val="left"/>
            </w:pPr>
            <w:r>
              <w:rPr>
                <w:b w:val="false"/>
                <w:bCs w:val="false"/>
                <w:sz w:val="18"/>
                <w:szCs w:val="18"/>
              </w:rPr>
              <w:t xml:space="preserve">actor, AI response, confidence, outcome</w:t>
            </w:r>
          </w:p>
        </w:tc>
      </w:tr>
    </w:tbl>
    <w:p>
      <w:pPr>
        <w:spacing w:after="200"/>
      </w:pPr>
    </w:p>
    <w:p>
      <w:pPr>
        <w:pStyle w:val="Heading2"/>
        <w:spacing w:after="160" w:before="320"/>
      </w:pPr>
      <w:r>
        <w:rPr>
          <w:b/>
          <w:bCs/>
        </w:rPr>
        <w:t xml:space="preserve">21.2 Data Lineage — “View Evidence / Trace Calculation”</w:t>
      </w:r>
    </w:p>
    <w:p>
      <w:pPr>
        <w:spacing w:after="160"/>
      </w:pPr>
      <w:r>
        <w:t xml:space="preserve">Every figure Cost360 displays — a dashboard KPI, a report cell, a costing result — must be traceable back to its originating source row. The lineage chain follows the canonical pipeline introduced in Section 3.1 (Part 1):</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200"/>
        <w:gridCol w:w="8400"/>
      </w:tblGrid>
      <w:tr>
        <w:trPr>
          <w:tblHeader/>
        </w:trPr>
        <w:tc>
          <w:tcPr>
            <w:tcW w:type="dxa" w:w="1200"/>
            <w:shd w:fill="1F3864" w:color="auto" w:val="clear"/>
            <w:tcMar>
              <w:top w:type="dxa" w:w="60"/>
              <w:left w:type="dxa" w:w="100"/>
              <w:bottom w:type="dxa" w:w="60"/>
              <w:right w:type="dxa" w:w="100"/>
            </w:tcMar>
            <w:vAlign w:val="center"/>
          </w:tcPr>
          <w:p>
            <w:pPr>
              <w:jc w:val="left"/>
            </w:pPr>
            <w:r>
              <w:rPr>
                <w:b/>
                <w:bCs/>
                <w:color w:val="FFFFFF"/>
                <w:sz w:val="18"/>
                <w:szCs w:val="18"/>
              </w:rPr>
              <w:t xml:space="preserve">Level</w:t>
            </w:r>
          </w:p>
        </w:tc>
        <w:tc>
          <w:tcPr>
            <w:tcW w:type="dxa" w:w="8400"/>
            <w:shd w:fill="1F3864" w:color="auto" w:val="clear"/>
            <w:tcMar>
              <w:top w:type="dxa" w:w="60"/>
              <w:left w:type="dxa" w:w="100"/>
              <w:bottom w:type="dxa" w:w="60"/>
              <w:right w:type="dxa" w:w="100"/>
            </w:tcMar>
            <w:vAlign w:val="center"/>
          </w:tcPr>
          <w:p>
            <w:pPr>
              <w:jc w:val="left"/>
            </w:pPr>
            <w:r>
              <w:rPr>
                <w:b/>
                <w:bCs/>
                <w:color w:val="FFFFFF"/>
                <w:sz w:val="18"/>
                <w:szCs w:val="18"/>
              </w:rPr>
              <w:t xml:space="preserve">Entity</w:t>
            </w:r>
          </w:p>
        </w:tc>
      </w:tr>
      <w:tr>
        <w:tc>
          <w:tcPr>
            <w:tcW w:type="dxa" w:w="1200"/>
            <w:tcMar>
              <w:top w:type="dxa" w:w="60"/>
              <w:left w:type="dxa" w:w="100"/>
              <w:bottom w:type="dxa" w:w="60"/>
              <w:right w:type="dxa" w:w="100"/>
            </w:tcMar>
            <w:vAlign w:val="center"/>
          </w:tcPr>
          <w:p>
            <w:pPr>
              <w:jc w:val="left"/>
            </w:pPr>
            <w:r>
              <w:rPr>
                <w:b w:val="false"/>
                <w:bCs w:val="false"/>
                <w:sz w:val="18"/>
                <w:szCs w:val="18"/>
              </w:rPr>
              <w:t xml:space="preserve">1</w:t>
            </w:r>
          </w:p>
        </w:tc>
        <w:tc>
          <w:tcPr>
            <w:tcW w:type="dxa" w:w="8400"/>
            <w:tcMar>
              <w:top w:type="dxa" w:w="60"/>
              <w:left w:type="dxa" w:w="100"/>
              <w:bottom w:type="dxa" w:w="60"/>
              <w:right w:type="dxa" w:w="100"/>
            </w:tcMar>
            <w:vAlign w:val="center"/>
          </w:tcPr>
          <w:p>
            <w:pPr>
              <w:jc w:val="left"/>
            </w:pPr>
            <w:r>
              <w:rPr>
                <w:b w:val="false"/>
                <w:bCs w:val="false"/>
                <w:sz w:val="18"/>
                <w:szCs w:val="18"/>
              </w:rPr>
              <w:t xml:space="preserve">Product Cost (displayed figure)</w:t>
            </w:r>
          </w:p>
        </w:tc>
      </w:tr>
      <w:tr>
        <w:tc>
          <w:tcPr>
            <w:tcW w:type="dxa" w:w="1200"/>
            <w:shd w:fill="F2F2F2" w:color="auto" w:val="clear"/>
            <w:tcMar>
              <w:top w:type="dxa" w:w="60"/>
              <w:left w:type="dxa" w:w="100"/>
              <w:bottom w:type="dxa" w:w="60"/>
              <w:right w:type="dxa" w:w="100"/>
            </w:tcMar>
            <w:vAlign w:val="center"/>
          </w:tcPr>
          <w:p>
            <w:pPr>
              <w:jc w:val="left"/>
            </w:pPr>
            <w:r>
              <w:rPr>
                <w:b w:val="false"/>
                <w:bCs w:val="false"/>
                <w:sz w:val="18"/>
                <w:szCs w:val="18"/>
              </w:rPr>
              <w:t xml:space="preserve">2</w:t>
            </w:r>
          </w:p>
        </w:tc>
        <w:tc>
          <w:tcPr>
            <w:tcW w:type="dxa" w:w="8400"/>
            <w:shd w:fill="F2F2F2" w:color="auto" w:val="clear"/>
            <w:tcMar>
              <w:top w:type="dxa" w:w="60"/>
              <w:left w:type="dxa" w:w="100"/>
              <w:bottom w:type="dxa" w:w="60"/>
              <w:right w:type="dxa" w:w="100"/>
            </w:tcMar>
            <w:vAlign w:val="center"/>
          </w:tcPr>
          <w:p>
            <w:pPr>
              <w:jc w:val="left"/>
            </w:pPr>
            <w:r>
              <w:rPr>
                <w:b w:val="false"/>
                <w:bCs w:val="false"/>
                <w:sz w:val="18"/>
                <w:szCs w:val="18"/>
              </w:rPr>
              <w:t xml:space="preserve">Cost Components (material/labour/machine/overhead/other direct breakdown)</w:t>
            </w:r>
          </w:p>
        </w:tc>
      </w:tr>
      <w:tr>
        <w:tc>
          <w:tcPr>
            <w:tcW w:type="dxa" w:w="1200"/>
            <w:tcMar>
              <w:top w:type="dxa" w:w="60"/>
              <w:left w:type="dxa" w:w="100"/>
              <w:bottom w:type="dxa" w:w="60"/>
              <w:right w:type="dxa" w:w="100"/>
            </w:tcMar>
            <w:vAlign w:val="center"/>
          </w:tcPr>
          <w:p>
            <w:pPr>
              <w:jc w:val="left"/>
            </w:pPr>
            <w:r>
              <w:rPr>
                <w:b w:val="false"/>
                <w:bCs w:val="false"/>
                <w:sz w:val="18"/>
                <w:szCs w:val="18"/>
              </w:rPr>
              <w:t xml:space="preserve">3</w:t>
            </w:r>
          </w:p>
        </w:tc>
        <w:tc>
          <w:tcPr>
            <w:tcW w:type="dxa" w:w="8400"/>
            <w:tcMar>
              <w:top w:type="dxa" w:w="60"/>
              <w:left w:type="dxa" w:w="100"/>
              <w:bottom w:type="dxa" w:w="60"/>
              <w:right w:type="dxa" w:w="100"/>
            </w:tcMar>
            <w:vAlign w:val="center"/>
          </w:tcPr>
          <w:p>
            <w:pPr>
              <w:jc w:val="left"/>
            </w:pPr>
            <w:r>
              <w:rPr>
                <w:b w:val="false"/>
                <w:bCs w:val="false"/>
                <w:sz w:val="18"/>
                <w:szCs w:val="18"/>
              </w:rPr>
              <w:t xml:space="preserve">BOM (component tree and quantities used)</w:t>
            </w:r>
          </w:p>
        </w:tc>
      </w:tr>
      <w:tr>
        <w:tc>
          <w:tcPr>
            <w:tcW w:type="dxa" w:w="1200"/>
            <w:shd w:fill="F2F2F2" w:color="auto" w:val="clear"/>
            <w:tcMar>
              <w:top w:type="dxa" w:w="60"/>
              <w:left w:type="dxa" w:w="100"/>
              <w:bottom w:type="dxa" w:w="60"/>
              <w:right w:type="dxa" w:w="100"/>
            </w:tcMar>
            <w:vAlign w:val="center"/>
          </w:tcPr>
          <w:p>
            <w:pPr>
              <w:jc w:val="left"/>
            </w:pPr>
            <w:r>
              <w:rPr>
                <w:b w:val="false"/>
                <w:bCs w:val="false"/>
                <w:sz w:val="18"/>
                <w:szCs w:val="18"/>
              </w:rPr>
              <w:t xml:space="preserve">4</w:t>
            </w:r>
          </w:p>
        </w:tc>
        <w:tc>
          <w:tcPr>
            <w:tcW w:type="dxa" w:w="8400"/>
            <w:shd w:fill="F2F2F2" w:color="auto" w:val="clear"/>
            <w:tcMar>
              <w:top w:type="dxa" w:w="60"/>
              <w:left w:type="dxa" w:w="100"/>
              <w:bottom w:type="dxa" w:w="60"/>
              <w:right w:type="dxa" w:w="100"/>
            </w:tcMar>
            <w:vAlign w:val="center"/>
          </w:tcPr>
          <w:p>
            <w:pPr>
              <w:jc w:val="left"/>
            </w:pPr>
            <w:r>
              <w:rPr>
                <w:b w:val="false"/>
                <w:bCs w:val="false"/>
                <w:sz w:val="18"/>
                <w:szCs w:val="18"/>
              </w:rPr>
              <w:t xml:space="preserve">Material Valuation (inventory valuation result contributing the material cost)</w:t>
            </w:r>
          </w:p>
        </w:tc>
      </w:tr>
      <w:tr>
        <w:tc>
          <w:tcPr>
            <w:tcW w:type="dxa" w:w="1200"/>
            <w:tcMar>
              <w:top w:type="dxa" w:w="60"/>
              <w:left w:type="dxa" w:w="100"/>
              <w:bottom w:type="dxa" w:w="60"/>
              <w:right w:type="dxa" w:w="100"/>
            </w:tcMar>
            <w:vAlign w:val="center"/>
          </w:tcPr>
          <w:p>
            <w:pPr>
              <w:jc w:val="left"/>
            </w:pPr>
            <w:r>
              <w:rPr>
                <w:b w:val="false"/>
                <w:bCs w:val="false"/>
                <w:sz w:val="18"/>
                <w:szCs w:val="18"/>
              </w:rPr>
              <w:t xml:space="preserve">5</w:t>
            </w:r>
          </w:p>
        </w:tc>
        <w:tc>
          <w:tcPr>
            <w:tcW w:type="dxa" w:w="8400"/>
            <w:tcMar>
              <w:top w:type="dxa" w:w="60"/>
              <w:left w:type="dxa" w:w="100"/>
              <w:bottom w:type="dxa" w:w="60"/>
              <w:right w:type="dxa" w:w="100"/>
            </w:tcMar>
            <w:vAlign w:val="center"/>
          </w:tcPr>
          <w:p>
            <w:pPr>
              <w:jc w:val="left"/>
            </w:pPr>
            <w:r>
              <w:rPr>
                <w:b w:val="false"/>
                <w:bCs w:val="false"/>
                <w:sz w:val="18"/>
                <w:szCs w:val="18"/>
              </w:rPr>
              <w:t xml:space="preserve">Inventory Transactions (the specific receipts/issues consumed)</w:t>
            </w:r>
          </w:p>
        </w:tc>
      </w:tr>
      <w:tr>
        <w:tc>
          <w:tcPr>
            <w:tcW w:type="dxa" w:w="1200"/>
            <w:shd w:fill="F2F2F2" w:color="auto" w:val="clear"/>
            <w:tcMar>
              <w:top w:type="dxa" w:w="60"/>
              <w:left w:type="dxa" w:w="100"/>
              <w:bottom w:type="dxa" w:w="60"/>
              <w:right w:type="dxa" w:w="100"/>
            </w:tcMar>
            <w:vAlign w:val="center"/>
          </w:tcPr>
          <w:p>
            <w:pPr>
              <w:jc w:val="left"/>
            </w:pPr>
            <w:r>
              <w:rPr>
                <w:b w:val="false"/>
                <w:bCs w:val="false"/>
                <w:sz w:val="18"/>
                <w:szCs w:val="18"/>
              </w:rPr>
              <w:t xml:space="preserve">6</w:t>
            </w:r>
          </w:p>
        </w:tc>
        <w:tc>
          <w:tcPr>
            <w:tcW w:type="dxa" w:w="8400"/>
            <w:shd w:fill="F2F2F2" w:color="auto" w:val="clear"/>
            <w:tcMar>
              <w:top w:type="dxa" w:w="60"/>
              <w:left w:type="dxa" w:w="100"/>
              <w:bottom w:type="dxa" w:w="60"/>
              <w:right w:type="dxa" w:w="100"/>
            </w:tcMar>
            <w:vAlign w:val="center"/>
          </w:tcPr>
          <w:p>
            <w:pPr>
              <w:jc w:val="left"/>
            </w:pPr>
            <w:r>
              <w:rPr>
                <w:b w:val="false"/>
                <w:bCs w:val="false"/>
                <w:sz w:val="18"/>
                <w:szCs w:val="18"/>
              </w:rPr>
              <w:t xml:space="preserve">Source Data (the mapped Standard Data Model record)</w:t>
            </w:r>
          </w:p>
        </w:tc>
      </w:tr>
      <w:tr>
        <w:tc>
          <w:tcPr>
            <w:tcW w:type="dxa" w:w="1200"/>
            <w:tcMar>
              <w:top w:type="dxa" w:w="60"/>
              <w:left w:type="dxa" w:w="100"/>
              <w:bottom w:type="dxa" w:w="60"/>
              <w:right w:type="dxa" w:w="100"/>
            </w:tcMar>
            <w:vAlign w:val="center"/>
          </w:tcPr>
          <w:p>
            <w:pPr>
              <w:jc w:val="left"/>
            </w:pPr>
            <w:r>
              <w:rPr>
                <w:b w:val="false"/>
                <w:bCs w:val="false"/>
                <w:sz w:val="18"/>
                <w:szCs w:val="18"/>
              </w:rPr>
              <w:t xml:space="preserve">7</w:t>
            </w:r>
          </w:p>
        </w:tc>
        <w:tc>
          <w:tcPr>
            <w:tcW w:type="dxa" w:w="8400"/>
            <w:tcMar>
              <w:top w:type="dxa" w:w="60"/>
              <w:left w:type="dxa" w:w="100"/>
              <w:bottom w:type="dxa" w:w="60"/>
              <w:right w:type="dxa" w:w="100"/>
            </w:tcMar>
            <w:vAlign w:val="center"/>
          </w:tcPr>
          <w:p>
            <w:pPr>
              <w:jc w:val="left"/>
            </w:pPr>
            <w:r>
              <w:rPr>
                <w:b w:val="false"/>
                <w:bCs w:val="false"/>
                <w:sz w:val="18"/>
                <w:szCs w:val="18"/>
              </w:rPr>
              <w:t xml:space="preserve">Original File (the immutably stored upload)</w:t>
            </w:r>
          </w:p>
        </w:tc>
      </w:tr>
      <w:tr>
        <w:tc>
          <w:tcPr>
            <w:tcW w:type="dxa" w:w="1200"/>
            <w:shd w:fill="F2F2F2" w:color="auto" w:val="clear"/>
            <w:tcMar>
              <w:top w:type="dxa" w:w="60"/>
              <w:left w:type="dxa" w:w="100"/>
              <w:bottom w:type="dxa" w:w="60"/>
              <w:right w:type="dxa" w:w="100"/>
            </w:tcMar>
            <w:vAlign w:val="center"/>
          </w:tcPr>
          <w:p>
            <w:pPr>
              <w:jc w:val="left"/>
            </w:pPr>
            <w:r>
              <w:rPr>
                <w:b w:val="false"/>
                <w:bCs w:val="false"/>
                <w:sz w:val="18"/>
                <w:szCs w:val="18"/>
              </w:rPr>
              <w:t xml:space="preserve">8</w:t>
            </w:r>
          </w:p>
        </w:tc>
        <w:tc>
          <w:tcPr>
            <w:tcW w:type="dxa" w:w="8400"/>
            <w:shd w:fill="F2F2F2" w:color="auto" w:val="clear"/>
            <w:tcMar>
              <w:top w:type="dxa" w:w="60"/>
              <w:left w:type="dxa" w:w="100"/>
              <w:bottom w:type="dxa" w:w="60"/>
              <w:right w:type="dxa" w:w="100"/>
            </w:tcMar>
            <w:vAlign w:val="center"/>
          </w:tcPr>
          <w:p>
            <w:pPr>
              <w:jc w:val="left"/>
            </w:pPr>
            <w:r>
              <w:rPr>
                <w:b w:val="false"/>
                <w:bCs w:val="false"/>
                <w:sz w:val="18"/>
                <w:szCs w:val="18"/>
              </w:rPr>
              <w:t xml:space="preserve">Original Row (the exact row/cell in the original file)</w:t>
            </w:r>
          </w:p>
        </w:tc>
      </w:tr>
    </w:tbl>
    <w:p>
      <w:pPr>
        <w:spacing w:after="200"/>
      </w:pPr>
    </w:p>
    <w:p>
      <w:pPr>
        <w:spacing w:after="160"/>
      </w:pPr>
      <w:r>
        <w:t xml:space="preserve">A “View Evidence / Trace Calculation” action, available from any costing result, dashboard drill-down or report cell, walks this chain level by level. Implementation note: this is realised as a lineage graph keyed by entity_type + entity_id, with edges recorded whenever one record is derived from another (e.g. an inventory_valuation_result records which inventory_transactions rows contributed, each of which records its source_upload_id and, via the mapping, its original row reference) — Proposed graph/adjacency implementation, To Be Confirmed whether a dedicated data_lineage table or derivable joins across existing FKs is used for the MVP.</w:t>
      </w:r>
    </w:p>
    <w:p>
      <w:r>
        <w:br w:type="page"/>
      </w:r>
    </w:p>
    <w:p>
      <w:pPr>
        <w:pStyle w:val="Heading1"/>
        <w:spacing w:after="240" w:before="480"/>
      </w:pPr>
      <w:r>
        <w:rPr>
          <w:b/>
          <w:bCs/>
        </w:rPr>
        <w:t xml:space="preserve">22. Integration Requirements</w:t>
      </w:r>
    </w:p>
    <w:p>
      <w:pPr>
        <w:spacing w:after="160"/>
      </w:pPr>
      <w:r>
        <w:t xml:space="preserve">Cost360's MVP is intentionally file-based rather than API-integrated, per the source note's phasing. This section specifies the one integration that is in scope for the MVP (the AI service) and the integrations reserved for Phase 2/3.</w:t>
      </w:r>
    </w:p>
    <w:p>
      <w:pPr>
        <w:pStyle w:val="Heading2"/>
        <w:spacing w:after="160" w:before="320"/>
      </w:pPr>
      <w:r>
        <w:rPr>
          <w:b/>
          <w:bCs/>
        </w:rPr>
        <w:t xml:space="preserve">22.1 AI Service Integration (MVP)</w:t>
      </w:r>
    </w:p>
    <w:p>
      <w:pPr>
        <w:pStyle w:val="ListParagraph"/>
        <w:numPr>
          <w:ilvl w:val="0"/>
          <w:numId w:val="2"/>
        </w:numPr>
        <w:spacing w:after="80"/>
      </w:pPr>
      <w:r>
        <w:t xml:space="preserve">Outbound HTTPS calls from the AI Integration Layer (Section 7.2, Part 1) to an external AI provider — Proposed / To Be Confirmed provider and model.</w:t>
      </w:r>
    </w:p>
    <w:p>
      <w:pPr>
        <w:pStyle w:val="ListParagraph"/>
        <w:numPr>
          <w:ilvl w:val="0"/>
          <w:numId w:val="2"/>
        </w:numPr>
        <w:spacing w:after="80"/>
      </w:pPr>
      <w:r>
        <w:t xml:space="preserve">Requests include only the minimum data needed for the task (e.g. column headers and a small sample of values for mapping suggestions, not entire datasets) — data-minimisation principle.</w:t>
      </w:r>
    </w:p>
    <w:p>
      <w:pPr>
        <w:pStyle w:val="ListParagraph"/>
        <w:numPr>
          <w:ilvl w:val="0"/>
          <w:numId w:val="2"/>
        </w:numPr>
        <w:spacing w:after="80"/>
      </w:pPr>
      <w:r>
        <w:t xml:space="preserve">Timeouts and graceful degradation: if the AI service is slow or unavailable, the dependent feature (mapping suggestion, Copilot query) falls back to a manual/no-suggestion path rather than blocking the user (see FR-MAP-002 Exception Flow).</w:t>
      </w:r>
    </w:p>
    <w:p>
      <w:pPr>
        <w:pStyle w:val="ListParagraph"/>
        <w:numPr>
          <w:ilvl w:val="0"/>
          <w:numId w:val="2"/>
        </w:numPr>
        <w:spacing w:after="80"/>
      </w:pPr>
      <w:r>
        <w:t xml:space="preserve">API keys/credentials for the AI service are held in environment configuration, never in source control or client-side code.</w:t>
      </w:r>
    </w:p>
    <w:p>
      <w:pPr>
        <w:pStyle w:val="Heading2"/>
        <w:spacing w:after="160" w:before="320"/>
      </w:pPr>
      <w:r>
        <w:rPr>
          <w:b/>
          <w:bCs/>
        </w:rPr>
        <w:t xml:space="preserve">22.2 File Import Formats (MVP)</w:t>
      </w:r>
    </w:p>
    <w:p>
      <w:pPr>
        <w:pStyle w:val="ListParagraph"/>
        <w:numPr>
          <w:ilvl w:val="0"/>
          <w:numId w:val="2"/>
        </w:numPr>
        <w:spacing w:after="80"/>
      </w:pPr>
      <w:r>
        <w:t xml:space="preserve">Supported inbound formats: .xlsx, .xls, .csv — Proposed, To Be Confirmed.</w:t>
      </w:r>
    </w:p>
    <w:p>
      <w:pPr>
        <w:pStyle w:val="ListParagraph"/>
        <w:numPr>
          <w:ilvl w:val="0"/>
          <w:numId w:val="2"/>
        </w:numPr>
        <w:spacing w:after="80"/>
      </w:pPr>
      <w:r>
        <w:t xml:space="preserve">Supported export formats: on-screen, CSV, PDF, Excel — Proposed, To Be Confirmed for each report.</w:t>
      </w:r>
    </w:p>
    <w:p>
      <w:pPr>
        <w:pStyle w:val="Heading2"/>
        <w:spacing w:after="160" w:before="320"/>
      </w:pPr>
      <w:r>
        <w:rPr>
          <w:b/>
          <w:bCs/>
        </w:rPr>
        <w:t xml:space="preserve">22.3 Future ERP / API Integrations (Phase 2/3)</w:t>
      </w:r>
    </w:p>
    <w:p>
      <w:pPr>
        <w:pStyle w:val="ListParagraph"/>
        <w:numPr>
          <w:ilvl w:val="0"/>
          <w:numId w:val="2"/>
        </w:numPr>
        <w:spacing w:after="80"/>
      </w:pPr>
      <w:r>
        <w:t xml:space="preserve">Scheduled or on-demand pull of Trial Balance, inventory and production data from an ERP via API, replacing manual upload for onboarded customers.</w:t>
      </w:r>
    </w:p>
    <w:p>
      <w:pPr>
        <w:pStyle w:val="ListParagraph"/>
        <w:numPr>
          <w:ilvl w:val="0"/>
          <w:numId w:val="2"/>
        </w:numPr>
        <w:spacing w:after="80"/>
      </w:pPr>
      <w:r>
        <w:t xml:space="preserve">Outbound webhook/API for notification delivery to external systems (e.g. email, Slack/Teams) — Phase 2.</w:t>
      </w:r>
    </w:p>
    <w:p>
      <w:pPr>
        <w:pStyle w:val="ListParagraph"/>
        <w:numPr>
          <w:ilvl w:val="0"/>
          <w:numId w:val="2"/>
        </w:numPr>
        <w:spacing w:after="80"/>
      </w:pPr>
      <w:r>
        <w:t xml:space="preserve">A formal Cost360 public API (for customers to pull costing results into their own BI tools) — Phase 3, referenced in the source note's “future API architecture” item.</w:t>
      </w:r>
    </w:p>
    <w:p>
      <w:pPr>
        <w:spacing w:after="160"/>
      </w:pPr>
      <w:r>
        <w:t xml:space="preserve">No specific ERP vendor or API contract is defined in the source note; this is explicitly flagged as To Be Confirmed and out of MVP scope.</w:t>
      </w:r>
    </w:p>
    <w:p>
      <w:r>
        <w:br w:type="page"/>
      </w:r>
    </w:p>
    <w:p>
      <w:pPr>
        <w:pStyle w:val="Heading1"/>
        <w:spacing w:after="240" w:before="480"/>
      </w:pPr>
      <w:r>
        <w:rPr>
          <w:b/>
          <w:bCs/>
        </w:rPr>
        <w:t xml:space="preserve">23. AI Requirements</w:t>
      </w:r>
    </w:p>
    <w:p>
      <w:pPr>
        <w:spacing w:after="160"/>
      </w:pPr>
      <w:r>
        <w:t xml:space="preserve">This section consolidates the AI-related functional requirements already detailed in Section 5 (Part 2) — FR-MAP-002 (AI-Assisted Mapping) and FR-AI-001 (CMA AI Copilot) — with the governance principles that apply across the whole AI Layer.</w:t>
      </w:r>
    </w:p>
    <w:p>
      <w:pPr>
        <w:pStyle w:val="Heading2"/>
        <w:spacing w:after="160" w:before="320"/>
      </w:pPr>
      <w:r>
        <w:rPr>
          <w:b/>
          <w:bCs/>
        </w:rPr>
        <w:t xml:space="preserve">23.1 AI Layer Scope (MVP)</w:t>
      </w:r>
    </w:p>
    <w:p>
      <w:pPr>
        <w:pStyle w:val="ListParagraph"/>
        <w:numPr>
          <w:ilvl w:val="0"/>
          <w:numId w:val="2"/>
        </w:numPr>
        <w:spacing w:after="80"/>
      </w:pPr>
      <w:r>
        <w:t xml:space="preserve">AI-Assisted Mapping (FR-MAP-002): suggests source-to-canonical field mappings.</w:t>
      </w:r>
    </w:p>
    <w:p>
      <w:pPr>
        <w:pStyle w:val="ListParagraph"/>
        <w:numPr>
          <w:ilvl w:val="0"/>
          <w:numId w:val="2"/>
        </w:numPr>
        <w:spacing w:after="80"/>
      </w:pPr>
      <w:r>
        <w:t xml:space="preserve">CMA AI Copilot / Natural Language Analytics (FR-AI-001): answers natural-language questions about costing data with Fact/Calculation/Inference/Prediction classification.</w:t>
      </w:r>
    </w:p>
    <w:p>
      <w:pPr>
        <w:pStyle w:val="ListParagraph"/>
        <w:numPr>
          <w:ilvl w:val="0"/>
          <w:numId w:val="2"/>
        </w:numPr>
        <w:spacing w:after="80"/>
      </w:pPr>
      <w:r>
        <w:t xml:space="preserve">AI Observations: proactive flags (e.g. “this product's cost moved more than usual this period”) surfaced on the CMA Dashboard for review — Proposed scope for MVP, To Be Confirmed against the source note's “AI observation” process-flow item.</w:t>
      </w:r>
    </w:p>
    <w:p>
      <w:pPr>
        <w:pStyle w:val="ListParagraph"/>
        <w:numPr>
          <w:ilvl w:val="0"/>
          <w:numId w:val="2"/>
        </w:numPr>
        <w:spacing w:after="80"/>
      </w:pPr>
      <w:r>
        <w:t xml:space="preserve">Costing Integrity Score (Section 13.2, CMA Dashboard): a composite score, not itself a generative-AI output but informed by AI Governance data (suggestion acceptance rates) alongside data-quality and reconciliation metrics — Proposed formula, To Be Confirmed.</w:t>
      </w:r>
    </w:p>
    <w:p>
      <w:pPr>
        <w:pStyle w:val="Heading2"/>
        <w:spacing w:after="160" w:before="320"/>
      </w:pPr>
      <w:r>
        <w:rPr>
          <w:b/>
          <w:bCs/>
        </w:rPr>
        <w:t xml:space="preserve">23.2 AI Governance Principles</w:t>
      </w:r>
    </w:p>
    <w:p>
      <w:pPr>
        <w:spacing w:after="160"/>
      </w:pPr>
      <w:r>
        <w:t xml:space="preserve">These principles apply to every AI feature without exception, per the source note's Financial Integrity Rule:</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7000"/>
      </w:tblGrid>
      <w:tr>
        <w:trPr>
          <w:tblHeader/>
        </w:trPr>
        <w:tc>
          <w:tcPr>
            <w:tcW w:type="dxa" w:w="2600"/>
            <w:shd w:fill="1F3864" w:color="auto" w:val="clear"/>
            <w:tcMar>
              <w:top w:type="dxa" w:w="60"/>
              <w:left w:type="dxa" w:w="100"/>
              <w:bottom w:type="dxa" w:w="60"/>
              <w:right w:type="dxa" w:w="100"/>
            </w:tcMar>
            <w:vAlign w:val="center"/>
          </w:tcPr>
          <w:p>
            <w:pPr>
              <w:jc w:val="left"/>
            </w:pPr>
            <w:r>
              <w:rPr>
                <w:b/>
                <w:bCs/>
                <w:color w:val="FFFFFF"/>
                <w:sz w:val="18"/>
                <w:szCs w:val="18"/>
              </w:rPr>
              <w:t xml:space="preserve">Principle</w:t>
            </w:r>
          </w:p>
        </w:tc>
        <w:tc>
          <w:tcPr>
            <w:tcW w:type="dxa" w:w="7000"/>
            <w:shd w:fill="1F3864" w:color="auto" w:val="clear"/>
            <w:tcMar>
              <w:top w:type="dxa" w:w="60"/>
              <w:left w:type="dxa" w:w="100"/>
              <w:bottom w:type="dxa" w:w="60"/>
              <w:right w:type="dxa" w:w="100"/>
            </w:tcMar>
            <w:vAlign w:val="center"/>
          </w:tcPr>
          <w:p>
            <w:pPr>
              <w:jc w:val="left"/>
            </w:pPr>
            <w:r>
              <w:rPr>
                <w:b/>
                <w:bCs/>
                <w:color w:val="FFFFFF"/>
                <w:sz w:val="18"/>
                <w:szCs w:val="18"/>
              </w:rPr>
              <w:t xml:space="preserve">Requirement</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No silent modification</w:t>
            </w:r>
          </w:p>
        </w:tc>
        <w:tc>
          <w:tcPr>
            <w:tcW w:type="dxa" w:w="7000"/>
            <w:tcMar>
              <w:top w:type="dxa" w:w="60"/>
              <w:left w:type="dxa" w:w="100"/>
              <w:bottom w:type="dxa" w:w="60"/>
              <w:right w:type="dxa" w:w="100"/>
            </w:tcMar>
            <w:vAlign w:val="center"/>
          </w:tcPr>
          <w:p>
            <w:pPr>
              <w:jc w:val="left"/>
            </w:pPr>
            <w:r>
              <w:rPr>
                <w:b w:val="false"/>
                <w:bCs w:val="false"/>
                <w:sz w:val="18"/>
                <w:szCs w:val="18"/>
              </w:rPr>
              <w:t xml:space="preserve">AI never writes to a financial/costing result directly; every AI output that could influence a result requires human confirmation (BR-AI-001).</w:t>
            </w:r>
          </w:p>
        </w:tc>
      </w:tr>
      <w:tr>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Classification</w:t>
            </w:r>
          </w:p>
        </w:tc>
        <w:tc>
          <w:tcPr>
            <w:tcW w:type="dxa" w:w="7000"/>
            <w:shd w:fill="F2F2F2" w:color="auto" w:val="clear"/>
            <w:tcMar>
              <w:top w:type="dxa" w:w="60"/>
              <w:left w:type="dxa" w:w="100"/>
              <w:bottom w:type="dxa" w:w="60"/>
              <w:right w:type="dxa" w:w="100"/>
            </w:tcMar>
            <w:vAlign w:val="center"/>
          </w:tcPr>
          <w:p>
            <w:pPr>
              <w:jc w:val="left"/>
            </w:pPr>
            <w:r>
              <w:rPr>
                <w:b w:val="false"/>
                <w:bCs w:val="false"/>
                <w:sz w:val="18"/>
                <w:szCs w:val="18"/>
              </w:rPr>
              <w:t xml:space="preserve">Every AI statement is labelled Fact, Calculation, Inference or Prediction (BR-AI-003).</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Confidence</w:t>
            </w:r>
          </w:p>
        </w:tc>
        <w:tc>
          <w:tcPr>
            <w:tcW w:type="dxa" w:w="7000"/>
            <w:tcMar>
              <w:top w:type="dxa" w:w="60"/>
              <w:left w:type="dxa" w:w="100"/>
              <w:bottom w:type="dxa" w:w="60"/>
              <w:right w:type="dxa" w:w="100"/>
            </w:tcMar>
            <w:vAlign w:val="center"/>
          </w:tcPr>
          <w:p>
            <w:pPr>
              <w:jc w:val="left"/>
            </w:pPr>
            <w:r>
              <w:rPr>
                <w:b w:val="false"/>
                <w:bCs w:val="false"/>
                <w:sz w:val="18"/>
                <w:szCs w:val="18"/>
              </w:rPr>
              <w:t xml:space="preserve">Every Inference/Prediction carries a confidence indicator.</w:t>
            </w:r>
          </w:p>
        </w:tc>
      </w:tr>
      <w:tr>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Explanation and evidence</w:t>
            </w:r>
          </w:p>
        </w:tc>
        <w:tc>
          <w:tcPr>
            <w:tcW w:type="dxa" w:w="7000"/>
            <w:shd w:fill="F2F2F2" w:color="auto" w:val="clear"/>
            <w:tcMar>
              <w:top w:type="dxa" w:w="60"/>
              <w:left w:type="dxa" w:w="100"/>
              <w:bottom w:type="dxa" w:w="60"/>
              <w:right w:type="dxa" w:w="100"/>
            </w:tcMar>
            <w:vAlign w:val="center"/>
          </w:tcPr>
          <w:p>
            <w:pPr>
              <w:jc w:val="left"/>
            </w:pPr>
            <w:r>
              <w:rPr>
                <w:b w:val="false"/>
                <w:bCs w:val="false"/>
                <w:sz w:val="18"/>
                <w:szCs w:val="18"/>
              </w:rPr>
              <w:t xml:space="preserve">Every AI output links back to the data it drew on (via Data Lineage, Section 21.2).</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Human approval where required</w:t>
            </w:r>
          </w:p>
        </w:tc>
        <w:tc>
          <w:tcPr>
            <w:tcW w:type="dxa" w:w="7000"/>
            <w:tcMar>
              <w:top w:type="dxa" w:w="60"/>
              <w:left w:type="dxa" w:w="100"/>
              <w:bottom w:type="dxa" w:w="60"/>
              <w:right w:type="dxa" w:w="100"/>
            </w:tcMar>
            <w:vAlign w:val="center"/>
          </w:tcPr>
          <w:p>
            <w:pPr>
              <w:jc w:val="left"/>
            </w:pPr>
            <w:r>
              <w:rPr>
                <w:b w:val="false"/>
                <w:bCs w:val="false"/>
                <w:sz w:val="18"/>
                <w:szCs w:val="18"/>
              </w:rPr>
              <w:t xml:space="preserve">Mapping suggestions require explicit confirmation before use (FR-MAP-002); Copilot outputs are advisory, not auto-applied.</w:t>
            </w:r>
          </w:p>
        </w:tc>
      </w:tr>
      <w:tr>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Audit history</w:t>
            </w:r>
          </w:p>
        </w:tc>
        <w:tc>
          <w:tcPr>
            <w:tcW w:type="dxa" w:w="7000"/>
            <w:shd w:fill="F2F2F2" w:color="auto" w:val="clear"/>
            <w:tcMar>
              <w:top w:type="dxa" w:w="60"/>
              <w:left w:type="dxa" w:w="100"/>
              <w:bottom w:type="dxa" w:w="60"/>
              <w:right w:type="dxa" w:w="100"/>
            </w:tcMar>
            <w:vAlign w:val="center"/>
          </w:tcPr>
          <w:p>
            <w:pPr>
              <w:jc w:val="left"/>
            </w:pPr>
            <w:r>
              <w:rPr>
                <w:b w:val="false"/>
                <w:bCs w:val="false"/>
                <w:sz w:val="18"/>
                <w:szCs w:val="18"/>
              </w:rPr>
              <w:t xml:space="preserve">Every AI interaction is logged with its outcome (BR-AI-002).</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Override capability</w:t>
            </w:r>
          </w:p>
        </w:tc>
        <w:tc>
          <w:tcPr>
            <w:tcW w:type="dxa" w:w="7000"/>
            <w:tcMar>
              <w:top w:type="dxa" w:w="60"/>
              <w:left w:type="dxa" w:w="100"/>
              <w:bottom w:type="dxa" w:w="60"/>
              <w:right w:type="dxa" w:w="100"/>
            </w:tcMar>
            <w:vAlign w:val="center"/>
          </w:tcPr>
          <w:p>
            <w:pPr>
              <w:jc w:val="left"/>
            </w:pPr>
            <w:r>
              <w:rPr>
                <w:b w:val="false"/>
                <w:bCs w:val="false"/>
                <w:sz w:val="18"/>
                <w:szCs w:val="18"/>
              </w:rPr>
              <w:t xml:space="preserve">A CMA can always reject or override an AI suggestion/observation, and that override is itself logged (feeding AI Governance reporting).</w:t>
            </w:r>
          </w:p>
        </w:tc>
      </w:tr>
    </w:tbl>
    <w:p>
      <w:pPr>
        <w:pStyle w:val="Heading2"/>
        <w:spacing w:after="160" w:before="320"/>
      </w:pPr>
      <w:r>
        <w:rPr>
          <w:b/>
          <w:bCs/>
        </w:rPr>
        <w:t xml:space="preserve">23.3 Phase 2/3 AI Roadmap (Out of MVP Scope)</w:t>
      </w:r>
    </w:p>
    <w:p>
      <w:pPr>
        <w:pStyle w:val="ListParagraph"/>
        <w:numPr>
          <w:ilvl w:val="0"/>
          <w:numId w:val="2"/>
        </w:numPr>
        <w:spacing w:after="80"/>
      </w:pPr>
      <w:r>
        <w:t xml:space="preserve">Predictive costing / cost forecasting</w:t>
      </w:r>
    </w:p>
    <w:p>
      <w:pPr>
        <w:pStyle w:val="ListParagraph"/>
        <w:numPr>
          <w:ilvl w:val="0"/>
          <w:numId w:val="2"/>
        </w:numPr>
        <w:spacing w:after="80"/>
      </w:pPr>
      <w:r>
        <w:t xml:space="preserve">Margin prediction</w:t>
      </w:r>
    </w:p>
    <w:p>
      <w:pPr>
        <w:pStyle w:val="ListParagraph"/>
        <w:numPr>
          <w:ilvl w:val="0"/>
          <w:numId w:val="2"/>
        </w:numPr>
        <w:spacing w:after="80"/>
      </w:pPr>
      <w:r>
        <w:t xml:space="preserve">Advanced anomaly detection across the full dataset (beyond the MVP's threshold-based Warning flags in Section 19)</w:t>
      </w:r>
    </w:p>
    <w:p>
      <w:pPr>
        <w:pStyle w:val="ListParagraph"/>
        <w:numPr>
          <w:ilvl w:val="0"/>
          <w:numId w:val="2"/>
        </w:numPr>
        <w:spacing w:after="80"/>
      </w:pPr>
      <w:r>
        <w:t xml:space="preserve">Benchmarking against industry/peer data</w:t>
      </w:r>
    </w:p>
    <w:p>
      <w:pPr>
        <w:pStyle w:val="ListParagraph"/>
        <w:numPr>
          <w:ilvl w:val="0"/>
          <w:numId w:val="2"/>
        </w:numPr>
        <w:spacing w:after="80"/>
      </w:pPr>
      <w:r>
        <w:t xml:space="preserve">Expanded Copilot capability (e.g. proactive what-if suggestions tied to Cost Simulation, Phase 2)</w:t>
      </w:r>
    </w:p>
    <w:p>
      <w:r>
        <w:br w:type="page"/>
      </w:r>
    </w:p>
    <w:p>
      <w:pPr>
        <w:pStyle w:val="Heading1"/>
        <w:spacing w:after="240" w:before="480"/>
      </w:pPr>
      <w:r>
        <w:rPr>
          <w:b/>
          <w:bCs/>
        </w:rPr>
        <w:t xml:space="preserve">24. Error Handling and Notifications</w:t>
      </w:r>
    </w:p>
    <w:p>
      <w:pPr>
        <w:pStyle w:val="Heading2"/>
        <w:spacing w:after="160" w:before="320"/>
      </w:pPr>
      <w:r>
        <w:rPr>
          <w:b/>
          <w:bCs/>
        </w:rPr>
        <w:t xml:space="preserve">24.1 Error Categories</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1800"/>
        <w:gridCol w:w="3700"/>
        <w:gridCol w:w="3700"/>
      </w:tblGrid>
      <w:tr>
        <w:trPr>
          <w:tblHeader/>
        </w:trPr>
        <w:tc>
          <w:tcPr>
            <w:tcW w:type="dxa" w:w="1800"/>
            <w:shd w:fill="1F3864" w:color="auto" w:val="clear"/>
            <w:tcMar>
              <w:top w:type="dxa" w:w="60"/>
              <w:left w:type="dxa" w:w="100"/>
              <w:bottom w:type="dxa" w:w="60"/>
              <w:right w:type="dxa" w:w="100"/>
            </w:tcMar>
            <w:vAlign w:val="center"/>
          </w:tcPr>
          <w:p>
            <w:pPr>
              <w:jc w:val="left"/>
            </w:pPr>
            <w:r>
              <w:rPr>
                <w:b/>
                <w:bCs/>
                <w:color w:val="FFFFFF"/>
                <w:sz w:val="18"/>
                <w:szCs w:val="18"/>
              </w:rPr>
              <w:t xml:space="preserve">Category</w:t>
            </w:r>
          </w:p>
        </w:tc>
        <w:tc>
          <w:tcPr>
            <w:tcW w:type="dxa" w:w="3700"/>
            <w:shd w:fill="1F3864" w:color="auto" w:val="clear"/>
            <w:tcMar>
              <w:top w:type="dxa" w:w="60"/>
              <w:left w:type="dxa" w:w="100"/>
              <w:bottom w:type="dxa" w:w="60"/>
              <w:right w:type="dxa" w:w="100"/>
            </w:tcMar>
            <w:vAlign w:val="center"/>
          </w:tcPr>
          <w:p>
            <w:pPr>
              <w:jc w:val="left"/>
            </w:pPr>
            <w:r>
              <w:rPr>
                <w:b/>
                <w:bCs/>
                <w:color w:val="FFFFFF"/>
                <w:sz w:val="18"/>
                <w:szCs w:val="18"/>
              </w:rPr>
              <w:t xml:space="preserve">User-Facing Behaviour</w:t>
            </w:r>
          </w:p>
        </w:tc>
        <w:tc>
          <w:tcPr>
            <w:tcW w:type="dxa" w:w="3700"/>
            <w:shd w:fill="1F3864" w:color="auto" w:val="clear"/>
            <w:tcMar>
              <w:top w:type="dxa" w:w="60"/>
              <w:left w:type="dxa" w:w="100"/>
              <w:bottom w:type="dxa" w:w="60"/>
              <w:right w:type="dxa" w:w="100"/>
            </w:tcMar>
            <w:vAlign w:val="center"/>
          </w:tcPr>
          <w:p>
            <w:pPr>
              <w:jc w:val="left"/>
            </w:pPr>
            <w:r>
              <w:rPr>
                <w:b/>
                <w:bCs/>
                <w:color w:val="FFFFFF"/>
                <w:sz w:val="18"/>
                <w:szCs w:val="18"/>
              </w:rPr>
              <w:t xml:space="preserve">System Logging</w:t>
            </w:r>
          </w:p>
        </w:tc>
      </w:tr>
      <w:tr>
        <w:tc>
          <w:tcPr>
            <w:tcW w:type="dxa" w:w="1800"/>
            <w:tcMar>
              <w:top w:type="dxa" w:w="60"/>
              <w:left w:type="dxa" w:w="100"/>
              <w:bottom w:type="dxa" w:w="60"/>
              <w:right w:type="dxa" w:w="100"/>
            </w:tcMar>
            <w:vAlign w:val="center"/>
          </w:tcPr>
          <w:p>
            <w:pPr>
              <w:jc w:val="left"/>
            </w:pPr>
            <w:r>
              <w:rPr>
                <w:b w:val="false"/>
                <w:bCs w:val="false"/>
                <w:sz w:val="18"/>
                <w:szCs w:val="18"/>
              </w:rPr>
              <w:t xml:space="preserve">Application error (unhandled exception)</w:t>
            </w:r>
          </w:p>
        </w:tc>
        <w:tc>
          <w:tcPr>
            <w:tcW w:type="dxa" w:w="3700"/>
            <w:tcMar>
              <w:top w:type="dxa" w:w="60"/>
              <w:left w:type="dxa" w:w="100"/>
              <w:bottom w:type="dxa" w:w="60"/>
              <w:right w:type="dxa" w:w="100"/>
            </w:tcMar>
            <w:vAlign w:val="center"/>
          </w:tcPr>
          <w:p>
            <w:pPr>
              <w:jc w:val="left"/>
            </w:pPr>
            <w:r>
              <w:rPr>
                <w:b w:val="false"/>
                <w:bCs w:val="false"/>
                <w:sz w:val="18"/>
                <w:szCs w:val="18"/>
              </w:rPr>
              <w:t xml:space="preserve">Generic “something went wrong” message with a reference code; never a raw stack trace to the user</w:t>
            </w:r>
          </w:p>
        </w:tc>
        <w:tc>
          <w:tcPr>
            <w:tcW w:type="dxa" w:w="3700"/>
            <w:tcMar>
              <w:top w:type="dxa" w:w="60"/>
              <w:left w:type="dxa" w:w="100"/>
              <w:bottom w:type="dxa" w:w="60"/>
              <w:right w:type="dxa" w:w="100"/>
            </w:tcMar>
            <w:vAlign w:val="center"/>
          </w:tcPr>
          <w:p>
            <w:pPr>
              <w:jc w:val="left"/>
            </w:pPr>
            <w:r>
              <w:rPr>
                <w:b w:val="false"/>
                <w:bCs w:val="false"/>
                <w:sz w:val="18"/>
                <w:szCs w:val="18"/>
              </w:rPr>
              <w:t xml:space="preserve">Full stack trace, request context, actor, timestamp logged server-side</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Validation error</w:t>
            </w:r>
          </w:p>
        </w:tc>
        <w:tc>
          <w:tcPr>
            <w:tcW w:type="dxa" w:w="3700"/>
            <w:shd w:fill="F2F2F2" w:color="auto" w:val="clear"/>
            <w:tcMar>
              <w:top w:type="dxa" w:w="60"/>
              <w:left w:type="dxa" w:w="100"/>
              <w:bottom w:type="dxa" w:w="60"/>
              <w:right w:type="dxa" w:w="100"/>
            </w:tcMar>
            <w:vAlign w:val="center"/>
          </w:tcPr>
          <w:p>
            <w:pPr>
              <w:jc w:val="left"/>
            </w:pPr>
            <w:r>
              <w:rPr>
                <w:b w:val="false"/>
                <w:bCs w:val="false"/>
                <w:sz w:val="18"/>
                <w:szCs w:val="18"/>
              </w:rPr>
              <w:t xml:space="preserve">Specific, field-level message near the offending field (Section 19)</w:t>
            </w:r>
          </w:p>
        </w:tc>
        <w:tc>
          <w:tcPr>
            <w:tcW w:type="dxa" w:w="3700"/>
            <w:shd w:fill="F2F2F2" w:color="auto" w:val="clear"/>
            <w:tcMar>
              <w:top w:type="dxa" w:w="60"/>
              <w:left w:type="dxa" w:w="100"/>
              <w:bottom w:type="dxa" w:w="60"/>
              <w:right w:type="dxa" w:w="100"/>
            </w:tcMar>
            <w:vAlign w:val="center"/>
          </w:tcPr>
          <w:p>
            <w:pPr>
              <w:jc w:val="left"/>
            </w:pPr>
            <w:r>
              <w:rPr>
                <w:b w:val="false"/>
                <w:bCs w:val="false"/>
                <w:sz w:val="18"/>
                <w:szCs w:val="18"/>
              </w:rPr>
              <w:t xml:space="preserve">Logged as a validation_results row, not a system error</w:t>
            </w:r>
          </w:p>
        </w:tc>
      </w:tr>
      <w:tr>
        <w:tc>
          <w:tcPr>
            <w:tcW w:type="dxa" w:w="1800"/>
            <w:tcMar>
              <w:top w:type="dxa" w:w="60"/>
              <w:left w:type="dxa" w:w="100"/>
              <w:bottom w:type="dxa" w:w="60"/>
              <w:right w:type="dxa" w:w="100"/>
            </w:tcMar>
            <w:vAlign w:val="center"/>
          </w:tcPr>
          <w:p>
            <w:pPr>
              <w:jc w:val="left"/>
            </w:pPr>
            <w:r>
              <w:rPr>
                <w:b w:val="false"/>
                <w:bCs w:val="false"/>
                <w:sz w:val="18"/>
                <w:szCs w:val="18"/>
              </w:rPr>
              <w:t xml:space="preserve">Database error</w:t>
            </w:r>
          </w:p>
        </w:tc>
        <w:tc>
          <w:tcPr>
            <w:tcW w:type="dxa" w:w="3700"/>
            <w:tcMar>
              <w:top w:type="dxa" w:w="60"/>
              <w:left w:type="dxa" w:w="100"/>
              <w:bottom w:type="dxa" w:w="60"/>
              <w:right w:type="dxa" w:w="100"/>
            </w:tcMar>
            <w:vAlign w:val="center"/>
          </w:tcPr>
          <w:p>
            <w:pPr>
              <w:jc w:val="left"/>
            </w:pPr>
            <w:r>
              <w:rPr>
                <w:b w:val="false"/>
                <w:bCs w:val="false"/>
                <w:sz w:val="18"/>
                <w:szCs w:val="18"/>
              </w:rPr>
              <w:t xml:space="preserve">Generic failure message; the specific SQL/DB error is never shown to the user</w:t>
            </w:r>
          </w:p>
        </w:tc>
        <w:tc>
          <w:tcPr>
            <w:tcW w:type="dxa" w:w="3700"/>
            <w:tcMar>
              <w:top w:type="dxa" w:w="60"/>
              <w:left w:type="dxa" w:w="100"/>
              <w:bottom w:type="dxa" w:w="60"/>
              <w:right w:type="dxa" w:w="100"/>
            </w:tcMar>
            <w:vAlign w:val="center"/>
          </w:tcPr>
          <w:p>
            <w:pPr>
              <w:jc w:val="left"/>
            </w:pPr>
            <w:r>
              <w:rPr>
                <w:b w:val="false"/>
                <w:bCs w:val="false"/>
                <w:sz w:val="18"/>
                <w:szCs w:val="18"/>
              </w:rPr>
              <w:t xml:space="preserve">Full error via pg_last_error(), query text (not parameter values), logged (Section 17.14, Part 2)</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Upload error</w:t>
            </w:r>
          </w:p>
        </w:tc>
        <w:tc>
          <w:tcPr>
            <w:tcW w:type="dxa" w:w="3700"/>
            <w:shd w:fill="F2F2F2" w:color="auto" w:val="clear"/>
            <w:tcMar>
              <w:top w:type="dxa" w:w="60"/>
              <w:left w:type="dxa" w:w="100"/>
              <w:bottom w:type="dxa" w:w="60"/>
              <w:right w:type="dxa" w:w="100"/>
            </w:tcMar>
            <w:vAlign w:val="center"/>
          </w:tcPr>
          <w:p>
            <w:pPr>
              <w:jc w:val="left"/>
            </w:pPr>
            <w:r>
              <w:rPr>
                <w:b w:val="false"/>
                <w:bCs w:val="false"/>
                <w:sz w:val="18"/>
                <w:szCs w:val="18"/>
              </w:rPr>
              <w:t xml:space="preserve">Specific message (unsupported type, too large, empty) at the point of upload</w:t>
            </w:r>
          </w:p>
        </w:tc>
        <w:tc>
          <w:tcPr>
            <w:tcW w:type="dxa" w:w="3700"/>
            <w:shd w:fill="F2F2F2" w:color="auto" w:val="clear"/>
            <w:tcMar>
              <w:top w:type="dxa" w:w="60"/>
              <w:left w:type="dxa" w:w="100"/>
              <w:bottom w:type="dxa" w:w="60"/>
              <w:right w:type="dxa" w:w="100"/>
            </w:tcMar>
            <w:vAlign w:val="center"/>
          </w:tcPr>
          <w:p>
            <w:pPr>
              <w:jc w:val="left"/>
            </w:pPr>
            <w:r>
              <w:rPr>
                <w:b w:val="false"/>
                <w:bCs w:val="false"/>
                <w:sz w:val="18"/>
                <w:szCs w:val="18"/>
              </w:rPr>
              <w:t xml:space="preserve">Failed-attempt log entry</w:t>
            </w:r>
          </w:p>
        </w:tc>
      </w:tr>
      <w:tr>
        <w:tc>
          <w:tcPr>
            <w:tcW w:type="dxa" w:w="1800"/>
            <w:tcMar>
              <w:top w:type="dxa" w:w="60"/>
              <w:left w:type="dxa" w:w="100"/>
              <w:bottom w:type="dxa" w:w="60"/>
              <w:right w:type="dxa" w:w="100"/>
            </w:tcMar>
            <w:vAlign w:val="center"/>
          </w:tcPr>
          <w:p>
            <w:pPr>
              <w:jc w:val="left"/>
            </w:pPr>
            <w:r>
              <w:rPr>
                <w:b w:val="false"/>
                <w:bCs w:val="false"/>
                <w:sz w:val="18"/>
                <w:szCs w:val="18"/>
              </w:rPr>
              <w:t xml:space="preserve">Mapping error</w:t>
            </w:r>
          </w:p>
        </w:tc>
        <w:tc>
          <w:tcPr>
            <w:tcW w:type="dxa" w:w="3700"/>
            <w:tcMar>
              <w:top w:type="dxa" w:w="60"/>
              <w:left w:type="dxa" w:w="100"/>
              <w:bottom w:type="dxa" w:w="60"/>
              <w:right w:type="dxa" w:w="100"/>
            </w:tcMar>
            <w:vAlign w:val="center"/>
          </w:tcPr>
          <w:p>
            <w:pPr>
              <w:jc w:val="left"/>
            </w:pPr>
            <w:r>
              <w:rPr>
                <w:b w:val="false"/>
                <w:bCs w:val="false"/>
                <w:sz w:val="18"/>
                <w:szCs w:val="18"/>
              </w:rPr>
              <w:t xml:space="preserve">Specific message identifying the unmapped/conflicting field</w:t>
            </w:r>
          </w:p>
        </w:tc>
        <w:tc>
          <w:tcPr>
            <w:tcW w:type="dxa" w:w="3700"/>
            <w:tcMar>
              <w:top w:type="dxa" w:w="60"/>
              <w:left w:type="dxa" w:w="100"/>
              <w:bottom w:type="dxa" w:w="60"/>
              <w:right w:type="dxa" w:w="100"/>
            </w:tcMar>
            <w:vAlign w:val="center"/>
          </w:tcPr>
          <w:p>
            <w:pPr>
              <w:jc w:val="left"/>
            </w:pPr>
            <w:r>
              <w:rPr>
                <w:b w:val="false"/>
                <w:bCs w:val="false"/>
                <w:sz w:val="18"/>
                <w:szCs w:val="18"/>
              </w:rPr>
              <w:t xml:space="preserve">Logged against the upload record</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Calculation error</w:t>
            </w:r>
          </w:p>
        </w:tc>
        <w:tc>
          <w:tcPr>
            <w:tcW w:type="dxa" w:w="3700"/>
            <w:shd w:fill="F2F2F2" w:color="auto" w:val="clear"/>
            <w:tcMar>
              <w:top w:type="dxa" w:w="60"/>
              <w:left w:type="dxa" w:w="100"/>
              <w:bottom w:type="dxa" w:w="60"/>
              <w:right w:type="dxa" w:w="100"/>
            </w:tcMar>
            <w:vAlign w:val="center"/>
          </w:tcPr>
          <w:p>
            <w:pPr>
              <w:jc w:val="left"/>
            </w:pPr>
            <w:r>
              <w:rPr>
                <w:b w:val="false"/>
                <w:bCs w:val="false"/>
                <w:sz w:val="18"/>
                <w:szCs w:val="18"/>
              </w:rPr>
              <w:t xml:space="preserve">Exception surfaced to Cost Investigation, not silently absorbed (Section 43 — no silent modification)</w:t>
            </w:r>
          </w:p>
        </w:tc>
        <w:tc>
          <w:tcPr>
            <w:tcW w:type="dxa" w:w="3700"/>
            <w:shd w:fill="F2F2F2" w:color="auto" w:val="clear"/>
            <w:tcMar>
              <w:top w:type="dxa" w:w="60"/>
              <w:left w:type="dxa" w:w="100"/>
              <w:bottom w:type="dxa" w:w="60"/>
              <w:right w:type="dxa" w:w="100"/>
            </w:tcMar>
            <w:vAlign w:val="center"/>
          </w:tcPr>
          <w:p>
            <w:pPr>
              <w:jc w:val="left"/>
            </w:pPr>
            <w:r>
              <w:rPr>
                <w:b w:val="false"/>
                <w:bCs w:val="false"/>
                <w:sz w:val="18"/>
                <w:szCs w:val="18"/>
              </w:rPr>
              <w:t xml:space="preserve">Full calculation input snapshot logged for reproducibility of the failure</w:t>
            </w:r>
          </w:p>
        </w:tc>
      </w:tr>
      <w:tr>
        <w:tc>
          <w:tcPr>
            <w:tcW w:type="dxa" w:w="1800"/>
            <w:tcMar>
              <w:top w:type="dxa" w:w="60"/>
              <w:left w:type="dxa" w:w="100"/>
              <w:bottom w:type="dxa" w:w="60"/>
              <w:right w:type="dxa" w:w="100"/>
            </w:tcMar>
            <w:vAlign w:val="center"/>
          </w:tcPr>
          <w:p>
            <w:pPr>
              <w:jc w:val="left"/>
            </w:pPr>
            <w:r>
              <w:rPr>
                <w:b w:val="false"/>
                <w:bCs w:val="false"/>
                <w:sz w:val="18"/>
                <w:szCs w:val="18"/>
              </w:rPr>
              <w:t xml:space="preserve">Authentication error</w:t>
            </w:r>
          </w:p>
        </w:tc>
        <w:tc>
          <w:tcPr>
            <w:tcW w:type="dxa" w:w="3700"/>
            <w:tcMar>
              <w:top w:type="dxa" w:w="60"/>
              <w:left w:type="dxa" w:w="100"/>
              <w:bottom w:type="dxa" w:w="60"/>
              <w:right w:type="dxa" w:w="100"/>
            </w:tcMar>
            <w:vAlign w:val="center"/>
          </w:tcPr>
          <w:p>
            <w:pPr>
              <w:jc w:val="left"/>
            </w:pPr>
            <w:r>
              <w:rPr>
                <w:b w:val="false"/>
                <w:bCs w:val="false"/>
                <w:sz w:val="18"/>
                <w:szCs w:val="18"/>
              </w:rPr>
              <w:t xml:space="preserve">Generic “invalid credentials” (does not reveal which field is wrong)</w:t>
            </w:r>
          </w:p>
        </w:tc>
        <w:tc>
          <w:tcPr>
            <w:tcW w:type="dxa" w:w="3700"/>
            <w:tcMar>
              <w:top w:type="dxa" w:w="60"/>
              <w:left w:type="dxa" w:w="100"/>
              <w:bottom w:type="dxa" w:w="60"/>
              <w:right w:type="dxa" w:w="100"/>
            </w:tcMar>
            <w:vAlign w:val="center"/>
          </w:tcPr>
          <w:p>
            <w:pPr>
              <w:jc w:val="left"/>
            </w:pPr>
            <w:r>
              <w:rPr>
                <w:b w:val="false"/>
                <w:bCs w:val="false"/>
                <w:sz w:val="18"/>
                <w:szCs w:val="18"/>
              </w:rPr>
              <w:t xml:space="preserve">login_history entry (FR-AUTH-001)</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Authorization error</w:t>
            </w:r>
          </w:p>
        </w:tc>
        <w:tc>
          <w:tcPr>
            <w:tcW w:type="dxa" w:w="3700"/>
            <w:shd w:fill="F2F2F2" w:color="auto" w:val="clear"/>
            <w:tcMar>
              <w:top w:type="dxa" w:w="60"/>
              <w:left w:type="dxa" w:w="100"/>
              <w:bottom w:type="dxa" w:w="60"/>
              <w:right w:type="dxa" w:w="100"/>
            </w:tcMar>
            <w:vAlign w:val="center"/>
          </w:tcPr>
          <w:p>
            <w:pPr>
              <w:jc w:val="left"/>
            </w:pPr>
            <w:r>
              <w:rPr>
                <w:b w:val="false"/>
                <w:bCs w:val="false"/>
                <w:sz w:val="18"/>
                <w:szCs w:val="18"/>
              </w:rPr>
              <w:t xml:space="preserve">“You do not have permission for this action”</w:t>
            </w:r>
          </w:p>
        </w:tc>
        <w:tc>
          <w:tcPr>
            <w:tcW w:type="dxa" w:w="3700"/>
            <w:shd w:fill="F2F2F2" w:color="auto" w:val="clear"/>
            <w:tcMar>
              <w:top w:type="dxa" w:w="60"/>
              <w:left w:type="dxa" w:w="100"/>
              <w:bottom w:type="dxa" w:w="60"/>
              <w:right w:type="dxa" w:w="100"/>
            </w:tcMar>
            <w:vAlign w:val="center"/>
          </w:tcPr>
          <w:p>
            <w:pPr>
              <w:jc w:val="left"/>
            </w:pPr>
            <w:r>
              <w:rPr>
                <w:b w:val="false"/>
                <w:bCs w:val="false"/>
                <w:sz w:val="18"/>
                <w:szCs w:val="18"/>
              </w:rPr>
              <w:t xml:space="preserve">Logged with actor, attempted action, and required permission</w:t>
            </w:r>
          </w:p>
        </w:tc>
      </w:tr>
      <w:tr>
        <w:tc>
          <w:tcPr>
            <w:tcW w:type="dxa" w:w="1800"/>
            <w:tcMar>
              <w:top w:type="dxa" w:w="60"/>
              <w:left w:type="dxa" w:w="100"/>
              <w:bottom w:type="dxa" w:w="60"/>
              <w:right w:type="dxa" w:w="100"/>
            </w:tcMar>
            <w:vAlign w:val="center"/>
          </w:tcPr>
          <w:p>
            <w:pPr>
              <w:jc w:val="left"/>
            </w:pPr>
            <w:r>
              <w:rPr>
                <w:b w:val="false"/>
                <w:bCs w:val="false"/>
                <w:sz w:val="18"/>
                <w:szCs w:val="18"/>
              </w:rPr>
              <w:t xml:space="preserve">Integration error (AI service)</w:t>
            </w:r>
          </w:p>
        </w:tc>
        <w:tc>
          <w:tcPr>
            <w:tcW w:type="dxa" w:w="3700"/>
            <w:tcMar>
              <w:top w:type="dxa" w:w="60"/>
              <w:left w:type="dxa" w:w="100"/>
              <w:bottom w:type="dxa" w:w="60"/>
              <w:right w:type="dxa" w:w="100"/>
            </w:tcMar>
            <w:vAlign w:val="center"/>
          </w:tcPr>
          <w:p>
            <w:pPr>
              <w:jc w:val="left"/>
            </w:pPr>
            <w:r>
              <w:rPr>
                <w:b w:val="false"/>
                <w:bCs w:val="false"/>
                <w:sz w:val="18"/>
                <w:szCs w:val="18"/>
              </w:rPr>
              <w:t xml:space="preserve">Feature degrades gracefully (Section 22.1); user is told the AI suggestion is unavailable, not shown a technical error</w:t>
            </w:r>
          </w:p>
        </w:tc>
        <w:tc>
          <w:tcPr>
            <w:tcW w:type="dxa" w:w="3700"/>
            <w:tcMar>
              <w:top w:type="dxa" w:w="60"/>
              <w:left w:type="dxa" w:w="100"/>
              <w:bottom w:type="dxa" w:w="60"/>
              <w:right w:type="dxa" w:w="100"/>
            </w:tcMar>
            <w:vAlign w:val="center"/>
          </w:tcPr>
          <w:p>
            <w:pPr>
              <w:jc w:val="left"/>
            </w:pPr>
            <w:r>
              <w:rPr>
                <w:b w:val="false"/>
                <w:bCs w:val="false"/>
                <w:sz w:val="18"/>
                <w:szCs w:val="18"/>
              </w:rPr>
              <w:t xml:space="preserve">Logged with provider response code/timeout detail</w:t>
            </w:r>
          </w:p>
        </w:tc>
      </w:tr>
      <w:tr>
        <w:tc>
          <w:tcPr>
            <w:tcW w:type="dxa" w:w="1800"/>
            <w:shd w:fill="F2F2F2" w:color="auto" w:val="clear"/>
            <w:tcMar>
              <w:top w:type="dxa" w:w="60"/>
              <w:left w:type="dxa" w:w="100"/>
              <w:bottom w:type="dxa" w:w="60"/>
              <w:right w:type="dxa" w:w="100"/>
            </w:tcMar>
            <w:vAlign w:val="center"/>
          </w:tcPr>
          <w:p>
            <w:pPr>
              <w:jc w:val="left"/>
            </w:pPr>
            <w:r>
              <w:rPr>
                <w:b w:val="false"/>
                <w:bCs w:val="false"/>
                <w:sz w:val="18"/>
                <w:szCs w:val="18"/>
              </w:rPr>
              <w:t xml:space="preserve">Background job failure</w:t>
            </w:r>
          </w:p>
        </w:tc>
        <w:tc>
          <w:tcPr>
            <w:tcW w:type="dxa" w:w="3700"/>
            <w:shd w:fill="F2F2F2" w:color="auto" w:val="clear"/>
            <w:tcMar>
              <w:top w:type="dxa" w:w="60"/>
              <w:left w:type="dxa" w:w="100"/>
              <w:bottom w:type="dxa" w:w="60"/>
              <w:right w:type="dxa" w:w="100"/>
            </w:tcMar>
            <w:vAlign w:val="center"/>
          </w:tcPr>
          <w:p>
            <w:pPr>
              <w:jc w:val="left"/>
            </w:pPr>
            <w:r>
              <w:rPr>
                <w:b w:val="false"/>
                <w:bCs w:val="false"/>
                <w:sz w:val="18"/>
                <w:szCs w:val="18"/>
              </w:rPr>
              <w:t xml:space="preserve">Job status shown as Failed on Background Jobs screen with a retry option</w:t>
            </w:r>
          </w:p>
        </w:tc>
        <w:tc>
          <w:tcPr>
            <w:tcW w:type="dxa" w:w="3700"/>
            <w:shd w:fill="F2F2F2" w:color="auto" w:val="clear"/>
            <w:tcMar>
              <w:top w:type="dxa" w:w="60"/>
              <w:left w:type="dxa" w:w="100"/>
              <w:bottom w:type="dxa" w:w="60"/>
              <w:right w:type="dxa" w:w="100"/>
            </w:tcMar>
            <w:vAlign w:val="center"/>
          </w:tcPr>
          <w:p>
            <w:pPr>
              <w:jc w:val="left"/>
            </w:pPr>
            <w:r>
              <w:rPr>
                <w:b w:val="false"/>
                <w:bCs w:val="false"/>
                <w:sz w:val="18"/>
                <w:szCs w:val="18"/>
              </w:rPr>
              <w:t xml:space="preserve">Full error and stack trace logged against the job record</w:t>
            </w:r>
          </w:p>
        </w:tc>
      </w:tr>
    </w:tbl>
    <w:p>
      <w:pPr>
        <w:spacing w:after="200"/>
      </w:pPr>
    </w:p>
    <w:p>
      <w:pPr>
        <w:pStyle w:val="Heading2"/>
        <w:spacing w:after="160" w:before="320"/>
      </w:pPr>
      <w:r>
        <w:rPr>
          <w:b/>
          <w:bCs/>
        </w:rPr>
        <w:t xml:space="preserve">24.2 Notification Requirements</w:t>
      </w:r>
    </w:p>
    <w:p>
      <w:pPr>
        <w:spacing w:after="160"/>
      </w:pPr>
      <w:r>
        <w:t xml:space="preserve">MVP notification channel: in-app only (per the source note's instruction to prioritise in-app first). Email/other channels are Phase 2.</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2600"/>
        <w:gridCol w:w="42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Event</w:t>
            </w:r>
          </w:p>
        </w:tc>
        <w:tc>
          <w:tcPr>
            <w:tcW w:type="dxa" w:w="2600"/>
            <w:shd w:fill="1F3864" w:color="auto" w:val="clear"/>
            <w:tcMar>
              <w:top w:type="dxa" w:w="60"/>
              <w:left w:type="dxa" w:w="100"/>
              <w:bottom w:type="dxa" w:w="60"/>
              <w:right w:type="dxa" w:w="100"/>
            </w:tcMar>
            <w:vAlign w:val="center"/>
          </w:tcPr>
          <w:p>
            <w:pPr>
              <w:jc w:val="left"/>
            </w:pPr>
            <w:r>
              <w:rPr>
                <w:b/>
                <w:bCs/>
                <w:color w:val="FFFFFF"/>
                <w:sz w:val="18"/>
                <w:szCs w:val="18"/>
              </w:rPr>
              <w:t xml:space="preserve">Recipient(s)</w:t>
            </w:r>
          </w:p>
        </w:tc>
        <w:tc>
          <w:tcPr>
            <w:tcW w:type="dxa" w:w="4200"/>
            <w:shd w:fill="1F3864" w:color="auto" w:val="clear"/>
            <w:tcMar>
              <w:top w:type="dxa" w:w="60"/>
              <w:left w:type="dxa" w:w="100"/>
              <w:bottom w:type="dxa" w:w="60"/>
              <w:right w:type="dxa" w:w="100"/>
            </w:tcMar>
            <w:vAlign w:val="center"/>
          </w:tcPr>
          <w:p>
            <w:pPr>
              <w:jc w:val="left"/>
            </w:pPr>
            <w:r>
              <w:rPr>
                <w:b/>
                <w:bCs/>
                <w:color w:val="FFFFFF"/>
                <w:sz w:val="18"/>
                <w:szCs w:val="18"/>
              </w:rPr>
              <w:t xml:space="preserve">Trigger</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Upload completion</w:t>
            </w:r>
          </w:p>
        </w:tc>
        <w:tc>
          <w:tcPr>
            <w:tcW w:type="dxa" w:w="2600"/>
            <w:tcMar>
              <w:top w:type="dxa" w:w="60"/>
              <w:left w:type="dxa" w:w="100"/>
              <w:bottom w:type="dxa" w:w="60"/>
              <w:right w:type="dxa" w:w="100"/>
            </w:tcMar>
            <w:vAlign w:val="center"/>
          </w:tcPr>
          <w:p>
            <w:pPr>
              <w:jc w:val="left"/>
            </w:pPr>
            <w:r>
              <w:rPr>
                <w:b w:val="false"/>
                <w:bCs w:val="false"/>
                <w:sz w:val="18"/>
                <w:szCs w:val="18"/>
              </w:rPr>
              <w:t xml:space="preserve">Uploading CMA</w:t>
            </w:r>
          </w:p>
        </w:tc>
        <w:tc>
          <w:tcPr>
            <w:tcW w:type="dxa" w:w="4200"/>
            <w:tcMar>
              <w:top w:type="dxa" w:w="60"/>
              <w:left w:type="dxa" w:w="100"/>
              <w:bottom w:type="dxa" w:w="60"/>
              <w:right w:type="dxa" w:w="100"/>
            </w:tcMar>
            <w:vAlign w:val="center"/>
          </w:tcPr>
          <w:p>
            <w:pPr>
              <w:jc w:val="left"/>
            </w:pPr>
            <w:r>
              <w:rPr>
                <w:b w:val="false"/>
                <w:bCs w:val="false"/>
                <w:sz w:val="18"/>
                <w:szCs w:val="18"/>
              </w:rPr>
              <w:t xml:space="preserve">Upload reaches Processed status</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Import/mapping failure</w:t>
            </w:r>
          </w:p>
        </w:tc>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Uploading CMA</w:t>
            </w:r>
          </w:p>
        </w:tc>
        <w:tc>
          <w:tcPr>
            <w:tcW w:type="dxa" w:w="4200"/>
            <w:shd w:fill="F2F2F2" w:color="auto" w:val="clear"/>
            <w:tcMar>
              <w:top w:type="dxa" w:w="60"/>
              <w:left w:type="dxa" w:w="100"/>
              <w:bottom w:type="dxa" w:w="60"/>
              <w:right w:type="dxa" w:w="100"/>
            </w:tcMar>
            <w:vAlign w:val="center"/>
          </w:tcPr>
          <w:p>
            <w:pPr>
              <w:jc w:val="left"/>
            </w:pPr>
            <w:r>
              <w:rPr>
                <w:b w:val="false"/>
                <w:bCs w:val="false"/>
                <w:sz w:val="18"/>
                <w:szCs w:val="18"/>
              </w:rPr>
              <w:t xml:space="preserve">Upload reaches Error status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Validation errors present</w:t>
            </w:r>
          </w:p>
        </w:tc>
        <w:tc>
          <w:tcPr>
            <w:tcW w:type="dxa" w:w="2600"/>
            <w:tcMar>
              <w:top w:type="dxa" w:w="60"/>
              <w:left w:type="dxa" w:w="100"/>
              <w:bottom w:type="dxa" w:w="60"/>
              <w:right w:type="dxa" w:w="100"/>
            </w:tcMar>
            <w:vAlign w:val="center"/>
          </w:tcPr>
          <w:p>
            <w:pPr>
              <w:jc w:val="left"/>
            </w:pPr>
            <w:r>
              <w:rPr>
                <w:b w:val="false"/>
                <w:bCs w:val="false"/>
                <w:sz w:val="18"/>
                <w:szCs w:val="18"/>
              </w:rPr>
              <w:t xml:space="preserve">CMA</w:t>
            </w:r>
          </w:p>
        </w:tc>
        <w:tc>
          <w:tcPr>
            <w:tcW w:type="dxa" w:w="4200"/>
            <w:tcMar>
              <w:top w:type="dxa" w:w="60"/>
              <w:left w:type="dxa" w:w="100"/>
              <w:bottom w:type="dxa" w:w="60"/>
              <w:right w:type="dxa" w:w="100"/>
            </w:tcMar>
            <w:vAlign w:val="center"/>
          </w:tcPr>
          <w:p>
            <w:pPr>
              <w:jc w:val="left"/>
            </w:pPr>
            <w:r>
              <w:rPr>
                <w:b w:val="false"/>
                <w:bCs w:val="false"/>
                <w:sz w:val="18"/>
                <w:szCs w:val="18"/>
              </w:rPr>
              <w:t xml:space="preserve">Validation run completes with ≥ 1 Error finding</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Costing run completion</w:t>
            </w:r>
          </w:p>
        </w:tc>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CMA (triggering user)</w:t>
            </w:r>
          </w:p>
        </w:tc>
        <w:tc>
          <w:tcPr>
            <w:tcW w:type="dxa" w:w="4200"/>
            <w:shd w:fill="F2F2F2" w:color="auto" w:val="clear"/>
            <w:tcMar>
              <w:top w:type="dxa" w:w="60"/>
              <w:left w:type="dxa" w:w="100"/>
              <w:bottom w:type="dxa" w:w="60"/>
              <w:right w:type="dxa" w:w="100"/>
            </w:tcMar>
            <w:vAlign w:val="center"/>
          </w:tcPr>
          <w:p>
            <w:pPr>
              <w:jc w:val="left"/>
            </w:pPr>
            <w:r>
              <w:rPr>
                <w:b w:val="false"/>
                <w:bCs w:val="false"/>
                <w:sz w:val="18"/>
                <w:szCs w:val="18"/>
              </w:rPr>
              <w:t xml:space="preserve">Costing run status → completed or failed</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Reconciliation failure</w:t>
            </w:r>
          </w:p>
        </w:tc>
        <w:tc>
          <w:tcPr>
            <w:tcW w:type="dxa" w:w="2600"/>
            <w:tcMar>
              <w:top w:type="dxa" w:w="60"/>
              <w:left w:type="dxa" w:w="100"/>
              <w:bottom w:type="dxa" w:w="60"/>
              <w:right w:type="dxa" w:w="100"/>
            </w:tcMar>
            <w:vAlign w:val="center"/>
          </w:tcPr>
          <w:p>
            <w:pPr>
              <w:jc w:val="left"/>
            </w:pPr>
            <w:r>
              <w:rPr>
                <w:b w:val="false"/>
                <w:bCs w:val="false"/>
                <w:sz w:val="18"/>
                <w:szCs w:val="18"/>
              </w:rPr>
              <w:t xml:space="preserve">CMA, Auditor</w:t>
            </w:r>
          </w:p>
        </w:tc>
        <w:tc>
          <w:tcPr>
            <w:tcW w:type="dxa" w:w="4200"/>
            <w:tcMar>
              <w:top w:type="dxa" w:w="60"/>
              <w:left w:type="dxa" w:w="100"/>
              <w:bottom w:type="dxa" w:w="60"/>
              <w:right w:type="dxa" w:w="100"/>
            </w:tcMar>
            <w:vAlign w:val="center"/>
          </w:tcPr>
          <w:p>
            <w:pPr>
              <w:jc w:val="left"/>
            </w:pPr>
            <w:r>
              <w:rPr>
                <w:b w:val="false"/>
                <w:bCs w:val="false"/>
                <w:sz w:val="18"/>
                <w:szCs w:val="18"/>
              </w:rPr>
              <w:t xml:space="preserve">Reconciliation exception raised beyond tolerance</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Significant variance detected</w:t>
            </w:r>
          </w:p>
        </w:tc>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c>
          <w:tcPr>
            <w:tcW w:type="dxa" w:w="4200"/>
            <w:shd w:fill="F2F2F2" w:color="auto" w:val="clear"/>
            <w:tcMar>
              <w:top w:type="dxa" w:w="60"/>
              <w:left w:type="dxa" w:w="100"/>
              <w:bottom w:type="dxa" w:w="60"/>
              <w:right w:type="dxa" w:w="100"/>
            </w:tcMar>
            <w:vAlign w:val="center"/>
          </w:tcPr>
          <w:p>
            <w:pPr>
              <w:jc w:val="left"/>
            </w:pPr>
            <w:r>
              <w:rPr>
                <w:b w:val="false"/>
                <w:bCs w:val="false"/>
                <w:sz w:val="18"/>
                <w:szCs w:val="18"/>
              </w:rPr>
              <w:t xml:space="preserve">Variance beyond configured threshold (Section 19.10) — also surfaces as an AI Observation where applicable</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AI observation raised</w:t>
            </w:r>
          </w:p>
        </w:tc>
        <w:tc>
          <w:tcPr>
            <w:tcW w:type="dxa" w:w="2600"/>
            <w:tcMar>
              <w:top w:type="dxa" w:w="60"/>
              <w:left w:type="dxa" w:w="100"/>
              <w:bottom w:type="dxa" w:w="60"/>
              <w:right w:type="dxa" w:w="100"/>
            </w:tcMar>
            <w:vAlign w:val="center"/>
          </w:tcPr>
          <w:p>
            <w:pPr>
              <w:jc w:val="left"/>
            </w:pPr>
            <w:r>
              <w:rPr>
                <w:b w:val="false"/>
                <w:bCs w:val="false"/>
                <w:sz w:val="18"/>
                <w:szCs w:val="18"/>
              </w:rPr>
              <w:t xml:space="preserve">CMA</w:t>
            </w:r>
          </w:p>
        </w:tc>
        <w:tc>
          <w:tcPr>
            <w:tcW w:type="dxa" w:w="4200"/>
            <w:tcMar>
              <w:top w:type="dxa" w:w="60"/>
              <w:left w:type="dxa" w:w="100"/>
              <w:bottom w:type="dxa" w:w="60"/>
              <w:right w:type="dxa" w:w="100"/>
            </w:tcMar>
            <w:vAlign w:val="center"/>
          </w:tcPr>
          <w:p>
            <w:pPr>
              <w:jc w:val="left"/>
            </w:pPr>
            <w:r>
              <w:rPr>
                <w:b w:val="false"/>
                <w:bCs w:val="false"/>
                <w:sz w:val="18"/>
                <w:szCs w:val="18"/>
              </w:rPr>
              <w:t xml:space="preserve">New AI Observation created, awaiting review</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Approval pending</w:t>
            </w:r>
          </w:p>
        </w:tc>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Relevant approver (per Master Data Governance / Audit Desk)</w:t>
            </w:r>
          </w:p>
        </w:tc>
        <w:tc>
          <w:tcPr>
            <w:tcW w:type="dxa" w:w="4200"/>
            <w:shd w:fill="F2F2F2" w:color="auto" w:val="clear"/>
            <w:tcMar>
              <w:top w:type="dxa" w:w="60"/>
              <w:left w:type="dxa" w:w="100"/>
              <w:bottom w:type="dxa" w:w="60"/>
              <w:right w:type="dxa" w:w="100"/>
            </w:tcMar>
            <w:vAlign w:val="center"/>
          </w:tcPr>
          <w:p>
            <w:pPr>
              <w:jc w:val="left"/>
            </w:pPr>
            <w:r>
              <w:rPr>
                <w:b w:val="false"/>
                <w:bCs w:val="false"/>
                <w:sz w:val="18"/>
                <w:szCs w:val="18"/>
              </w:rPr>
              <w:t xml:space="preserve">A record is submitted for approval</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Period close pending / readiness reached</w:t>
            </w:r>
          </w:p>
        </w:tc>
        <w:tc>
          <w:tcPr>
            <w:tcW w:type="dxa" w:w="2600"/>
            <w:tcMar>
              <w:top w:type="dxa" w:w="60"/>
              <w:left w:type="dxa" w:w="100"/>
              <w:bottom w:type="dxa" w:w="60"/>
              <w:right w:type="dxa" w:w="100"/>
            </w:tcMar>
            <w:vAlign w:val="center"/>
          </w:tcPr>
          <w:p>
            <w:pPr>
              <w:jc w:val="left"/>
            </w:pPr>
            <w:r>
              <w:rPr>
                <w:b w:val="false"/>
                <w:bCs w:val="false"/>
                <w:sz w:val="18"/>
                <w:szCs w:val="18"/>
              </w:rPr>
              <w:t xml:space="preserve">CMA, Auditor</w:t>
            </w:r>
          </w:p>
        </w:tc>
        <w:tc>
          <w:tcPr>
            <w:tcW w:type="dxa" w:w="4200"/>
            <w:tcMar>
              <w:top w:type="dxa" w:w="60"/>
              <w:left w:type="dxa" w:w="100"/>
              <w:bottom w:type="dxa" w:w="60"/>
              <w:right w:type="dxa" w:w="100"/>
            </w:tcMar>
            <w:vAlign w:val="center"/>
          </w:tcPr>
          <w:p>
            <w:pPr>
              <w:jc w:val="left"/>
            </w:pPr>
            <w:r>
              <w:rPr>
                <w:b w:val="false"/>
                <w:bCs w:val="false"/>
                <w:sz w:val="18"/>
                <w:szCs w:val="18"/>
              </w:rPr>
              <w:t xml:space="preserve">All lock preconditions pass (FR-AUD-002 readiness checklist)</w:t>
            </w:r>
          </w:p>
        </w:tc>
      </w:tr>
    </w:tbl>
    <w:p>
      <w:r>
        <w:br w:type="page"/>
      </w:r>
    </w:p>
    <w:p>
      <w:pPr>
        <w:pStyle w:val="Heading1"/>
        <w:spacing w:after="240" w:before="480"/>
      </w:pPr>
      <w:r>
        <w:rPr>
          <w:b/>
          <w:bCs/>
        </w:rPr>
        <w:t xml:space="preserve">25. Performance and Scalability</w:t>
      </w:r>
    </w:p>
    <w:p>
      <w:pPr>
        <w:spacing w:after="160"/>
      </w:pPr>
      <w:r>
        <w:t xml:space="preserve">This section distinguishes what the source functional note requires (the categories that must be addressed) from proposed numeric technical targets (which require confirmation).</w:t>
      </w:r>
    </w:p>
    <w:p>
      <w:pPr>
        <w:pStyle w:val="Heading2"/>
        <w:spacing w:after="160" w:before="320"/>
      </w:pPr>
      <w:r>
        <w:rPr>
          <w:b/>
          <w:bCs/>
        </w:rPr>
        <w:t xml:space="preserve">25.1 Large File Handling</w:t>
      </w:r>
    </w:p>
    <w:p>
      <w:pPr>
        <w:pStyle w:val="ListParagraph"/>
        <w:numPr>
          <w:ilvl w:val="0"/>
          <w:numId w:val="2"/>
        </w:numPr>
        <w:spacing w:after="80"/>
      </w:pPr>
      <w:r>
        <w:t xml:space="preserve">Upload and mapping must handle source files with tens of thousands of rows without timing out — Proposed Target: up to 100,000 rows per file, To Be Confirmed against realistic customer file sizes.</w:t>
      </w:r>
    </w:p>
    <w:p>
      <w:pPr>
        <w:pStyle w:val="ListParagraph"/>
        <w:numPr>
          <w:ilvl w:val="0"/>
          <w:numId w:val="2"/>
        </w:numPr>
        <w:spacing w:after="80"/>
      </w:pPr>
      <w:r>
        <w:t xml:space="preserve">File parsing runs as a background job for files above a configured row-count threshold, with progress tracking (Section 25.4), rather than blocking the HTTP request — Proposed threshold, TBC.</w:t>
      </w:r>
    </w:p>
    <w:p>
      <w:pPr>
        <w:pStyle w:val="Heading2"/>
        <w:spacing w:after="160" w:before="320"/>
      </w:pPr>
      <w:r>
        <w:rPr>
          <w:b/>
          <w:bCs/>
        </w:rPr>
        <w:t xml:space="preserve">25.2 Transaction Volume</w:t>
      </w:r>
    </w:p>
    <w:p>
      <w:pPr>
        <w:pStyle w:val="ListParagraph"/>
        <w:numPr>
          <w:ilvl w:val="0"/>
          <w:numId w:val="2"/>
        </w:numPr>
        <w:spacing w:after="80"/>
      </w:pPr>
      <w:r>
        <w:t xml:space="preserve">The schema and indexing strategy (Section 17.6, Part 2) are designed to remain performant into the millions of transaction rows per tenant across multiple years, even though the academic demonstration dataset will be far smaller.</w:t>
      </w:r>
    </w:p>
    <w:p>
      <w:pPr>
        <w:pStyle w:val="ListParagraph"/>
        <w:numPr>
          <w:ilvl w:val="0"/>
          <w:numId w:val="2"/>
        </w:numPr>
        <w:spacing w:after="80"/>
      </w:pPr>
      <w:r>
        <w:t xml:space="preserve">Queries scoped by (tenant_id, period_id) rely on the composite index defined in Section 17.6 to avoid full-table scans as volume grows.</w:t>
      </w:r>
    </w:p>
    <w:p>
      <w:pPr>
        <w:pStyle w:val="Heading2"/>
        <w:spacing w:after="160" w:before="320"/>
      </w:pPr>
      <w:r>
        <w:rPr>
          <w:b/>
          <w:bCs/>
        </w:rPr>
        <w:t xml:space="preserve">25.3 Multi-Plant and Concurrent-Customer Load</w:t>
      </w:r>
    </w:p>
    <w:p>
      <w:pPr>
        <w:pStyle w:val="ListParagraph"/>
        <w:numPr>
          <w:ilvl w:val="0"/>
          <w:numId w:val="2"/>
        </w:numPr>
        <w:spacing w:after="80"/>
      </w:pPr>
      <w:r>
        <w:t xml:space="preserve">The tenant-isolation design (Section 17.12) allows multiple tenants' data to coexist in one database without cross-contamination, supporting concurrent customers on shared infrastructure for the MVP.</w:t>
      </w:r>
    </w:p>
    <w:p>
      <w:pPr>
        <w:pStyle w:val="ListParagraph"/>
        <w:numPr>
          <w:ilvl w:val="0"/>
          <w:numId w:val="2"/>
        </w:numPr>
        <w:spacing w:after="80"/>
      </w:pPr>
      <w:r>
        <w:t xml:space="preserve">Concurrent costing runs across different tenants/plants must not block each other; concurrent runs within the same plant/period are serialised (Proposed — a lock on the period while a costing run is in progress, To Be Confirmed exact concurrency model).</w:t>
      </w:r>
    </w:p>
    <w:p>
      <w:pPr>
        <w:pStyle w:val="Heading2"/>
        <w:spacing w:after="160" w:before="320"/>
      </w:pPr>
      <w:r>
        <w:rPr>
          <w:b/>
          <w:bCs/>
        </w:rPr>
        <w:t xml:space="preserve">25.4 Background Processing, Queues and Progress Tracking</w:t>
      </w:r>
    </w:p>
    <w:p>
      <w:pPr>
        <w:pStyle w:val="ListParagraph"/>
        <w:numPr>
          <w:ilvl w:val="0"/>
          <w:numId w:val="2"/>
        </w:numPr>
        <w:spacing w:after="80"/>
      </w:pPr>
      <w:r>
        <w:t xml:space="preserve">Long-running operations (large file import, costing runs, reconciliation) execute as Background Jobs (background_jobs table, Section 16.2, Part 2) rather than synchronously within a web request.</w:t>
      </w:r>
    </w:p>
    <w:p>
      <w:pPr>
        <w:pStyle w:val="ListParagraph"/>
        <w:numPr>
          <w:ilvl w:val="0"/>
          <w:numId w:val="2"/>
        </w:numPr>
        <w:spacing w:after="80"/>
      </w:pPr>
      <w:r>
        <w:t xml:space="preserve">Each job exposes status (Queued/Running/Completed/Failed) and, where feasible, a progress indicator (e.g. rows processed / total rows) on the Background Jobs screen (Section 9.11, Part 1).</w:t>
      </w:r>
    </w:p>
    <w:p>
      <w:pPr>
        <w:pStyle w:val="ListParagraph"/>
        <w:numPr>
          <w:ilvl w:val="0"/>
          <w:numId w:val="2"/>
        </w:numPr>
        <w:spacing w:after="80"/>
      </w:pPr>
      <w:r>
        <w:t xml:space="preserve">Failed jobs retain their error detail and support a manual retry action.</w:t>
      </w:r>
    </w:p>
    <w:p>
      <w:pPr>
        <w:pStyle w:val="Heading2"/>
        <w:spacing w:after="160" w:before="320"/>
      </w:pPr>
      <w:r>
        <w:rPr>
          <w:b/>
          <w:bCs/>
        </w:rPr>
        <w:t xml:space="preserve">25.5 Horizontal Scaling (Phase 2/3 Consideration)</w:t>
      </w:r>
    </w:p>
    <w:p>
      <w:pPr>
        <w:pStyle w:val="ListParagraph"/>
        <w:numPr>
          <w:ilvl w:val="0"/>
          <w:numId w:val="2"/>
        </w:numPr>
        <w:spacing w:after="80"/>
      </w:pPr>
      <w:r>
        <w:t xml:space="preserve">The stateless-controller design (no server-side session state beyond the database-backed session) allows the PHP application tier to scale horizontally behind a load balancer in a future deployment.</w:t>
      </w:r>
    </w:p>
    <w:p>
      <w:pPr>
        <w:pStyle w:val="ListParagraph"/>
        <w:numPr>
          <w:ilvl w:val="0"/>
          <w:numId w:val="2"/>
        </w:numPr>
        <w:spacing w:after="80"/>
      </w:pPr>
      <w:r>
        <w:t xml:space="preserve">Read-heavy workloads (dashboards, reports) are candidates for a PostgreSQL read replica in a future deployment; not required for the academic MVP.</w:t>
      </w:r>
    </w:p>
    <w:p>
      <w:r>
        <w:br w:type="page"/>
      </w:r>
    </w:p>
    <w:p>
      <w:pPr>
        <w:pStyle w:val="Heading1"/>
        <w:spacing w:after="240" w:before="480"/>
      </w:pPr>
      <w:r>
        <w:rPr>
          <w:b/>
          <w:bCs/>
        </w:rPr>
        <w:t xml:space="preserve">26. Backup and Recovery</w:t>
      </w:r>
    </w:p>
    <w:p>
      <w:pPr>
        <w:pStyle w:val="Heading2"/>
        <w:spacing w:after="160" w:before="320"/>
      </w:pPr>
      <w:r>
        <w:rPr>
          <w:b/>
          <w:bCs/>
        </w:rPr>
        <w:t xml:space="preserve">26.1 Backup Strategy</w:t>
      </w:r>
    </w:p>
    <w:p>
      <w:pPr>
        <w:pStyle w:val="ListParagraph"/>
        <w:numPr>
          <w:ilvl w:val="0"/>
          <w:numId w:val="2"/>
        </w:numPr>
        <w:spacing w:after="80"/>
      </w:pPr>
      <w:r>
        <w:t xml:space="preserve">PostgreSQL logical backups (pg_dump) on a regular schedule — Proposed Target: daily, To Be Confirmed for the academic deployment.</w:t>
      </w:r>
    </w:p>
    <w:p>
      <w:pPr>
        <w:pStyle w:val="ListParagraph"/>
        <w:numPr>
          <w:ilvl w:val="0"/>
          <w:numId w:val="2"/>
        </w:numPr>
        <w:spacing w:after="80"/>
      </w:pPr>
      <w:r>
        <w:t xml:space="preserve">Uploaded source files (File/Source Data Storage) are backed up alongside the database, since they are the root of Data Lineage (Section 21.2) and losing them would break evidentiary traceability even if the database itself is intact.</w:t>
      </w:r>
    </w:p>
    <w:p>
      <w:pPr>
        <w:pStyle w:val="ListParagraph"/>
        <w:numPr>
          <w:ilvl w:val="0"/>
          <w:numId w:val="2"/>
        </w:numPr>
        <w:spacing w:after="80"/>
      </w:pPr>
      <w:r>
        <w:t xml:space="preserve">Backup retention: Proposed Target — To Be Confirmed (e.g. 30 days rolling for an academic deployment).</w:t>
      </w:r>
    </w:p>
    <w:p>
      <w:pPr>
        <w:pStyle w:val="Heading2"/>
        <w:spacing w:after="160" w:before="320"/>
      </w:pPr>
      <w:r>
        <w:rPr>
          <w:b/>
          <w:bCs/>
        </w:rPr>
        <w:t xml:space="preserve">26.2 Recovery Objectives</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3200"/>
        <w:gridCol w:w="3800"/>
        <w:gridCol w:w="2600"/>
      </w:tblGrid>
      <w:tr>
        <w:trPr>
          <w:tblHeader/>
        </w:trPr>
        <w:tc>
          <w:tcPr>
            <w:tcW w:type="dxa" w:w="3200"/>
            <w:shd w:fill="1F3864" w:color="auto" w:val="clear"/>
            <w:tcMar>
              <w:top w:type="dxa" w:w="60"/>
              <w:left w:type="dxa" w:w="100"/>
              <w:bottom w:type="dxa" w:w="60"/>
              <w:right w:type="dxa" w:w="100"/>
            </w:tcMar>
            <w:vAlign w:val="center"/>
          </w:tcPr>
          <w:p>
            <w:pPr>
              <w:jc w:val="left"/>
            </w:pPr>
            <w:r>
              <w:rPr>
                <w:b/>
                <w:bCs/>
                <w:color w:val="FFFFFF"/>
                <w:sz w:val="18"/>
                <w:szCs w:val="18"/>
              </w:rPr>
              <w:t xml:space="preserve">Metric</w:t>
            </w:r>
          </w:p>
        </w:tc>
        <w:tc>
          <w:tcPr>
            <w:tcW w:type="dxa" w:w="3800"/>
            <w:shd w:fill="1F3864" w:color="auto" w:val="clear"/>
            <w:tcMar>
              <w:top w:type="dxa" w:w="60"/>
              <w:left w:type="dxa" w:w="100"/>
              <w:bottom w:type="dxa" w:w="60"/>
              <w:right w:type="dxa" w:w="100"/>
            </w:tcMar>
            <w:vAlign w:val="center"/>
          </w:tcPr>
          <w:p>
            <w:pPr>
              <w:jc w:val="left"/>
            </w:pPr>
            <w:r>
              <w:rPr>
                <w:b/>
                <w:bCs/>
                <w:color w:val="FFFFFF"/>
                <w:sz w:val="18"/>
                <w:szCs w:val="18"/>
              </w:rPr>
              <w:t xml:space="preserve">Proposed Target</w:t>
            </w:r>
          </w:p>
        </w:tc>
        <w:tc>
          <w:tcPr>
            <w:tcW w:type="dxa" w:w="2600"/>
            <w:shd w:fill="1F3864" w:color="auto" w:val="clear"/>
            <w:tcMar>
              <w:top w:type="dxa" w:w="60"/>
              <w:left w:type="dxa" w:w="100"/>
              <w:bottom w:type="dxa" w:w="60"/>
              <w:right w:type="dxa" w:w="100"/>
            </w:tcMar>
            <w:vAlign w:val="center"/>
          </w:tcPr>
          <w:p>
            <w:pPr>
              <w:jc w:val="left"/>
            </w:pPr>
            <w:r>
              <w:rPr>
                <w:b/>
                <w:bCs/>
                <w:color w:val="FFFFFF"/>
                <w:sz w:val="18"/>
                <w:szCs w:val="18"/>
              </w:rPr>
              <w:t xml:space="preserve">Status</w:t>
            </w:r>
          </w:p>
        </w:tc>
      </w:tr>
      <w:tr>
        <w:tc>
          <w:tcPr>
            <w:tcW w:type="dxa" w:w="3200"/>
            <w:tcMar>
              <w:top w:type="dxa" w:w="60"/>
              <w:left w:type="dxa" w:w="100"/>
              <w:bottom w:type="dxa" w:w="60"/>
              <w:right w:type="dxa" w:w="100"/>
            </w:tcMar>
            <w:vAlign w:val="center"/>
          </w:tcPr>
          <w:p>
            <w:pPr>
              <w:jc w:val="left"/>
            </w:pPr>
            <w:r>
              <w:rPr>
                <w:b w:val="false"/>
                <w:bCs w:val="false"/>
                <w:sz w:val="18"/>
                <w:szCs w:val="18"/>
              </w:rPr>
              <w:t xml:space="preserve">Recovery Point Objective (RPO)</w:t>
            </w:r>
          </w:p>
        </w:tc>
        <w:tc>
          <w:tcPr>
            <w:tcW w:type="dxa" w:w="3800"/>
            <w:tcMar>
              <w:top w:type="dxa" w:w="60"/>
              <w:left w:type="dxa" w:w="100"/>
              <w:bottom w:type="dxa" w:w="60"/>
              <w:right w:type="dxa" w:w="100"/>
            </w:tcMar>
            <w:vAlign w:val="center"/>
          </w:tcPr>
          <w:p>
            <w:pPr>
              <w:jc w:val="left"/>
            </w:pPr>
            <w:r>
              <w:rPr>
                <w:b w:val="false"/>
                <w:bCs w:val="false"/>
                <w:sz w:val="18"/>
                <w:szCs w:val="18"/>
              </w:rPr>
              <w:t xml:space="preserve">≤ 24 hours (aligned to daily backup cadence)</w:t>
            </w:r>
          </w:p>
        </w:tc>
        <w:tc>
          <w:tcPr>
            <w:tcW w:type="dxa" w:w="2600"/>
            <w:tcMar>
              <w:top w:type="dxa" w:w="60"/>
              <w:left w:type="dxa" w:w="100"/>
              <w:bottom w:type="dxa" w:w="60"/>
              <w:right w:type="dxa" w:w="100"/>
            </w:tcMar>
            <w:vAlign w:val="center"/>
          </w:tcPr>
          <w:p>
            <w:pPr>
              <w:jc w:val="left"/>
            </w:pPr>
            <w:r>
              <w:rPr>
                <w:b w:val="false"/>
                <w:bCs w:val="false"/>
                <w:sz w:val="18"/>
                <w:szCs w:val="18"/>
              </w:rPr>
              <w:t xml:space="preserve">To Be Confirmed</w:t>
            </w:r>
          </w:p>
        </w:tc>
      </w:tr>
      <w:tr>
        <w:tc>
          <w:tcPr>
            <w:tcW w:type="dxa" w:w="3200"/>
            <w:shd w:fill="F2F2F2" w:color="auto" w:val="clear"/>
            <w:tcMar>
              <w:top w:type="dxa" w:w="60"/>
              <w:left w:type="dxa" w:w="100"/>
              <w:bottom w:type="dxa" w:w="60"/>
              <w:right w:type="dxa" w:w="100"/>
            </w:tcMar>
            <w:vAlign w:val="center"/>
          </w:tcPr>
          <w:p>
            <w:pPr>
              <w:jc w:val="left"/>
            </w:pPr>
            <w:r>
              <w:rPr>
                <w:b w:val="false"/>
                <w:bCs w:val="false"/>
                <w:sz w:val="18"/>
                <w:szCs w:val="18"/>
              </w:rPr>
              <w:t xml:space="preserve">Recovery Time Objective (RTO)</w:t>
            </w:r>
          </w:p>
        </w:tc>
        <w:tc>
          <w:tcPr>
            <w:tcW w:type="dxa" w:w="3800"/>
            <w:shd w:fill="F2F2F2" w:color="auto" w:val="clear"/>
            <w:tcMar>
              <w:top w:type="dxa" w:w="60"/>
              <w:left w:type="dxa" w:w="100"/>
              <w:bottom w:type="dxa" w:w="60"/>
              <w:right w:type="dxa" w:w="100"/>
            </w:tcMar>
            <w:vAlign w:val="center"/>
          </w:tcPr>
          <w:p>
            <w:pPr>
              <w:jc w:val="left"/>
            </w:pPr>
            <w:r>
              <w:rPr>
                <w:b w:val="false"/>
                <w:bCs w:val="false"/>
                <w:sz w:val="18"/>
                <w:szCs w:val="18"/>
              </w:rPr>
              <w:t xml:space="preserve">Best-effort for an academic deployment; no formal SLA</w:t>
            </w:r>
          </w:p>
        </w:tc>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To Be Confirmed</w:t>
            </w:r>
          </w:p>
        </w:tc>
      </w:tr>
    </w:tbl>
    <w:p>
      <w:pPr>
        <w:pStyle w:val="Heading2"/>
        <w:spacing w:after="160" w:before="320"/>
      </w:pPr>
      <w:r>
        <w:rPr>
          <w:b/>
          <w:bCs/>
        </w:rPr>
        <w:t xml:space="preserve">26.3 Backup Security</w:t>
      </w:r>
    </w:p>
    <w:p>
      <w:pPr>
        <w:pStyle w:val="ListParagraph"/>
        <w:numPr>
          <w:ilvl w:val="0"/>
          <w:numId w:val="2"/>
        </w:numPr>
        <w:spacing w:after="80"/>
      </w:pPr>
      <w:r>
        <w:t xml:space="preserve">Backup files are stored with access restricted to the Platform Administrator role/infrastructure owner, not accessible through the application itself.</w:t>
      </w:r>
    </w:p>
    <w:p>
      <w:pPr>
        <w:pStyle w:val="ListParagraph"/>
        <w:numPr>
          <w:ilvl w:val="0"/>
          <w:numId w:val="2"/>
        </w:numPr>
        <w:spacing w:after="80"/>
      </w:pPr>
      <w:r>
        <w:t xml:space="preserve">Backups containing password hashes or any future encrypted secrets are protected at rest to the same standard as production data (Section 20.8).</w:t>
      </w:r>
    </w:p>
    <w:p>
      <w:pPr>
        <w:pStyle w:val="Heading2"/>
        <w:spacing w:after="160" w:before="320"/>
      </w:pPr>
      <w:r>
        <w:rPr>
          <w:b/>
          <w:bCs/>
        </w:rPr>
        <w:t xml:space="preserve">26.4 Restoration Testing</w:t>
      </w:r>
    </w:p>
    <w:p>
      <w:pPr>
        <w:pStyle w:val="ListParagraph"/>
        <w:numPr>
          <w:ilvl w:val="0"/>
          <w:numId w:val="2"/>
        </w:numPr>
        <w:spacing w:after="80"/>
      </w:pPr>
      <w:r>
        <w:t xml:space="preserve">A periodic restore drill (restoring a backup to a non-production environment and verifying data integrity) is recommended good practice — Proposed, To Be Confirmed whether this is performed during the academic project timeline or only documented as a procedure.</w:t>
      </w:r>
    </w:p>
    <w:p>
      <w:r>
        <w:br w:type="page"/>
      </w:r>
    </w:p>
    <w:p>
      <w:pPr>
        <w:pStyle w:val="Heading1"/>
        <w:spacing w:after="240" w:before="480"/>
      </w:pPr>
      <w:r>
        <w:rPr>
          <w:b/>
          <w:bCs/>
        </w:rPr>
        <w:t xml:space="preserve">31. Process Flow Diagrams</w:t>
      </w:r>
    </w:p>
    <w:p>
      <w:pPr>
        <w:spacing w:after="160"/>
      </w:pPr>
      <w:r>
        <w:t xml:space="preserve">Flows are expressed in Mermaid flowchart syntax (per the source note's allowance for Mermaid/PlantUML where native diagram rendering is not available in this authoring tool). Each diagram follows Start → Process → Decision → Process → End.</w:t>
      </w:r>
    </w:p>
    <w:p>
      <w:pPr>
        <w:pStyle w:val="Heading2"/>
        <w:spacing w:after="160" w:before="320"/>
      </w:pPr>
      <w:r>
        <w:rPr>
          <w:b/>
          <w:bCs/>
        </w:rPr>
        <w:t xml:space="preserve">Figure 31.1 — Login</w:t>
      </w:r>
    </w:p>
    <w:p>
      <w:pPr>
        <w:spacing w:after="40" w:before="120"/>
      </w:pPr>
      <w:r>
        <w:rPr>
          <w:b/>
          <w:bCs/>
          <w:color w:val="1F3864"/>
          <w:sz w:val="19"/>
          <w:szCs w:val="19"/>
        </w:rPr>
        <w:t xml:space="preserve">mermaid</w:t>
      </w:r>
    </w:p>
    <w:p>
      <w:pPr>
        <w:shd w:fill="1E1E1E"/>
        <w:spacing w:after="0"/>
      </w:pPr>
      <w:r>
        <w:rPr>
          <w:rFonts w:ascii="Consolas" w:cs="Consolas" w:eastAsia="Consolas" w:hAnsi="Consolas"/>
          <w:color w:val="D4D4D4"/>
          <w:sz w:val="17"/>
          <w:szCs w:val="17"/>
        </w:rPr>
        <w:t xml:space="preserve">flowchart TD</w:t>
      </w:r>
    </w:p>
    <w:p>
      <w:pPr>
        <w:shd w:fill="1E1E1E"/>
        <w:spacing w:after="0"/>
      </w:pPr>
      <w:r>
        <w:rPr>
          <w:rFonts w:ascii="Consolas" w:cs="Consolas" w:eastAsia="Consolas" w:hAnsi="Consolas"/>
          <w:color w:val="D4D4D4"/>
          <w:sz w:val="17"/>
          <w:szCs w:val="17"/>
        </w:rPr>
        <w:t xml:space="preserve">    A([Start]) --&gt; B[Enter username &amp; password]</w:t>
      </w:r>
    </w:p>
    <w:p>
      <w:pPr>
        <w:shd w:fill="1E1E1E"/>
        <w:spacing w:after="0"/>
      </w:pPr>
      <w:r>
        <w:rPr>
          <w:rFonts w:ascii="Consolas" w:cs="Consolas" w:eastAsia="Consolas" w:hAnsi="Consolas"/>
          <w:color w:val="D4D4D4"/>
          <w:sz w:val="17"/>
          <w:szCs w:val="17"/>
        </w:rPr>
        <w:t xml:space="preserve">    B --&gt; C{Credentials valid?}</w:t>
      </w:r>
    </w:p>
    <w:p>
      <w:pPr>
        <w:shd w:fill="1E1E1E"/>
        <w:spacing w:after="0"/>
      </w:pPr>
      <w:r>
        <w:rPr>
          <w:rFonts w:ascii="Consolas" w:cs="Consolas" w:eastAsia="Consolas" w:hAnsi="Consolas"/>
          <w:color w:val="D4D4D4"/>
          <w:sz w:val="17"/>
          <w:szCs w:val="17"/>
        </w:rPr>
        <w:t xml:space="preserve">    C -- No --&gt; D[Show generic error; log failed attempt]</w:t>
      </w:r>
    </w:p>
    <w:p>
      <w:pPr>
        <w:shd w:fill="1E1E1E"/>
        <w:spacing w:after="0"/>
      </w:pPr>
      <w:r>
        <w:rPr>
          <w:rFonts w:ascii="Consolas" w:cs="Consolas" w:eastAsia="Consolas" w:hAnsi="Consolas"/>
          <w:color w:val="D4D4D4"/>
          <w:sz w:val="17"/>
          <w:szCs w:val="17"/>
        </w:rPr>
        <w:t xml:space="preserve">    D --&gt; E{Failed attempts &gt;= threshold?}</w:t>
      </w:r>
    </w:p>
    <w:p>
      <w:pPr>
        <w:shd w:fill="1E1E1E"/>
        <w:spacing w:after="0"/>
      </w:pPr>
      <w:r>
        <w:rPr>
          <w:rFonts w:ascii="Consolas" w:cs="Consolas" w:eastAsia="Consolas" w:hAnsi="Consolas"/>
          <w:color w:val="D4D4D4"/>
          <w:sz w:val="17"/>
          <w:szCs w:val="17"/>
        </w:rPr>
        <w:t xml:space="preserve">    E -- Yes --&gt; F[Lock account temporarily]</w:t>
      </w:r>
    </w:p>
    <w:p>
      <w:pPr>
        <w:shd w:fill="1E1E1E"/>
        <w:spacing w:after="0"/>
      </w:pPr>
      <w:r>
        <w:rPr>
          <w:rFonts w:ascii="Consolas" w:cs="Consolas" w:eastAsia="Consolas" w:hAnsi="Consolas"/>
          <w:color w:val="D4D4D4"/>
          <w:sz w:val="17"/>
          <w:szCs w:val="17"/>
        </w:rPr>
        <w:t xml:space="preserve">    E -- No --&gt; B</w:t>
      </w:r>
    </w:p>
    <w:p>
      <w:pPr>
        <w:shd w:fill="1E1E1E"/>
        <w:spacing w:after="0"/>
      </w:pPr>
      <w:r>
        <w:rPr>
          <w:rFonts w:ascii="Consolas" w:cs="Consolas" w:eastAsia="Consolas" w:hAnsi="Consolas"/>
          <w:color w:val="D4D4D4"/>
          <w:sz w:val="17"/>
          <w:szCs w:val="17"/>
        </w:rPr>
        <w:t xml:space="preserve">    C -- Yes --&gt; G[Resolve tenant, role, org scope]</w:t>
      </w:r>
    </w:p>
    <w:p>
      <w:pPr>
        <w:shd w:fill="1E1E1E"/>
        <w:spacing w:after="0"/>
      </w:pPr>
      <w:r>
        <w:rPr>
          <w:rFonts w:ascii="Consolas" w:cs="Consolas" w:eastAsia="Consolas" w:hAnsi="Consolas"/>
          <w:color w:val="D4D4D4"/>
          <w:sz w:val="17"/>
          <w:szCs w:val="17"/>
        </w:rPr>
        <w:t xml:space="preserve">    G --&gt; H[Create session]</w:t>
      </w:r>
    </w:p>
    <w:p>
      <w:pPr>
        <w:shd w:fill="1E1E1E"/>
        <w:spacing w:after="0"/>
      </w:pPr>
      <w:r>
        <w:rPr>
          <w:rFonts w:ascii="Consolas" w:cs="Consolas" w:eastAsia="Consolas" w:hAnsi="Consolas"/>
          <w:color w:val="D4D4D4"/>
          <w:sz w:val="17"/>
          <w:szCs w:val="17"/>
        </w:rPr>
        <w:t xml:space="preserve">    H --&gt; I([Redirect to role-specific Dashboard])</w:t>
      </w:r>
    </w:p>
    <w:p>
      <w:pPr>
        <w:shd w:fill="1E1E1E"/>
        <w:spacing w:after="0"/>
      </w:pPr>
      <w:r>
        <w:rPr>
          <w:rFonts w:ascii="Consolas" w:cs="Consolas" w:eastAsia="Consolas" w:hAnsi="Consolas"/>
          <w:color w:val="D4D4D4"/>
          <w:sz w:val="17"/>
          <w:szCs w:val="17"/>
        </w:rPr>
        <w:t xml:space="preserve">    F --&gt; J([End])</w:t>
      </w:r>
    </w:p>
    <w:p>
      <w:pPr>
        <w:spacing w:after="160" w:before="60"/>
      </w:pPr>
      <w:r>
        <w:rPr>
          <w:i/>
          <w:iCs/>
          <w:color w:val="595959"/>
          <w:sz w:val="18"/>
          <w:szCs w:val="18"/>
        </w:rPr>
        <w:t xml:space="preserve">Ref: FR-AUTH-001, Section 12.2 not applicable (pre-login).</w:t>
      </w:r>
    </w:p>
    <w:p>
      <w:pPr>
        <w:pStyle w:val="Heading2"/>
        <w:spacing w:after="160" w:before="320"/>
      </w:pPr>
      <w:r>
        <w:rPr>
          <w:b/>
          <w:bCs/>
        </w:rPr>
        <w:t xml:space="preserve">Figure 31.2 — Upload, Mapping and Validation</w:t>
      </w:r>
    </w:p>
    <w:p>
      <w:pPr>
        <w:spacing w:after="40" w:before="120"/>
      </w:pPr>
      <w:r>
        <w:rPr>
          <w:b/>
          <w:bCs/>
          <w:color w:val="1F3864"/>
          <w:sz w:val="19"/>
          <w:szCs w:val="19"/>
        </w:rPr>
        <w:t xml:space="preserve">mermaid</w:t>
      </w:r>
    </w:p>
    <w:p>
      <w:pPr>
        <w:shd w:fill="1E1E1E"/>
        <w:spacing w:after="0"/>
      </w:pPr>
      <w:r>
        <w:rPr>
          <w:rFonts w:ascii="Consolas" w:cs="Consolas" w:eastAsia="Consolas" w:hAnsi="Consolas"/>
          <w:color w:val="D4D4D4"/>
          <w:sz w:val="17"/>
          <w:szCs w:val="17"/>
        </w:rPr>
        <w:t xml:space="preserve">flowchart TD</w:t>
      </w:r>
    </w:p>
    <w:p>
      <w:pPr>
        <w:shd w:fill="1E1E1E"/>
        <w:spacing w:after="0"/>
      </w:pPr>
      <w:r>
        <w:rPr>
          <w:rFonts w:ascii="Consolas" w:cs="Consolas" w:eastAsia="Consolas" w:hAnsi="Consolas"/>
          <w:color w:val="D4D4D4"/>
          <w:sz w:val="17"/>
          <w:szCs w:val="17"/>
        </w:rPr>
        <w:t xml:space="preserve">    A([Start]) --&gt; B[Select scope, period, source type, file]</w:t>
      </w:r>
    </w:p>
    <w:p>
      <w:pPr>
        <w:shd w:fill="1E1E1E"/>
        <w:spacing w:after="0"/>
      </w:pPr>
      <w:r>
        <w:rPr>
          <w:rFonts w:ascii="Consolas" w:cs="Consolas" w:eastAsia="Consolas" w:hAnsi="Consolas"/>
          <w:color w:val="D4D4D4"/>
          <w:sz w:val="17"/>
          <w:szCs w:val="17"/>
        </w:rPr>
        <w:t xml:space="preserve">    B --&gt; C{Period locked?}</w:t>
      </w:r>
    </w:p>
    <w:p>
      <w:pPr>
        <w:shd w:fill="1E1E1E"/>
        <w:spacing w:after="0"/>
      </w:pPr>
      <w:r>
        <w:rPr>
          <w:rFonts w:ascii="Consolas" w:cs="Consolas" w:eastAsia="Consolas" w:hAnsi="Consolas"/>
          <w:color w:val="D4D4D4"/>
          <w:sz w:val="17"/>
          <w:szCs w:val="17"/>
        </w:rPr>
        <w:t xml:space="preserve">    C -- Yes --&gt; Z1[Block: reference Period Close status]</w:t>
      </w:r>
    </w:p>
    <w:p>
      <w:pPr>
        <w:shd w:fill="1E1E1E"/>
        <w:spacing w:after="0"/>
      </w:pPr>
      <w:r>
        <w:rPr>
          <w:rFonts w:ascii="Consolas" w:cs="Consolas" w:eastAsia="Consolas" w:hAnsi="Consolas"/>
          <w:color w:val="D4D4D4"/>
          <w:sz w:val="17"/>
          <w:szCs w:val="17"/>
        </w:rPr>
        <w:t xml:space="preserve">    C -- No --&gt; D{File valid: type, size, readable?}</w:t>
      </w:r>
    </w:p>
    <w:p>
      <w:pPr>
        <w:shd w:fill="1E1E1E"/>
        <w:spacing w:after="0"/>
      </w:pPr>
      <w:r>
        <w:rPr>
          <w:rFonts w:ascii="Consolas" w:cs="Consolas" w:eastAsia="Consolas" w:hAnsi="Consolas"/>
          <w:color w:val="D4D4D4"/>
          <w:sz w:val="17"/>
          <w:szCs w:val="17"/>
        </w:rPr>
        <w:t xml:space="preserve">    D -- No --&gt; Z2[Reject with specific error]</w:t>
      </w:r>
    </w:p>
    <w:p>
      <w:pPr>
        <w:shd w:fill="1E1E1E"/>
        <w:spacing w:after="0"/>
      </w:pPr>
      <w:r>
        <w:rPr>
          <w:rFonts w:ascii="Consolas" w:cs="Consolas" w:eastAsia="Consolas" w:hAnsi="Consolas"/>
          <w:color w:val="D4D4D4"/>
          <w:sz w:val="17"/>
          <w:szCs w:val="17"/>
        </w:rPr>
        <w:t xml:space="preserve">    D -- Yes --&gt; E[Store file immutably; create Upload record]</w:t>
      </w:r>
    </w:p>
    <w:p>
      <w:pPr>
        <w:shd w:fill="1E1E1E"/>
        <w:spacing w:after="0"/>
      </w:pPr>
      <w:r>
        <w:rPr>
          <w:rFonts w:ascii="Consolas" w:cs="Consolas" w:eastAsia="Consolas" w:hAnsi="Consolas"/>
          <w:color w:val="D4D4D4"/>
          <w:sz w:val="17"/>
          <w:szCs w:val="17"/>
        </w:rPr>
        <w:t xml:space="preserve">    E --&gt; F{Recognised source signature?}</w:t>
      </w:r>
    </w:p>
    <w:p>
      <w:pPr>
        <w:shd w:fill="1E1E1E"/>
        <w:spacing w:after="0"/>
      </w:pPr>
      <w:r>
        <w:rPr>
          <w:rFonts w:ascii="Consolas" w:cs="Consolas" w:eastAsia="Consolas" w:hAnsi="Consolas"/>
          <w:color w:val="D4D4D4"/>
          <w:sz w:val="17"/>
          <w:szCs w:val="17"/>
        </w:rPr>
        <w:t xml:space="preserve">    F -- Yes --&gt; G[Auto-apply saved Mapping Configuration]</w:t>
      </w:r>
    </w:p>
    <w:p>
      <w:pPr>
        <w:shd w:fill="1E1E1E"/>
        <w:spacing w:after="0"/>
      </w:pPr>
      <w:r>
        <w:rPr>
          <w:rFonts w:ascii="Consolas" w:cs="Consolas" w:eastAsia="Consolas" w:hAnsi="Consolas"/>
          <w:color w:val="D4D4D4"/>
          <w:sz w:val="17"/>
          <w:szCs w:val="17"/>
        </w:rPr>
        <w:t xml:space="preserve">    F -- No --&gt; H[CMA maps fields, optionally AI-assisted]</w:t>
      </w:r>
    </w:p>
    <w:p>
      <w:pPr>
        <w:shd w:fill="1E1E1E"/>
        <w:spacing w:after="0"/>
      </w:pPr>
      <w:r>
        <w:rPr>
          <w:rFonts w:ascii="Consolas" w:cs="Consolas" w:eastAsia="Consolas" w:hAnsi="Consolas"/>
          <w:color w:val="D4D4D4"/>
          <w:sz w:val="17"/>
          <w:szCs w:val="17"/>
        </w:rPr>
        <w:t xml:space="preserve">    G --&gt; I</w:t>
      </w:r>
    </w:p>
    <w:p>
      <w:pPr>
        <w:shd w:fill="1E1E1E"/>
        <w:spacing w:after="0"/>
      </w:pPr>
      <w:r>
        <w:rPr>
          <w:rFonts w:ascii="Consolas" w:cs="Consolas" w:eastAsia="Consolas" w:hAnsi="Consolas"/>
          <w:color w:val="D4D4D4"/>
          <w:sz w:val="17"/>
          <w:szCs w:val="17"/>
        </w:rPr>
        <w:t xml:space="preserve">    H --&gt; I[Save mapping; transform to Standard Data Model]</w:t>
      </w:r>
    </w:p>
    <w:p>
      <w:pPr>
        <w:shd w:fill="1E1E1E"/>
        <w:spacing w:after="0"/>
      </w:pPr>
      <w:r>
        <w:rPr>
          <w:rFonts w:ascii="Consolas" w:cs="Consolas" w:eastAsia="Consolas" w:hAnsi="Consolas"/>
          <w:color w:val="D4D4D4"/>
          <w:sz w:val="17"/>
          <w:szCs w:val="17"/>
        </w:rPr>
        <w:t xml:space="preserve">    I --&gt; J[Run structural, referential, business validation]</w:t>
      </w:r>
    </w:p>
    <w:p>
      <w:pPr>
        <w:shd w:fill="1E1E1E"/>
        <w:spacing w:after="0"/>
      </w:pPr>
      <w:r>
        <w:rPr>
          <w:rFonts w:ascii="Consolas" w:cs="Consolas" w:eastAsia="Consolas" w:hAnsi="Consolas"/>
          <w:color w:val="D4D4D4"/>
          <w:sz w:val="17"/>
          <w:szCs w:val="17"/>
        </w:rPr>
        <w:t xml:space="preserve">    J --&gt; K{Error-severity findings?}</w:t>
      </w:r>
    </w:p>
    <w:p>
      <w:pPr>
        <w:shd w:fill="1E1E1E"/>
        <w:spacing w:after="0"/>
      </w:pPr>
      <w:r>
        <w:rPr>
          <w:rFonts w:ascii="Consolas" w:cs="Consolas" w:eastAsia="Consolas" w:hAnsi="Consolas"/>
          <w:color w:val="D4D4D4"/>
          <w:sz w:val="17"/>
          <w:szCs w:val="17"/>
        </w:rPr>
        <w:t xml:space="preserve">    K -- Yes --&gt; L[Block; CMA corrects or logs override]</w:t>
      </w:r>
    </w:p>
    <w:p>
      <w:pPr>
        <w:shd w:fill="1E1E1E"/>
        <w:spacing w:after="0"/>
      </w:pPr>
      <w:r>
        <w:rPr>
          <w:rFonts w:ascii="Consolas" w:cs="Consolas" w:eastAsia="Consolas" w:hAnsi="Consolas"/>
          <w:color w:val="D4D4D4"/>
          <w:sz w:val="17"/>
          <w:szCs w:val="17"/>
        </w:rPr>
        <w:t xml:space="preserve">    L --&gt; J</w:t>
      </w:r>
    </w:p>
    <w:p>
      <w:pPr>
        <w:shd w:fill="1E1E1E"/>
        <w:spacing w:after="0"/>
      </w:pPr>
      <w:r>
        <w:rPr>
          <w:rFonts w:ascii="Consolas" w:cs="Consolas" w:eastAsia="Consolas" w:hAnsi="Consolas"/>
          <w:color w:val="D4D4D4"/>
          <w:sz w:val="17"/>
          <w:szCs w:val="17"/>
        </w:rPr>
        <w:t xml:space="preserve">    K -- No --&gt; M[Upload status = Validated]</w:t>
      </w:r>
    </w:p>
    <w:p>
      <w:pPr>
        <w:shd w:fill="1E1E1E"/>
        <w:spacing w:after="0"/>
      </w:pPr>
      <w:r>
        <w:rPr>
          <w:rFonts w:ascii="Consolas" w:cs="Consolas" w:eastAsia="Consolas" w:hAnsi="Consolas"/>
          <w:color w:val="D4D4D4"/>
          <w:sz w:val="17"/>
          <w:szCs w:val="17"/>
        </w:rPr>
        <w:t xml:space="preserve">    M --&gt; N([Ready for costing engines])</w:t>
      </w:r>
    </w:p>
    <w:p>
      <w:pPr>
        <w:spacing w:after="160" w:before="60"/>
      </w:pPr>
      <w:r>
        <w:rPr>
          <w:i/>
          <w:iCs/>
          <w:color w:val="595959"/>
          <w:sz w:val="18"/>
          <w:szCs w:val="18"/>
        </w:rPr>
        <w:t xml:space="preserve">Ref: FR-UPL-001, FR-MAP-001, FR-MAP-002, FR-VAL-001; Section 12.1 (Upload state machine).</w:t>
      </w:r>
    </w:p>
    <w:p>
      <w:pPr>
        <w:pStyle w:val="Heading2"/>
        <w:spacing w:after="160" w:before="320"/>
      </w:pPr>
      <w:r>
        <w:rPr>
          <w:b/>
          <w:bCs/>
        </w:rPr>
        <w:t xml:space="preserve">Figure 31.3 — Inventory Valuation</w:t>
      </w:r>
    </w:p>
    <w:p>
      <w:pPr>
        <w:spacing w:after="40" w:before="120"/>
      </w:pPr>
      <w:r>
        <w:rPr>
          <w:b/>
          <w:bCs/>
          <w:color w:val="1F3864"/>
          <w:sz w:val="19"/>
          <w:szCs w:val="19"/>
        </w:rPr>
        <w:t xml:space="preserve">mermaid</w:t>
      </w:r>
    </w:p>
    <w:p>
      <w:pPr>
        <w:shd w:fill="1E1E1E"/>
        <w:spacing w:after="0"/>
      </w:pPr>
      <w:r>
        <w:rPr>
          <w:rFonts w:ascii="Consolas" w:cs="Consolas" w:eastAsia="Consolas" w:hAnsi="Consolas"/>
          <w:color w:val="D4D4D4"/>
          <w:sz w:val="17"/>
          <w:szCs w:val="17"/>
        </w:rPr>
        <w:t xml:space="preserve">flowchart TD</w:t>
      </w:r>
    </w:p>
    <w:p>
      <w:pPr>
        <w:shd w:fill="1E1E1E"/>
        <w:spacing w:after="0"/>
      </w:pPr>
      <w:r>
        <w:rPr>
          <w:rFonts w:ascii="Consolas" w:cs="Consolas" w:eastAsia="Consolas" w:hAnsi="Consolas"/>
          <w:color w:val="D4D4D4"/>
          <w:sz w:val="17"/>
          <w:szCs w:val="17"/>
        </w:rPr>
        <w:t xml:space="preserve">    A([Start]) --&gt; B[Load opening balance, receipts, issues, adjustments]</w:t>
      </w:r>
    </w:p>
    <w:p>
      <w:pPr>
        <w:shd w:fill="1E1E1E"/>
        <w:spacing w:after="0"/>
      </w:pPr>
      <w:r>
        <w:rPr>
          <w:rFonts w:ascii="Consolas" w:cs="Consolas" w:eastAsia="Consolas" w:hAnsi="Consolas"/>
          <w:color w:val="D4D4D4"/>
          <w:sz w:val="17"/>
          <w:szCs w:val="17"/>
        </w:rPr>
        <w:t xml:space="preserve">    B --&gt; C{Method?}</w:t>
      </w:r>
    </w:p>
    <w:p>
      <w:pPr>
        <w:shd w:fill="1E1E1E"/>
        <w:spacing w:after="0"/>
      </w:pPr>
      <w:r>
        <w:rPr>
          <w:rFonts w:ascii="Consolas" w:cs="Consolas" w:eastAsia="Consolas" w:hAnsi="Consolas"/>
          <w:color w:val="D4D4D4"/>
          <w:sz w:val="17"/>
          <w:szCs w:val="17"/>
        </w:rPr>
        <w:t xml:space="preserve">    C -- FIFO --&gt; D1[Consume cost layers in receipt order]</w:t>
      </w:r>
    </w:p>
    <w:p>
      <w:pPr>
        <w:shd w:fill="1E1E1E"/>
        <w:spacing w:after="0"/>
      </w:pPr>
      <w:r>
        <w:rPr>
          <w:rFonts w:ascii="Consolas" w:cs="Consolas" w:eastAsia="Consolas" w:hAnsi="Consolas"/>
          <w:color w:val="D4D4D4"/>
          <w:sz w:val="17"/>
          <w:szCs w:val="17"/>
        </w:rPr>
        <w:t xml:space="preserve">    C -- Periodic WAC --&gt; D2[Compute period average, apply to all issues]</w:t>
      </w:r>
    </w:p>
    <w:p>
      <w:pPr>
        <w:shd w:fill="1E1E1E"/>
        <w:spacing w:after="0"/>
      </w:pPr>
      <w:r>
        <w:rPr>
          <w:rFonts w:ascii="Consolas" w:cs="Consolas" w:eastAsia="Consolas" w:hAnsi="Consolas"/>
          <w:color w:val="D4D4D4"/>
          <w:sz w:val="17"/>
          <w:szCs w:val="17"/>
        </w:rPr>
        <w:t xml:space="preserve">    C -- Moving WAC --&gt; D3[Recompute average after each receipt]</w:t>
      </w:r>
    </w:p>
    <w:p>
      <w:pPr>
        <w:shd w:fill="1E1E1E"/>
        <w:spacing w:after="0"/>
      </w:pPr>
      <w:r>
        <w:rPr>
          <w:rFonts w:ascii="Consolas" w:cs="Consolas" w:eastAsia="Consolas" w:hAnsi="Consolas"/>
          <w:color w:val="D4D4D4"/>
          <w:sz w:val="17"/>
          <w:szCs w:val="17"/>
        </w:rPr>
        <w:t xml:space="preserve">    C -- Specific Cost --&gt; D4[Cost each issue at its lot-specific cost]</w:t>
      </w:r>
    </w:p>
    <w:p>
      <w:pPr>
        <w:shd w:fill="1E1E1E"/>
        <w:spacing w:after="0"/>
      </w:pPr>
      <w:r>
        <w:rPr>
          <w:rFonts w:ascii="Consolas" w:cs="Consolas" w:eastAsia="Consolas" w:hAnsi="Consolas"/>
          <w:color w:val="D4D4D4"/>
          <w:sz w:val="17"/>
          <w:szCs w:val="17"/>
        </w:rPr>
        <w:t xml:space="preserve">    D1 --&gt; E[Compute closing qty and value]</w:t>
      </w:r>
    </w:p>
    <w:p>
      <w:pPr>
        <w:shd w:fill="1E1E1E"/>
        <w:spacing w:after="0"/>
      </w:pPr>
      <w:r>
        <w:rPr>
          <w:rFonts w:ascii="Consolas" w:cs="Consolas" w:eastAsia="Consolas" w:hAnsi="Consolas"/>
          <w:color w:val="D4D4D4"/>
          <w:sz w:val="17"/>
          <w:szCs w:val="17"/>
        </w:rPr>
        <w:t xml:space="preserve">    D2 --&gt; E</w:t>
      </w:r>
    </w:p>
    <w:p>
      <w:pPr>
        <w:shd w:fill="1E1E1E"/>
        <w:spacing w:after="0"/>
      </w:pPr>
      <w:r>
        <w:rPr>
          <w:rFonts w:ascii="Consolas" w:cs="Consolas" w:eastAsia="Consolas" w:hAnsi="Consolas"/>
          <w:color w:val="D4D4D4"/>
          <w:sz w:val="17"/>
          <w:szCs w:val="17"/>
        </w:rPr>
        <w:t xml:space="preserve">    D3 --&gt; E</w:t>
      </w:r>
    </w:p>
    <w:p>
      <w:pPr>
        <w:shd w:fill="1E1E1E"/>
        <w:spacing w:after="0"/>
      </w:pPr>
      <w:r>
        <w:rPr>
          <w:rFonts w:ascii="Consolas" w:cs="Consolas" w:eastAsia="Consolas" w:hAnsi="Consolas"/>
          <w:color w:val="D4D4D4"/>
          <w:sz w:val="17"/>
          <w:szCs w:val="17"/>
        </w:rPr>
        <w:t xml:space="preserve">    D4 --&gt; E</w:t>
      </w:r>
    </w:p>
    <w:p>
      <w:pPr>
        <w:shd w:fill="1E1E1E"/>
        <w:spacing w:after="0"/>
      </w:pPr>
      <w:r>
        <w:rPr>
          <w:rFonts w:ascii="Consolas" w:cs="Consolas" w:eastAsia="Consolas" w:hAnsi="Consolas"/>
          <w:color w:val="D4D4D4"/>
          <w:sz w:val="17"/>
          <w:szCs w:val="17"/>
        </w:rPr>
        <w:t xml:space="preserve">    E --&gt; F{BR-INV-001 balances?}</w:t>
      </w:r>
    </w:p>
    <w:p>
      <w:pPr>
        <w:shd w:fill="1E1E1E"/>
        <w:spacing w:after="0"/>
      </w:pPr>
      <w:r>
        <w:rPr>
          <w:rFonts w:ascii="Consolas" w:cs="Consolas" w:eastAsia="Consolas" w:hAnsi="Consolas"/>
          <w:color w:val="D4D4D4"/>
          <w:sz w:val="17"/>
          <w:szCs w:val="17"/>
        </w:rPr>
        <w:t xml:space="preserve">    F -- No --&gt; G[Flag exception; block finalisation]</w:t>
      </w:r>
    </w:p>
    <w:p>
      <w:pPr>
        <w:shd w:fill="1E1E1E"/>
        <w:spacing w:after="0"/>
      </w:pPr>
      <w:r>
        <w:rPr>
          <w:rFonts w:ascii="Consolas" w:cs="Consolas" w:eastAsia="Consolas" w:hAnsi="Consolas"/>
          <w:color w:val="D4D4D4"/>
          <w:sz w:val="17"/>
          <w:szCs w:val="17"/>
        </w:rPr>
        <w:t xml:space="preserve">    F -- Yes --&gt; H[Write valuation result and lineage]</w:t>
      </w:r>
    </w:p>
    <w:p>
      <w:pPr>
        <w:shd w:fill="1E1E1E"/>
        <w:spacing w:after="0"/>
      </w:pPr>
      <w:r>
        <w:rPr>
          <w:rFonts w:ascii="Consolas" w:cs="Consolas" w:eastAsia="Consolas" w:hAnsi="Consolas"/>
          <w:color w:val="D4D4D4"/>
          <w:sz w:val="17"/>
          <w:szCs w:val="17"/>
        </w:rPr>
        <w:t xml:space="preserve">    H --&gt; I([Feed BOM/Product Costing])</w:t>
      </w:r>
    </w:p>
    <w:p>
      <w:pPr>
        <w:spacing w:after="160" w:before="60"/>
      </w:pPr>
      <w:r>
        <w:rPr>
          <w:i/>
          <w:iCs/>
          <w:color w:val="595959"/>
          <w:sz w:val="18"/>
          <w:szCs w:val="18"/>
        </w:rPr>
        <w:t xml:space="preserve">Ref: FR-INV-001.</w:t>
      </w:r>
    </w:p>
    <w:p>
      <w:pPr>
        <w:pStyle w:val="Heading2"/>
        <w:spacing w:after="160" w:before="320"/>
      </w:pPr>
      <w:r>
        <w:rPr>
          <w:b/>
          <w:bCs/>
        </w:rPr>
        <w:t xml:space="preserve">Figure 31.4 — BOM Explosion and Cost Roll-up</w:t>
      </w:r>
    </w:p>
    <w:p>
      <w:pPr>
        <w:spacing w:after="40" w:before="120"/>
      </w:pPr>
      <w:r>
        <w:rPr>
          <w:b/>
          <w:bCs/>
          <w:color w:val="1F3864"/>
          <w:sz w:val="19"/>
          <w:szCs w:val="19"/>
        </w:rPr>
        <w:t xml:space="preserve">mermaid</w:t>
      </w:r>
    </w:p>
    <w:p>
      <w:pPr>
        <w:shd w:fill="1E1E1E"/>
        <w:spacing w:after="0"/>
      </w:pPr>
      <w:r>
        <w:rPr>
          <w:rFonts w:ascii="Consolas" w:cs="Consolas" w:eastAsia="Consolas" w:hAnsi="Consolas"/>
          <w:color w:val="D4D4D4"/>
          <w:sz w:val="17"/>
          <w:szCs w:val="17"/>
        </w:rPr>
        <w:t xml:space="preserve">flowchart TD</w:t>
      </w:r>
    </w:p>
    <w:p>
      <w:pPr>
        <w:shd w:fill="1E1E1E"/>
        <w:spacing w:after="0"/>
      </w:pPr>
      <w:r>
        <w:rPr>
          <w:rFonts w:ascii="Consolas" w:cs="Consolas" w:eastAsia="Consolas" w:hAnsi="Consolas"/>
          <w:color w:val="D4D4D4"/>
          <w:sz w:val="17"/>
          <w:szCs w:val="17"/>
        </w:rPr>
        <w:t xml:space="preserve">    A([Start]) --&gt; B[Load BOM header + component lines, all levels]</w:t>
      </w:r>
    </w:p>
    <w:p>
      <w:pPr>
        <w:shd w:fill="1E1E1E"/>
        <w:spacing w:after="0"/>
      </w:pPr>
      <w:r>
        <w:rPr>
          <w:rFonts w:ascii="Consolas" w:cs="Consolas" w:eastAsia="Consolas" w:hAnsi="Consolas"/>
          <w:color w:val="D4D4D4"/>
          <w:sz w:val="17"/>
          <w:szCs w:val="17"/>
        </w:rPr>
        <w:t xml:space="preserve">    B --&gt; C{Circular reference?}</w:t>
      </w:r>
    </w:p>
    <w:p>
      <w:pPr>
        <w:shd w:fill="1E1E1E"/>
        <w:spacing w:after="0"/>
      </w:pPr>
      <w:r>
        <w:rPr>
          <w:rFonts w:ascii="Consolas" w:cs="Consolas" w:eastAsia="Consolas" w:hAnsi="Consolas"/>
          <w:color w:val="D4D4D4"/>
          <w:sz w:val="17"/>
          <w:szCs w:val="17"/>
        </w:rPr>
        <w:t xml:space="preserve">    C -- Yes --&gt; D[Block with error identifying cycle]</w:t>
      </w:r>
    </w:p>
    <w:p>
      <w:pPr>
        <w:shd w:fill="1E1E1E"/>
        <w:spacing w:after="0"/>
      </w:pPr>
      <w:r>
        <w:rPr>
          <w:rFonts w:ascii="Consolas" w:cs="Consolas" w:eastAsia="Consolas" w:hAnsi="Consolas"/>
          <w:color w:val="D4D4D4"/>
          <w:sz w:val="17"/>
          <w:szCs w:val="17"/>
        </w:rPr>
        <w:t xml:space="preserve">    C -- No --&gt; E[Explode to lowest-level components, apply UOM conversion]</w:t>
      </w:r>
    </w:p>
    <w:p>
      <w:pPr>
        <w:shd w:fill="1E1E1E"/>
        <w:spacing w:after="0"/>
      </w:pPr>
      <w:r>
        <w:rPr>
          <w:rFonts w:ascii="Consolas" w:cs="Consolas" w:eastAsia="Consolas" w:hAnsi="Consolas"/>
          <w:color w:val="D4D4D4"/>
          <w:sz w:val="17"/>
          <w:szCs w:val="17"/>
        </w:rPr>
        <w:t xml:space="preserve">    E --&gt; F{Cost available for every leaf component?}</w:t>
      </w:r>
    </w:p>
    <w:p>
      <w:pPr>
        <w:shd w:fill="1E1E1E"/>
        <w:spacing w:after="0"/>
      </w:pPr>
      <w:r>
        <w:rPr>
          <w:rFonts w:ascii="Consolas" w:cs="Consolas" w:eastAsia="Consolas" w:hAnsi="Consolas"/>
          <w:color w:val="D4D4D4"/>
          <w:sz w:val="17"/>
          <w:szCs w:val="17"/>
        </w:rPr>
        <w:t xml:space="preserve">    F -- No --&gt; G[Raise exception to Cost Investigation]</w:t>
      </w:r>
    </w:p>
    <w:p>
      <w:pPr>
        <w:shd w:fill="1E1E1E"/>
        <w:spacing w:after="0"/>
      </w:pPr>
      <w:r>
        <w:rPr>
          <w:rFonts w:ascii="Consolas" w:cs="Consolas" w:eastAsia="Consolas" w:hAnsi="Consolas"/>
          <w:color w:val="D4D4D4"/>
          <w:sz w:val="17"/>
          <w:szCs w:val="17"/>
        </w:rPr>
        <w:t xml:space="preserve">    F -- Yes --&gt; H[Roll up cost bottom-up with conversion cost per level]</w:t>
      </w:r>
    </w:p>
    <w:p>
      <w:pPr>
        <w:shd w:fill="1E1E1E"/>
        <w:spacing w:after="0"/>
      </w:pPr>
      <w:r>
        <w:rPr>
          <w:rFonts w:ascii="Consolas" w:cs="Consolas" w:eastAsia="Consolas" w:hAnsi="Consolas"/>
          <w:color w:val="D4D4D4"/>
          <w:sz w:val="17"/>
          <w:szCs w:val="17"/>
        </w:rPr>
        <w:t xml:space="preserve">    H --&gt; I[Write exploded tree + rolled-up cost]</w:t>
      </w:r>
    </w:p>
    <w:p>
      <w:pPr>
        <w:shd w:fill="1E1E1E"/>
        <w:spacing w:after="0"/>
      </w:pPr>
      <w:r>
        <w:rPr>
          <w:rFonts w:ascii="Consolas" w:cs="Consolas" w:eastAsia="Consolas" w:hAnsi="Consolas"/>
          <w:color w:val="D4D4D4"/>
          <w:sz w:val="17"/>
          <w:szCs w:val="17"/>
        </w:rPr>
        <w:t xml:space="preserve">    I --&gt; J([Feed Product Costing])</w:t>
      </w:r>
    </w:p>
    <w:p>
      <w:pPr>
        <w:spacing w:after="160" w:before="60"/>
      </w:pPr>
      <w:r>
        <w:rPr>
          <w:i/>
          <w:iCs/>
          <w:color w:val="595959"/>
          <w:sz w:val="18"/>
          <w:szCs w:val="18"/>
        </w:rPr>
        <w:t xml:space="preserve">Ref: FR-BOM-001, BR-BOM-001.</w:t>
      </w:r>
    </w:p>
    <w:p>
      <w:pPr>
        <w:pStyle w:val="Heading2"/>
        <w:spacing w:after="160" w:before="320"/>
      </w:pPr>
      <w:r>
        <w:rPr>
          <w:b/>
          <w:bCs/>
        </w:rPr>
        <w:t xml:space="preserve">Figure 31.5 — Product Costing and Overhead Allocation</w:t>
      </w:r>
    </w:p>
    <w:p>
      <w:pPr>
        <w:spacing w:after="40" w:before="120"/>
      </w:pPr>
      <w:r>
        <w:rPr>
          <w:b/>
          <w:bCs/>
          <w:color w:val="1F3864"/>
          <w:sz w:val="19"/>
          <w:szCs w:val="19"/>
        </w:rPr>
        <w:t xml:space="preserve">mermaid</w:t>
      </w:r>
    </w:p>
    <w:p>
      <w:pPr>
        <w:shd w:fill="1E1E1E"/>
        <w:spacing w:after="0"/>
      </w:pPr>
      <w:r>
        <w:rPr>
          <w:rFonts w:ascii="Consolas" w:cs="Consolas" w:eastAsia="Consolas" w:hAnsi="Consolas"/>
          <w:color w:val="D4D4D4"/>
          <w:sz w:val="17"/>
          <w:szCs w:val="17"/>
        </w:rPr>
        <w:t xml:space="preserve">flowchart TD</w:t>
      </w:r>
    </w:p>
    <w:p>
      <w:pPr>
        <w:shd w:fill="1E1E1E"/>
        <w:spacing w:after="0"/>
      </w:pPr>
      <w:r>
        <w:rPr>
          <w:rFonts w:ascii="Consolas" w:cs="Consolas" w:eastAsia="Consolas" w:hAnsi="Consolas"/>
          <w:color w:val="D4D4D4"/>
          <w:sz w:val="17"/>
          <w:szCs w:val="17"/>
        </w:rPr>
        <w:t xml:space="preserve">    A([Start]) --&gt; B[Retrieve BOM roll-up material cost]</w:t>
      </w:r>
    </w:p>
    <w:p>
      <w:pPr>
        <w:shd w:fill="1E1E1E"/>
        <w:spacing w:after="0"/>
      </w:pPr>
      <w:r>
        <w:rPr>
          <w:rFonts w:ascii="Consolas" w:cs="Consolas" w:eastAsia="Consolas" w:hAnsi="Consolas"/>
          <w:color w:val="D4D4D4"/>
          <w:sz w:val="17"/>
          <w:szCs w:val="17"/>
        </w:rPr>
        <w:t xml:space="preserve">    B --&gt; C[Retrieve labour cost via Labour Rate Master]</w:t>
      </w:r>
    </w:p>
    <w:p>
      <w:pPr>
        <w:shd w:fill="1E1E1E"/>
        <w:spacing w:after="0"/>
      </w:pPr>
      <w:r>
        <w:rPr>
          <w:rFonts w:ascii="Consolas" w:cs="Consolas" w:eastAsia="Consolas" w:hAnsi="Consolas"/>
          <w:color w:val="D4D4D4"/>
          <w:sz w:val="17"/>
          <w:szCs w:val="17"/>
        </w:rPr>
        <w:t xml:space="preserve">    C --&gt; D[Retrieve machine/process cost via Machine Rate Master]</w:t>
      </w:r>
    </w:p>
    <w:p>
      <w:pPr>
        <w:shd w:fill="1E1E1E"/>
        <w:spacing w:after="0"/>
      </w:pPr>
      <w:r>
        <w:rPr>
          <w:rFonts w:ascii="Consolas" w:cs="Consolas" w:eastAsia="Consolas" w:hAnsi="Consolas"/>
          <w:color w:val="D4D4D4"/>
          <w:sz w:val="17"/>
          <w:szCs w:val="17"/>
        </w:rPr>
        <w:t xml:space="preserve">    D --&gt; E{Overhead already allocated for period?}</w:t>
      </w:r>
    </w:p>
    <w:p>
      <w:pPr>
        <w:shd w:fill="1E1E1E"/>
        <w:spacing w:after="0"/>
      </w:pPr>
      <w:r>
        <w:rPr>
          <w:rFonts w:ascii="Consolas" w:cs="Consolas" w:eastAsia="Consolas" w:hAnsi="Consolas"/>
          <w:color w:val="D4D4D4"/>
          <w:sz w:val="17"/>
          <w:szCs w:val="17"/>
        </w:rPr>
        <w:t xml:space="preserve">    E -- No --&gt; F[Run Overhead Allocation: rate = pool / driver, allocate to objects]</w:t>
      </w:r>
    </w:p>
    <w:p>
      <w:pPr>
        <w:shd w:fill="1E1E1E"/>
        <w:spacing w:after="0"/>
      </w:pPr>
      <w:r>
        <w:rPr>
          <w:rFonts w:ascii="Consolas" w:cs="Consolas" w:eastAsia="Consolas" w:hAnsi="Consolas"/>
          <w:color w:val="D4D4D4"/>
          <w:sz w:val="17"/>
          <w:szCs w:val="17"/>
        </w:rPr>
        <w:t xml:space="preserve">    F --&gt; G</w:t>
      </w:r>
    </w:p>
    <w:p>
      <w:pPr>
        <w:shd w:fill="1E1E1E"/>
        <w:spacing w:after="0"/>
      </w:pPr>
      <w:r>
        <w:rPr>
          <w:rFonts w:ascii="Consolas" w:cs="Consolas" w:eastAsia="Consolas" w:hAnsi="Consolas"/>
          <w:color w:val="D4D4D4"/>
          <w:sz w:val="17"/>
          <w:szCs w:val="17"/>
        </w:rPr>
        <w:t xml:space="preserve">    E -- Yes --&gt; G[Sum: Material+Labour+Machine+Overhead+Other Direct]</w:t>
      </w:r>
    </w:p>
    <w:p>
      <w:pPr>
        <w:shd w:fill="1E1E1E"/>
        <w:spacing w:after="0"/>
      </w:pPr>
      <w:r>
        <w:rPr>
          <w:rFonts w:ascii="Consolas" w:cs="Consolas" w:eastAsia="Consolas" w:hAnsi="Consolas"/>
          <w:color w:val="D4D4D4"/>
          <w:sz w:val="17"/>
          <w:szCs w:val="17"/>
        </w:rPr>
        <w:t xml:space="preserve">    G --&gt; H{All components present?}</w:t>
      </w:r>
    </w:p>
    <w:p>
      <w:pPr>
        <w:shd w:fill="1E1E1E"/>
        <w:spacing w:after="0"/>
      </w:pPr>
      <w:r>
        <w:rPr>
          <w:rFonts w:ascii="Consolas" w:cs="Consolas" w:eastAsia="Consolas" w:hAnsi="Consolas"/>
          <w:color w:val="D4D4D4"/>
          <w:sz w:val="17"/>
          <w:szCs w:val="17"/>
        </w:rPr>
        <w:t xml:space="preserve">    H -- No --&gt; I[Block Finalise; raise exception]</w:t>
      </w:r>
    </w:p>
    <w:p>
      <w:pPr>
        <w:shd w:fill="1E1E1E"/>
        <w:spacing w:after="0"/>
      </w:pPr>
      <w:r>
        <w:rPr>
          <w:rFonts w:ascii="Consolas" w:cs="Consolas" w:eastAsia="Consolas" w:hAnsi="Consolas"/>
          <w:color w:val="D4D4D4"/>
          <w:sz w:val="17"/>
          <w:szCs w:val="17"/>
        </w:rPr>
        <w:t xml:space="preserve">    H -- Yes --&gt; J[Write Product Costing result, tag Costing Version]</w:t>
      </w:r>
    </w:p>
    <w:p>
      <w:pPr>
        <w:shd w:fill="1E1E1E"/>
        <w:spacing w:after="0"/>
      </w:pPr>
      <w:r>
        <w:rPr>
          <w:rFonts w:ascii="Consolas" w:cs="Consolas" w:eastAsia="Consolas" w:hAnsi="Consolas"/>
          <w:color w:val="D4D4D4"/>
          <w:sz w:val="17"/>
          <w:szCs w:val="17"/>
        </w:rPr>
        <w:t xml:space="preserve">    J --&gt; K([Feed Standard vs Actual / Dashboards / Reports])</w:t>
      </w:r>
    </w:p>
    <w:p>
      <w:pPr>
        <w:spacing w:after="160" w:before="60"/>
      </w:pPr>
      <w:r>
        <w:rPr>
          <w:i/>
          <w:iCs/>
          <w:color w:val="595959"/>
          <w:sz w:val="18"/>
          <w:szCs w:val="18"/>
        </w:rPr>
        <w:t xml:space="preserve">Ref: FR-COST-001, FR-COST-002, BR-COST-001, BR-ALLOC-001.</w:t>
      </w:r>
    </w:p>
    <w:p>
      <w:pPr>
        <w:pStyle w:val="Heading2"/>
        <w:spacing w:after="160" w:before="320"/>
      </w:pPr>
      <w:r>
        <w:rPr>
          <w:b/>
          <w:bCs/>
        </w:rPr>
        <w:t xml:space="preserve">Figure 31.6 — Reconciliation</w:t>
      </w:r>
    </w:p>
    <w:p>
      <w:pPr>
        <w:spacing w:after="40" w:before="120"/>
      </w:pPr>
      <w:r>
        <w:rPr>
          <w:b/>
          <w:bCs/>
          <w:color w:val="1F3864"/>
          <w:sz w:val="19"/>
          <w:szCs w:val="19"/>
        </w:rPr>
        <w:t xml:space="preserve">mermaid</w:t>
      </w:r>
    </w:p>
    <w:p>
      <w:pPr>
        <w:shd w:fill="1E1E1E"/>
        <w:spacing w:after="0"/>
      </w:pPr>
      <w:r>
        <w:rPr>
          <w:rFonts w:ascii="Consolas" w:cs="Consolas" w:eastAsia="Consolas" w:hAnsi="Consolas"/>
          <w:color w:val="D4D4D4"/>
          <w:sz w:val="17"/>
          <w:szCs w:val="17"/>
        </w:rPr>
        <w:t xml:space="preserve">flowchart TD</w:t>
      </w:r>
    </w:p>
    <w:p>
      <w:pPr>
        <w:shd w:fill="1E1E1E"/>
        <w:spacing w:after="0"/>
      </w:pPr>
      <w:r>
        <w:rPr>
          <w:rFonts w:ascii="Consolas" w:cs="Consolas" w:eastAsia="Consolas" w:hAnsi="Consolas"/>
          <w:color w:val="D4D4D4"/>
          <w:sz w:val="17"/>
          <w:szCs w:val="17"/>
        </w:rPr>
        <w:t xml:space="preserve">    A([Start]) --&gt; B[Retrieve computed value: inventory/COGS/overhead]</w:t>
      </w:r>
    </w:p>
    <w:p>
      <w:pPr>
        <w:shd w:fill="1E1E1E"/>
        <w:spacing w:after="0"/>
      </w:pPr>
      <w:r>
        <w:rPr>
          <w:rFonts w:ascii="Consolas" w:cs="Consolas" w:eastAsia="Consolas" w:hAnsi="Consolas"/>
          <w:color w:val="D4D4D4"/>
          <w:sz w:val="17"/>
          <w:szCs w:val="17"/>
        </w:rPr>
        <w:t xml:space="preserve">    B --&gt; C[Retrieve source value: Trial Balance / production records]</w:t>
      </w:r>
    </w:p>
    <w:p>
      <w:pPr>
        <w:shd w:fill="1E1E1E"/>
        <w:spacing w:after="0"/>
      </w:pPr>
      <w:r>
        <w:rPr>
          <w:rFonts w:ascii="Consolas" w:cs="Consolas" w:eastAsia="Consolas" w:hAnsi="Consolas"/>
          <w:color w:val="D4D4D4"/>
          <w:sz w:val="17"/>
          <w:szCs w:val="17"/>
        </w:rPr>
        <w:t xml:space="preserve">    C --&gt; D[Compute variance = computed - source]</w:t>
      </w:r>
    </w:p>
    <w:p>
      <w:pPr>
        <w:shd w:fill="1E1E1E"/>
        <w:spacing w:after="0"/>
      </w:pPr>
      <w:r>
        <w:rPr>
          <w:rFonts w:ascii="Consolas" w:cs="Consolas" w:eastAsia="Consolas" w:hAnsi="Consolas"/>
          <w:color w:val="D4D4D4"/>
          <w:sz w:val="17"/>
          <w:szCs w:val="17"/>
        </w:rPr>
        <w:t xml:space="preserve">    D --&gt; E{Variance within tolerance? BR-REC-001}</w:t>
      </w:r>
    </w:p>
    <w:p>
      <w:pPr>
        <w:shd w:fill="1E1E1E"/>
        <w:spacing w:after="0"/>
      </w:pPr>
      <w:r>
        <w:rPr>
          <w:rFonts w:ascii="Consolas" w:cs="Consolas" w:eastAsia="Consolas" w:hAnsi="Consolas"/>
          <w:color w:val="D4D4D4"/>
          <w:sz w:val="17"/>
          <w:szCs w:val="17"/>
        </w:rPr>
        <w:t xml:space="preserve">    E -- Yes --&gt; F[Mark Reconciled]</w:t>
      </w:r>
    </w:p>
    <w:p>
      <w:pPr>
        <w:shd w:fill="1E1E1E"/>
        <w:spacing w:after="0"/>
      </w:pPr>
      <w:r>
        <w:rPr>
          <w:rFonts w:ascii="Consolas" w:cs="Consolas" w:eastAsia="Consolas" w:hAnsi="Consolas"/>
          <w:color w:val="D4D4D4"/>
          <w:sz w:val="17"/>
          <w:szCs w:val="17"/>
        </w:rPr>
        <w:t xml:space="preserve">    E -- No --&gt; G[Raise Reconciliation Exception]</w:t>
      </w:r>
    </w:p>
    <w:p>
      <w:pPr>
        <w:shd w:fill="1E1E1E"/>
        <w:spacing w:after="0"/>
      </w:pPr>
      <w:r>
        <w:rPr>
          <w:rFonts w:ascii="Consolas" w:cs="Consolas" w:eastAsia="Consolas" w:hAnsi="Consolas"/>
          <w:color w:val="D4D4D4"/>
          <w:sz w:val="17"/>
          <w:szCs w:val="17"/>
        </w:rPr>
        <w:t xml:space="preserve">    G --&gt; H[CMA investigates: correct data/mapping OR accept with reason]</w:t>
      </w:r>
    </w:p>
    <w:p>
      <w:pPr>
        <w:shd w:fill="1E1E1E"/>
        <w:spacing w:after="0"/>
      </w:pPr>
      <w:r>
        <w:rPr>
          <w:rFonts w:ascii="Consolas" w:cs="Consolas" w:eastAsia="Consolas" w:hAnsi="Consolas"/>
          <w:color w:val="D4D4D4"/>
          <w:sz w:val="17"/>
          <w:szCs w:val="17"/>
        </w:rPr>
        <w:t xml:space="preserve">    H --&gt; D</w:t>
      </w:r>
    </w:p>
    <w:p>
      <w:pPr>
        <w:shd w:fill="1E1E1E"/>
        <w:spacing w:after="0"/>
      </w:pPr>
      <w:r>
        <w:rPr>
          <w:rFonts w:ascii="Consolas" w:cs="Consolas" w:eastAsia="Consolas" w:hAnsi="Consolas"/>
          <w:color w:val="D4D4D4"/>
          <w:sz w:val="17"/>
          <w:szCs w:val="17"/>
        </w:rPr>
        <w:t xml:space="preserve">    F --&gt; I([Feed Period Close readiness])</w:t>
      </w:r>
    </w:p>
    <w:p>
      <w:pPr>
        <w:spacing w:after="160" w:before="60"/>
      </w:pPr>
      <w:r>
        <w:rPr>
          <w:i/>
          <w:iCs/>
          <w:color w:val="595959"/>
          <w:sz w:val="18"/>
          <w:szCs w:val="18"/>
        </w:rPr>
        <w:t xml:space="preserve">Ref: FR-REC-001.</w:t>
      </w:r>
    </w:p>
    <w:p>
      <w:pPr>
        <w:pStyle w:val="Heading2"/>
        <w:spacing w:after="160" w:before="320"/>
      </w:pPr>
      <w:r>
        <w:rPr>
          <w:b/>
          <w:bCs/>
        </w:rPr>
        <w:t xml:space="preserve">Figure 31.7 — Audit Desk Review and Period Close</w:t>
      </w:r>
    </w:p>
    <w:p>
      <w:pPr>
        <w:spacing w:after="40" w:before="120"/>
      </w:pPr>
      <w:r>
        <w:rPr>
          <w:b/>
          <w:bCs/>
          <w:color w:val="1F3864"/>
          <w:sz w:val="19"/>
          <w:szCs w:val="19"/>
        </w:rPr>
        <w:t xml:space="preserve">mermaid</w:t>
      </w:r>
    </w:p>
    <w:p>
      <w:pPr>
        <w:shd w:fill="1E1E1E"/>
        <w:spacing w:after="0"/>
      </w:pPr>
      <w:r>
        <w:rPr>
          <w:rFonts w:ascii="Consolas" w:cs="Consolas" w:eastAsia="Consolas" w:hAnsi="Consolas"/>
          <w:color w:val="D4D4D4"/>
          <w:sz w:val="17"/>
          <w:szCs w:val="17"/>
        </w:rPr>
        <w:t xml:space="preserve">flowchart TD</w:t>
      </w:r>
    </w:p>
    <w:p>
      <w:pPr>
        <w:shd w:fill="1E1E1E"/>
        <w:spacing w:after="0"/>
      </w:pPr>
      <w:r>
        <w:rPr>
          <w:rFonts w:ascii="Consolas" w:cs="Consolas" w:eastAsia="Consolas" w:hAnsi="Consolas"/>
          <w:color w:val="D4D4D4"/>
          <w:sz w:val="17"/>
          <w:szCs w:val="17"/>
        </w:rPr>
        <w:t xml:space="preserve">    A([Start]) --&gt; B[List open exceptions: validation, reconciliation, costing, AI]</w:t>
      </w:r>
    </w:p>
    <w:p>
      <w:pPr>
        <w:shd w:fill="1E1E1E"/>
        <w:spacing w:after="0"/>
      </w:pPr>
      <w:r>
        <w:rPr>
          <w:rFonts w:ascii="Consolas" w:cs="Consolas" w:eastAsia="Consolas" w:hAnsi="Consolas"/>
          <w:color w:val="D4D4D4"/>
          <w:sz w:val="17"/>
          <w:szCs w:val="17"/>
        </w:rPr>
        <w:t xml:space="preserve">    B --&gt; C[Auditor/CMA reviews evidence via Data Lineage]</w:t>
      </w:r>
    </w:p>
    <w:p>
      <w:pPr>
        <w:shd w:fill="1E1E1E"/>
        <w:spacing w:after="0"/>
      </w:pPr>
      <w:r>
        <w:rPr>
          <w:rFonts w:ascii="Consolas" w:cs="Consolas" w:eastAsia="Consolas" w:hAnsi="Consolas"/>
          <w:color w:val="D4D4D4"/>
          <w:sz w:val="17"/>
          <w:szCs w:val="17"/>
        </w:rPr>
        <w:t xml:space="preserve">    C --&gt; D{Approve or Reject?}</w:t>
      </w:r>
    </w:p>
    <w:p>
      <w:pPr>
        <w:shd w:fill="1E1E1E"/>
        <w:spacing w:after="0"/>
      </w:pPr>
      <w:r>
        <w:rPr>
          <w:rFonts w:ascii="Consolas" w:cs="Consolas" w:eastAsia="Consolas" w:hAnsi="Consolas"/>
          <w:color w:val="D4D4D4"/>
          <w:sz w:val="17"/>
          <w:szCs w:val="17"/>
        </w:rPr>
        <w:t xml:space="preserve">    D -- Reject --&gt; E[Send back for correction]</w:t>
      </w:r>
    </w:p>
    <w:p>
      <w:pPr>
        <w:shd w:fill="1E1E1E"/>
        <w:spacing w:after="0"/>
      </w:pPr>
      <w:r>
        <w:rPr>
          <w:rFonts w:ascii="Consolas" w:cs="Consolas" w:eastAsia="Consolas" w:hAnsi="Consolas"/>
          <w:color w:val="D4D4D4"/>
          <w:sz w:val="17"/>
          <w:szCs w:val="17"/>
        </w:rPr>
        <w:t xml:space="preserve">    E --&gt; B</w:t>
      </w:r>
    </w:p>
    <w:p>
      <w:pPr>
        <w:shd w:fill="1E1E1E"/>
        <w:spacing w:after="0"/>
      </w:pPr>
      <w:r>
        <w:rPr>
          <w:rFonts w:ascii="Consolas" w:cs="Consolas" w:eastAsia="Consolas" w:hAnsi="Consolas"/>
          <w:color w:val="D4D4D4"/>
          <w:sz w:val="17"/>
          <w:szCs w:val="17"/>
        </w:rPr>
        <w:t xml:space="preserve">    D -- Approve --&gt; F[Log resolution with justification]</w:t>
      </w:r>
    </w:p>
    <w:p>
      <w:pPr>
        <w:shd w:fill="1E1E1E"/>
        <w:spacing w:after="0"/>
      </w:pPr>
      <w:r>
        <w:rPr>
          <w:rFonts w:ascii="Consolas" w:cs="Consolas" w:eastAsia="Consolas" w:hAnsi="Consolas"/>
          <w:color w:val="D4D4D4"/>
          <w:sz w:val="17"/>
          <w:szCs w:val="17"/>
        </w:rPr>
        <w:t xml:space="preserve">    F --&gt; G{All exceptions resolved?}</w:t>
      </w:r>
    </w:p>
    <w:p>
      <w:pPr>
        <w:shd w:fill="1E1E1E"/>
        <w:spacing w:after="0"/>
      </w:pPr>
      <w:r>
        <w:rPr>
          <w:rFonts w:ascii="Consolas" w:cs="Consolas" w:eastAsia="Consolas" w:hAnsi="Consolas"/>
          <w:color w:val="D4D4D4"/>
          <w:sz w:val="17"/>
          <w:szCs w:val="17"/>
        </w:rPr>
        <w:t xml:space="preserve">    G -- No --&gt; B</w:t>
      </w:r>
    </w:p>
    <w:p>
      <w:pPr>
        <w:shd w:fill="1E1E1E"/>
        <w:spacing w:after="0"/>
      </w:pPr>
      <w:r>
        <w:rPr>
          <w:rFonts w:ascii="Consolas" w:cs="Consolas" w:eastAsia="Consolas" w:hAnsi="Consolas"/>
          <w:color w:val="D4D4D4"/>
          <w:sz w:val="17"/>
          <w:szCs w:val="17"/>
        </w:rPr>
        <w:t xml:space="preserve">    G -- Yes --&gt; H[Period Close readiness checklist passes]</w:t>
      </w:r>
    </w:p>
    <w:p>
      <w:pPr>
        <w:shd w:fill="1E1E1E"/>
        <w:spacing w:after="0"/>
      </w:pPr>
      <w:r>
        <w:rPr>
          <w:rFonts w:ascii="Consolas" w:cs="Consolas" w:eastAsia="Consolas" w:hAnsi="Consolas"/>
          <w:color w:val="D4D4D4"/>
          <w:sz w:val="17"/>
          <w:szCs w:val="17"/>
        </w:rPr>
        <w:t xml:space="preserve">    H --&gt; I[CMA confirms Lock]</w:t>
      </w:r>
    </w:p>
    <w:p>
      <w:pPr>
        <w:shd w:fill="1E1E1E"/>
        <w:spacing w:after="0"/>
      </w:pPr>
      <w:r>
        <w:rPr>
          <w:rFonts w:ascii="Consolas" w:cs="Consolas" w:eastAsia="Consolas" w:hAnsi="Consolas"/>
          <w:color w:val="D4D4D4"/>
          <w:sz w:val="17"/>
          <w:szCs w:val="17"/>
        </w:rPr>
        <w:t xml:space="preserve">    I --&gt; J[Create Costing Version snapshot; disable further changes]</w:t>
      </w:r>
    </w:p>
    <w:p>
      <w:pPr>
        <w:shd w:fill="1E1E1E"/>
        <w:spacing w:after="0"/>
      </w:pPr>
      <w:r>
        <w:rPr>
          <w:rFonts w:ascii="Consolas" w:cs="Consolas" w:eastAsia="Consolas" w:hAnsi="Consolas"/>
          <w:color w:val="D4D4D4"/>
          <w:sz w:val="17"/>
          <w:szCs w:val="17"/>
        </w:rPr>
        <w:t xml:space="preserve">    J --&gt; K([Notify Management/Auditor: period closed])</w:t>
      </w:r>
    </w:p>
    <w:p>
      <w:pPr>
        <w:spacing w:after="160" w:before="60"/>
      </w:pPr>
      <w:r>
        <w:rPr>
          <w:i/>
          <w:iCs/>
          <w:color w:val="595959"/>
          <w:sz w:val="18"/>
          <w:szCs w:val="18"/>
        </w:rPr>
        <w:t xml:space="preserve">Ref: FR-AUD-001, FR-AUD-002, BR-AUD-001, BR-PER-001.</w:t>
      </w:r>
    </w:p>
    <w:p>
      <w:pPr>
        <w:pStyle w:val="Heading2"/>
        <w:spacing w:after="160" w:before="320"/>
      </w:pPr>
      <w:r>
        <w:rPr>
          <w:b/>
          <w:bCs/>
        </w:rPr>
        <w:t xml:space="preserve">Figure 31.8 — AI Observation</w:t>
      </w:r>
    </w:p>
    <w:p>
      <w:pPr>
        <w:spacing w:after="40" w:before="120"/>
      </w:pPr>
      <w:r>
        <w:rPr>
          <w:b/>
          <w:bCs/>
          <w:color w:val="1F3864"/>
          <w:sz w:val="19"/>
          <w:szCs w:val="19"/>
        </w:rPr>
        <w:t xml:space="preserve">mermaid</w:t>
      </w:r>
    </w:p>
    <w:p>
      <w:pPr>
        <w:shd w:fill="1E1E1E"/>
        <w:spacing w:after="0"/>
      </w:pPr>
      <w:r>
        <w:rPr>
          <w:rFonts w:ascii="Consolas" w:cs="Consolas" w:eastAsia="Consolas" w:hAnsi="Consolas"/>
          <w:color w:val="D4D4D4"/>
          <w:sz w:val="17"/>
          <w:szCs w:val="17"/>
        </w:rPr>
        <w:t xml:space="preserve">flowchart TD</w:t>
      </w:r>
    </w:p>
    <w:p>
      <w:pPr>
        <w:shd w:fill="1E1E1E"/>
        <w:spacing w:after="0"/>
      </w:pPr>
      <w:r>
        <w:rPr>
          <w:rFonts w:ascii="Consolas" w:cs="Consolas" w:eastAsia="Consolas" w:hAnsi="Consolas"/>
          <w:color w:val="D4D4D4"/>
          <w:sz w:val="17"/>
          <w:szCs w:val="17"/>
        </w:rPr>
        <w:t xml:space="preserve">    A([Start: threshold breach detected, e.g. cost variance]) --&gt; B[System assembles Facts + Calculations]</w:t>
      </w:r>
    </w:p>
    <w:p>
      <w:pPr>
        <w:shd w:fill="1E1E1E"/>
        <w:spacing w:after="0"/>
      </w:pPr>
      <w:r>
        <w:rPr>
          <w:rFonts w:ascii="Consolas" w:cs="Consolas" w:eastAsia="Consolas" w:hAnsi="Consolas"/>
          <w:color w:val="D4D4D4"/>
          <w:sz w:val="17"/>
          <w:szCs w:val="17"/>
        </w:rPr>
        <w:t xml:space="preserve">    B --&gt; C[AI Integration Layer generates Inference/Prediction with confidence]</w:t>
      </w:r>
    </w:p>
    <w:p>
      <w:pPr>
        <w:shd w:fill="1E1E1E"/>
        <w:spacing w:after="0"/>
      </w:pPr>
      <w:r>
        <w:rPr>
          <w:rFonts w:ascii="Consolas" w:cs="Consolas" w:eastAsia="Consolas" w:hAnsi="Consolas"/>
          <w:color w:val="D4D4D4"/>
          <w:sz w:val="17"/>
          <w:szCs w:val="17"/>
        </w:rPr>
        <w:t xml:space="preserve">    C --&gt; D[Observation logged; surfaced on CMA Dashboard]</w:t>
      </w:r>
    </w:p>
    <w:p>
      <w:pPr>
        <w:shd w:fill="1E1E1E"/>
        <w:spacing w:after="0"/>
      </w:pPr>
      <w:r>
        <w:rPr>
          <w:rFonts w:ascii="Consolas" w:cs="Consolas" w:eastAsia="Consolas" w:hAnsi="Consolas"/>
          <w:color w:val="D4D4D4"/>
          <w:sz w:val="17"/>
          <w:szCs w:val="17"/>
        </w:rPr>
        <w:t xml:space="preserve">    D --&gt; E{CMA reviews}</w:t>
      </w:r>
    </w:p>
    <w:p>
      <w:pPr>
        <w:shd w:fill="1E1E1E"/>
        <w:spacing w:after="0"/>
      </w:pPr>
      <w:r>
        <w:rPr>
          <w:rFonts w:ascii="Consolas" w:cs="Consolas" w:eastAsia="Consolas" w:hAnsi="Consolas"/>
          <w:color w:val="D4D4D4"/>
          <w:sz w:val="17"/>
          <w:szCs w:val="17"/>
        </w:rPr>
        <w:t xml:space="preserve">    E -- Accept/Act --&gt; F[CMA takes corrective action manually; outcome logged]</w:t>
      </w:r>
    </w:p>
    <w:p>
      <w:pPr>
        <w:shd w:fill="1E1E1E"/>
        <w:spacing w:after="0"/>
      </w:pPr>
      <w:r>
        <w:rPr>
          <w:rFonts w:ascii="Consolas" w:cs="Consolas" w:eastAsia="Consolas" w:hAnsi="Consolas"/>
          <w:color w:val="D4D4D4"/>
          <w:sz w:val="17"/>
          <w:szCs w:val="17"/>
        </w:rPr>
        <w:t xml:space="preserve">    E -- Dismiss --&gt; G[Dismissal logged with reason]</w:t>
      </w:r>
    </w:p>
    <w:p>
      <w:pPr>
        <w:shd w:fill="1E1E1E"/>
        <w:spacing w:after="0"/>
      </w:pPr>
      <w:r>
        <w:rPr>
          <w:rFonts w:ascii="Consolas" w:cs="Consolas" w:eastAsia="Consolas" w:hAnsi="Consolas"/>
          <w:color w:val="D4D4D4"/>
          <w:sz w:val="17"/>
          <w:szCs w:val="17"/>
        </w:rPr>
        <w:t xml:space="preserve">    F --&gt; H([End])</w:t>
      </w:r>
    </w:p>
    <w:p>
      <w:pPr>
        <w:shd w:fill="1E1E1E"/>
        <w:spacing w:after="0"/>
      </w:pPr>
      <w:r>
        <w:rPr>
          <w:rFonts w:ascii="Consolas" w:cs="Consolas" w:eastAsia="Consolas" w:hAnsi="Consolas"/>
          <w:color w:val="D4D4D4"/>
          <w:sz w:val="17"/>
          <w:szCs w:val="17"/>
        </w:rPr>
        <w:t xml:space="preserve">    G --&gt; H</w:t>
      </w:r>
    </w:p>
    <w:p>
      <w:pPr>
        <w:spacing w:after="160" w:before="60"/>
      </w:pPr>
      <w:r>
        <w:rPr>
          <w:i/>
          <w:iCs/>
          <w:color w:val="595959"/>
          <w:sz w:val="18"/>
          <w:szCs w:val="18"/>
        </w:rPr>
        <w:t xml:space="preserve">Ref: FR-AI-001, BR-AI-001, BR-AI-002, BR-AI-003.</w:t>
      </w:r>
    </w:p>
    <w:p>
      <w:pPr>
        <w:pStyle w:val="Heading2"/>
        <w:spacing w:after="160" w:before="320"/>
      </w:pPr>
      <w:r>
        <w:rPr>
          <w:b/>
          <w:bCs/>
        </w:rPr>
        <w:t xml:space="preserve">31.9 Additional Flows (Summary)</w:t>
      </w:r>
    </w:p>
    <w:p>
      <w:pPr>
        <w:spacing w:after="160"/>
      </w:pPr>
      <w:r>
        <w:t xml:space="preserve">The following flows follow the same Start/Process/Decision/End pattern and are summarised here; full diagrams follow the same conventions as above and can be expanded on request.</w:t>
      </w:r>
    </w:p>
    <w:tbl>
      <w:tblPr>
        <w:tblW w:type="dxa" w:w="940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72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8"/>
                <w:szCs w:val="18"/>
              </w:rPr>
              <w:t xml:space="preserve">Flow</w:t>
            </w:r>
          </w:p>
        </w:tc>
        <w:tc>
          <w:tcPr>
            <w:tcW w:type="dxa" w:w="7200"/>
            <w:shd w:fill="1F3864" w:color="auto" w:val="clear"/>
            <w:tcMar>
              <w:top w:type="dxa" w:w="60"/>
              <w:left w:type="dxa" w:w="100"/>
              <w:bottom w:type="dxa" w:w="60"/>
              <w:right w:type="dxa" w:w="100"/>
            </w:tcMar>
            <w:vAlign w:val="center"/>
          </w:tcPr>
          <w:p>
            <w:pPr>
              <w:jc w:val="left"/>
            </w:pPr>
            <w:r>
              <w:rPr>
                <w:b/>
                <w:bCs/>
                <w:color w:val="FFFFFF"/>
                <w:sz w:val="18"/>
                <w:szCs w:val="18"/>
              </w:rPr>
              <w:t xml:space="preserve">Summary</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Customer Onboarding</w:t>
            </w:r>
          </w:p>
        </w:tc>
        <w:tc>
          <w:tcPr>
            <w:tcW w:type="dxa" w:w="7200"/>
            <w:tcMar>
              <w:top w:type="dxa" w:w="60"/>
              <w:left w:type="dxa" w:w="100"/>
              <w:bottom w:type="dxa" w:w="60"/>
              <w:right w:type="dxa" w:w="100"/>
            </w:tcMar>
            <w:vAlign w:val="center"/>
          </w:tcPr>
          <w:p>
            <w:pPr>
              <w:jc w:val="left"/>
            </w:pPr>
            <w:r>
              <w:rPr>
                <w:b w:val="false"/>
                <w:bCs w:val="false"/>
                <w:sz w:val="18"/>
                <w:szCs w:val="18"/>
              </w:rPr>
              <w:t xml:space="preserve">Platform Admin creates Tenant → sets subscription → creates first Customer Administrator → Customer Admin builds org hierarchy → creates further users.</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User Creation</w:t>
            </w:r>
          </w:p>
        </w:tc>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See FR-USER-001: Admin submits form → uniqueness/role validation → record created Pending → activation notification → user sets password → Active.</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Variance Calculation</w:t>
            </w:r>
          </w:p>
        </w:tc>
        <w:tc>
          <w:tcPr>
            <w:tcW w:type="dxa" w:w="7200"/>
            <w:tcMar>
              <w:top w:type="dxa" w:w="60"/>
              <w:left w:type="dxa" w:w="100"/>
              <w:bottom w:type="dxa" w:w="60"/>
              <w:right w:type="dxa" w:w="100"/>
            </w:tcMar>
            <w:vAlign w:val="center"/>
          </w:tcPr>
          <w:p>
            <w:pPr>
              <w:jc w:val="left"/>
            </w:pPr>
            <w:r>
              <w:rPr>
                <w:b w:val="false"/>
                <w:bCs w:val="false"/>
                <w:sz w:val="18"/>
                <w:szCs w:val="18"/>
              </w:rPr>
              <w:t xml:space="preserve">Sub-flow of Figure 31.5's downstream Standard vs Actual step: retrieve Standard + Actual results → compute total variance → decompose into sub-variances (BR-VAR-001) → build Cost Bridge.</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Report Generation</w:t>
            </w:r>
          </w:p>
        </w:tc>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Actor selects filters → system checks permission/scope → retrieves data → renders → actor exports/prints → report_logs entry written.</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Cost Simulation (Phase 2)</w:t>
            </w:r>
          </w:p>
        </w:tc>
        <w:tc>
          <w:tcPr>
            <w:tcW w:type="dxa" w:w="7200"/>
            <w:tcMar>
              <w:top w:type="dxa" w:w="60"/>
              <w:left w:type="dxa" w:w="100"/>
              <w:bottom w:type="dxa" w:w="60"/>
              <w:right w:type="dxa" w:w="100"/>
            </w:tcMar>
            <w:vAlign w:val="center"/>
          </w:tcPr>
          <w:p>
            <w:pPr>
              <w:jc w:val="left"/>
            </w:pPr>
            <w:r>
              <w:rPr>
                <w:b w:val="false"/>
                <w:bCs w:val="false"/>
                <w:sz w:val="18"/>
                <w:szCs w:val="18"/>
              </w:rPr>
              <w:t xml:space="preserve">CMA defines what-if parameters → engine runs a shadow costing pass without writing to costing_results → results shown read-only, clearly marked Simulation.</w:t>
            </w:r>
          </w:p>
        </w:tc>
      </w:tr>
    </w:tbl>
    <w:p>
      <w:r>
        <w:br w:type="page"/>
      </w:r>
    </w:p>
    <w:p>
      <w:pPr>
        <w:pStyle w:val="Heading1"/>
        <w:spacing w:after="240" w:before="480"/>
      </w:pPr>
      <w:r>
        <w:rPr>
          <w:b/>
          <w:bCs/>
        </w:rPr>
        <w:t xml:space="preserve">32. UML Diagrams</w:t>
      </w:r>
    </w:p>
    <w:p>
      <w:pPr>
        <w:spacing w:after="160"/>
      </w:pPr>
      <w:r>
        <w:t xml:space="preserve">Diagrams are expressed in Mermaid syntax (or PlantUML where Mermaid has no native construct, as with the Use Case Diagram below), per the source note's allowance. Each is numbered as a Figure with a short explanation.</w:t>
      </w:r>
    </w:p>
    <w:p>
      <w:pPr>
        <w:pStyle w:val="Heading2"/>
        <w:spacing w:after="160" w:before="320"/>
      </w:pPr>
      <w:r>
        <w:rPr>
          <w:b/>
          <w:bCs/>
        </w:rPr>
        <w:t xml:space="preserve">Figure 32.1 — Use Case Diagram</w:t>
      </w:r>
    </w:p>
    <w:p>
      <w:pPr>
        <w:spacing w:after="40" w:before="120"/>
      </w:pPr>
      <w:r>
        <w:rPr>
          <w:b/>
          <w:bCs/>
          <w:color w:val="1F3864"/>
          <w:sz w:val="19"/>
          <w:szCs w:val="19"/>
        </w:rPr>
        <w:t xml:space="preserve">plantuml</w:t>
      </w:r>
    </w:p>
    <w:p>
      <w:pPr>
        <w:shd w:fill="1E1E1E"/>
        <w:spacing w:after="0"/>
      </w:pPr>
      <w:r>
        <w:rPr>
          <w:rFonts w:ascii="Consolas" w:cs="Consolas" w:eastAsia="Consolas" w:hAnsi="Consolas"/>
          <w:color w:val="D4D4D4"/>
          <w:sz w:val="17"/>
          <w:szCs w:val="17"/>
        </w:rPr>
        <w:t xml:space="preserve">@startuml</w:t>
      </w:r>
    </w:p>
    <w:p>
      <w:pPr>
        <w:shd w:fill="1E1E1E"/>
        <w:spacing w:after="0"/>
      </w:pPr>
      <w:r>
        <w:rPr>
          <w:rFonts w:ascii="Consolas" w:cs="Consolas" w:eastAsia="Consolas" w:hAnsi="Consolas"/>
          <w:color w:val="D4D4D4"/>
          <w:sz w:val="17"/>
          <w:szCs w:val="17"/>
        </w:rPr>
        <w:t xml:space="preserve">left to right direction</w:t>
      </w:r>
    </w:p>
    <w:p>
      <w:pPr>
        <w:shd w:fill="1E1E1E"/>
        <w:spacing w:after="0"/>
      </w:pPr>
      <w:r>
        <w:rPr>
          <w:rFonts w:ascii="Consolas" w:cs="Consolas" w:eastAsia="Consolas" w:hAnsi="Consolas"/>
          <w:color w:val="D4D4D4"/>
          <w:sz w:val="17"/>
          <w:szCs w:val="17"/>
        </w:rPr>
        <w:t xml:space="preserve">actor "Platform Administrator" as PA</w:t>
      </w:r>
    </w:p>
    <w:p>
      <w:pPr>
        <w:shd w:fill="1E1E1E"/>
        <w:spacing w:after="0"/>
      </w:pPr>
      <w:r>
        <w:rPr>
          <w:rFonts w:ascii="Consolas" w:cs="Consolas" w:eastAsia="Consolas" w:hAnsi="Consolas"/>
          <w:color w:val="D4D4D4"/>
          <w:sz w:val="17"/>
          <w:szCs w:val="17"/>
        </w:rPr>
        <w:t xml:space="preserve">actor "CMA / Cost Accountant" as CMA</w:t>
      </w:r>
    </w:p>
    <w:p>
      <w:pPr>
        <w:shd w:fill="1E1E1E"/>
        <w:spacing w:after="0"/>
      </w:pPr>
      <w:r>
        <w:rPr>
          <w:rFonts w:ascii="Consolas" w:cs="Consolas" w:eastAsia="Consolas" w:hAnsi="Consolas"/>
          <w:color w:val="D4D4D4"/>
          <w:sz w:val="17"/>
          <w:szCs w:val="17"/>
        </w:rPr>
        <w:t xml:space="preserve">actor "Customer Administrator" as CA</w:t>
      </w:r>
    </w:p>
    <w:p>
      <w:pPr>
        <w:shd w:fill="1E1E1E"/>
        <w:spacing w:after="0"/>
      </w:pPr>
      <w:r>
        <w:rPr>
          <w:rFonts w:ascii="Consolas" w:cs="Consolas" w:eastAsia="Consolas" w:hAnsi="Consolas"/>
          <w:color w:val="D4D4D4"/>
          <w:sz w:val="17"/>
          <w:szCs w:val="17"/>
        </w:rPr>
        <w:t xml:space="preserve">actor "Management" as MGMT</w:t>
      </w:r>
    </w:p>
    <w:p>
      <w:pPr>
        <w:shd w:fill="1E1E1E"/>
        <w:spacing w:after="0"/>
      </w:pPr>
      <w:r>
        <w:rPr>
          <w:rFonts w:ascii="Consolas" w:cs="Consolas" w:eastAsia="Consolas" w:hAnsi="Consolas"/>
          <w:color w:val="D4D4D4"/>
          <w:sz w:val="17"/>
          <w:szCs w:val="17"/>
        </w:rPr>
        <w:t xml:space="preserve">actor "Auditor / Reviewer" as AUD</w:t>
      </w:r>
    </w:p>
    <w:p>
      <w:pPr>
        <w:shd w:fill="1E1E1E"/>
        <w:spacing w:after="0"/>
      </w:pPr>
      <w:r>
        <w:rPr>
          <w:rFonts w:ascii="Consolas" w:cs="Consolas" w:eastAsia="Consolas" w:hAnsi="Consolas"/>
          <w:color w:val="D4D4D4"/>
          <w:sz w:val="17"/>
          <w:szCs w:val="17"/>
        </w:rPr>
        <w:t xml:space="preserve">rectangle Cost360 {</w:t>
      </w:r>
    </w:p>
    <w:p>
      <w:pPr>
        <w:shd w:fill="1E1E1E"/>
        <w:spacing w:after="0"/>
      </w:pPr>
      <w:r>
        <w:rPr>
          <w:rFonts w:ascii="Consolas" w:cs="Consolas" w:eastAsia="Consolas" w:hAnsi="Consolas"/>
          <w:color w:val="D4D4D4"/>
          <w:sz w:val="17"/>
          <w:szCs w:val="17"/>
        </w:rPr>
        <w:t xml:space="preserve">  usecase "Onboard Tenant" as UC1</w:t>
      </w:r>
    </w:p>
    <w:p>
      <w:pPr>
        <w:shd w:fill="1E1E1E"/>
        <w:spacing w:after="0"/>
      </w:pPr>
      <w:r>
        <w:rPr>
          <w:rFonts w:ascii="Consolas" w:cs="Consolas" w:eastAsia="Consolas" w:hAnsi="Consolas"/>
          <w:color w:val="D4D4D4"/>
          <w:sz w:val="17"/>
          <w:szCs w:val="17"/>
        </w:rPr>
        <w:t xml:space="preserve">  usecase "Manage Users" as UC2</w:t>
      </w:r>
    </w:p>
    <w:p>
      <w:pPr>
        <w:shd w:fill="1E1E1E"/>
        <w:spacing w:after="0"/>
      </w:pPr>
      <w:r>
        <w:rPr>
          <w:rFonts w:ascii="Consolas" w:cs="Consolas" w:eastAsia="Consolas" w:hAnsi="Consolas"/>
          <w:color w:val="D4D4D4"/>
          <w:sz w:val="17"/>
          <w:szCs w:val="17"/>
        </w:rPr>
        <w:t xml:space="preserve">  usecase "Upload Source Data" as UC3</w:t>
      </w:r>
    </w:p>
    <w:p>
      <w:pPr>
        <w:shd w:fill="1E1E1E"/>
        <w:spacing w:after="0"/>
      </w:pPr>
      <w:r>
        <w:rPr>
          <w:rFonts w:ascii="Consolas" w:cs="Consolas" w:eastAsia="Consolas" w:hAnsi="Consolas"/>
          <w:color w:val="D4D4D4"/>
          <w:sz w:val="17"/>
          <w:szCs w:val="17"/>
        </w:rPr>
        <w:t xml:space="preserve">  usecase "Configure Mapping" as UC4</w:t>
      </w:r>
    </w:p>
    <w:p>
      <w:pPr>
        <w:shd w:fill="1E1E1E"/>
        <w:spacing w:after="0"/>
      </w:pPr>
      <w:r>
        <w:rPr>
          <w:rFonts w:ascii="Consolas" w:cs="Consolas" w:eastAsia="Consolas" w:hAnsi="Consolas"/>
          <w:color w:val="D4D4D4"/>
          <w:sz w:val="17"/>
          <w:szCs w:val="17"/>
        </w:rPr>
        <w:t xml:space="preserve">  usecase "Run Costing" as UC5</w:t>
      </w:r>
    </w:p>
    <w:p>
      <w:pPr>
        <w:shd w:fill="1E1E1E"/>
        <w:spacing w:after="0"/>
      </w:pPr>
      <w:r>
        <w:rPr>
          <w:rFonts w:ascii="Consolas" w:cs="Consolas" w:eastAsia="Consolas" w:hAnsi="Consolas"/>
          <w:color w:val="D4D4D4"/>
          <w:sz w:val="17"/>
          <w:szCs w:val="17"/>
        </w:rPr>
        <w:t xml:space="preserve">  usecase "Reconcile" as UC6</w:t>
      </w:r>
    </w:p>
    <w:p>
      <w:pPr>
        <w:shd w:fill="1E1E1E"/>
        <w:spacing w:after="0"/>
      </w:pPr>
      <w:r>
        <w:rPr>
          <w:rFonts w:ascii="Consolas" w:cs="Consolas" w:eastAsia="Consolas" w:hAnsi="Consolas"/>
          <w:color w:val="D4D4D4"/>
          <w:sz w:val="17"/>
          <w:szCs w:val="17"/>
        </w:rPr>
        <w:t xml:space="preserve">  usecase "Review Audit Desk" as UC7</w:t>
      </w:r>
    </w:p>
    <w:p>
      <w:pPr>
        <w:shd w:fill="1E1E1E"/>
        <w:spacing w:after="0"/>
      </w:pPr>
      <w:r>
        <w:rPr>
          <w:rFonts w:ascii="Consolas" w:cs="Consolas" w:eastAsia="Consolas" w:hAnsi="Consolas"/>
          <w:color w:val="D4D4D4"/>
          <w:sz w:val="17"/>
          <w:szCs w:val="17"/>
        </w:rPr>
        <w:t xml:space="preserve">  usecase "Close Period" as UC8</w:t>
      </w:r>
    </w:p>
    <w:p>
      <w:pPr>
        <w:shd w:fill="1E1E1E"/>
        <w:spacing w:after="0"/>
      </w:pPr>
      <w:r>
        <w:rPr>
          <w:rFonts w:ascii="Consolas" w:cs="Consolas" w:eastAsia="Consolas" w:hAnsi="Consolas"/>
          <w:color w:val="D4D4D4"/>
          <w:sz w:val="17"/>
          <w:szCs w:val="17"/>
        </w:rPr>
        <w:t xml:space="preserve">  usecase "View Dashboards/Reports" as UC9</w:t>
      </w:r>
    </w:p>
    <w:p>
      <w:pPr>
        <w:shd w:fill="1E1E1E"/>
        <w:spacing w:after="0"/>
      </w:pPr>
      <w:r>
        <w:rPr>
          <w:rFonts w:ascii="Consolas" w:cs="Consolas" w:eastAsia="Consolas" w:hAnsi="Consolas"/>
          <w:color w:val="D4D4D4"/>
          <w:sz w:val="17"/>
          <w:szCs w:val="17"/>
        </w:rPr>
        <w:t xml:space="preserve">  usecase "Query AI Copilot" as UC10</w:t>
      </w:r>
    </w:p>
    <w:p>
      <w:pPr>
        <w:shd w:fill="1E1E1E"/>
        <w:spacing w:after="0"/>
      </w:pPr>
      <w:r>
        <w:rPr>
          <w:rFonts w:ascii="Consolas" w:cs="Consolas" w:eastAsia="Consolas" w:hAnsi="Consolas"/>
          <w:color w:val="D4D4D4"/>
          <w:sz w:val="17"/>
          <w:szCs w:val="17"/>
        </w:rPr>
        <w:t xml:space="preserve">}</w:t>
      </w:r>
    </w:p>
    <w:p>
      <w:pPr>
        <w:shd w:fill="1E1E1E"/>
        <w:spacing w:after="0"/>
      </w:pPr>
      <w:r>
        <w:rPr>
          <w:rFonts w:ascii="Consolas" w:cs="Consolas" w:eastAsia="Consolas" w:hAnsi="Consolas"/>
          <w:color w:val="D4D4D4"/>
          <w:sz w:val="17"/>
          <w:szCs w:val="17"/>
        </w:rPr>
        <w:t xml:space="preserve">PA --&gt; UC1</w:t>
      </w:r>
    </w:p>
    <w:p>
      <w:pPr>
        <w:shd w:fill="1E1E1E"/>
        <w:spacing w:after="0"/>
      </w:pPr>
      <w:r>
        <w:rPr>
          <w:rFonts w:ascii="Consolas" w:cs="Consolas" w:eastAsia="Consolas" w:hAnsi="Consolas"/>
          <w:color w:val="D4D4D4"/>
          <w:sz w:val="17"/>
          <w:szCs w:val="17"/>
        </w:rPr>
        <w:t xml:space="preserve">PA --&gt; UC2</w:t>
      </w:r>
    </w:p>
    <w:p>
      <w:pPr>
        <w:shd w:fill="1E1E1E"/>
        <w:spacing w:after="0"/>
      </w:pPr>
      <w:r>
        <w:rPr>
          <w:rFonts w:ascii="Consolas" w:cs="Consolas" w:eastAsia="Consolas" w:hAnsi="Consolas"/>
          <w:color w:val="D4D4D4"/>
          <w:sz w:val="17"/>
          <w:szCs w:val="17"/>
        </w:rPr>
        <w:t xml:space="preserve">CA --&gt; UC2</w:t>
      </w:r>
    </w:p>
    <w:p>
      <w:pPr>
        <w:shd w:fill="1E1E1E"/>
        <w:spacing w:after="0"/>
      </w:pPr>
      <w:r>
        <w:rPr>
          <w:rFonts w:ascii="Consolas" w:cs="Consolas" w:eastAsia="Consolas" w:hAnsi="Consolas"/>
          <w:color w:val="D4D4D4"/>
          <w:sz w:val="17"/>
          <w:szCs w:val="17"/>
        </w:rPr>
        <w:t xml:space="preserve">CMA --&gt; UC3</w:t>
      </w:r>
    </w:p>
    <w:p>
      <w:pPr>
        <w:shd w:fill="1E1E1E"/>
        <w:spacing w:after="0"/>
      </w:pPr>
      <w:r>
        <w:rPr>
          <w:rFonts w:ascii="Consolas" w:cs="Consolas" w:eastAsia="Consolas" w:hAnsi="Consolas"/>
          <w:color w:val="D4D4D4"/>
          <w:sz w:val="17"/>
          <w:szCs w:val="17"/>
        </w:rPr>
        <w:t xml:space="preserve">CMA --&gt; UC4</w:t>
      </w:r>
    </w:p>
    <w:p>
      <w:pPr>
        <w:shd w:fill="1E1E1E"/>
        <w:spacing w:after="0"/>
      </w:pPr>
      <w:r>
        <w:rPr>
          <w:rFonts w:ascii="Consolas" w:cs="Consolas" w:eastAsia="Consolas" w:hAnsi="Consolas"/>
          <w:color w:val="D4D4D4"/>
          <w:sz w:val="17"/>
          <w:szCs w:val="17"/>
        </w:rPr>
        <w:t xml:space="preserve">CMA --&gt; UC5</w:t>
      </w:r>
    </w:p>
    <w:p>
      <w:pPr>
        <w:shd w:fill="1E1E1E"/>
        <w:spacing w:after="0"/>
      </w:pPr>
      <w:r>
        <w:rPr>
          <w:rFonts w:ascii="Consolas" w:cs="Consolas" w:eastAsia="Consolas" w:hAnsi="Consolas"/>
          <w:color w:val="D4D4D4"/>
          <w:sz w:val="17"/>
          <w:szCs w:val="17"/>
        </w:rPr>
        <w:t xml:space="preserve">CMA --&gt; UC6</w:t>
      </w:r>
    </w:p>
    <w:p>
      <w:pPr>
        <w:shd w:fill="1E1E1E"/>
        <w:spacing w:after="0"/>
      </w:pPr>
      <w:r>
        <w:rPr>
          <w:rFonts w:ascii="Consolas" w:cs="Consolas" w:eastAsia="Consolas" w:hAnsi="Consolas"/>
          <w:color w:val="D4D4D4"/>
          <w:sz w:val="17"/>
          <w:szCs w:val="17"/>
        </w:rPr>
        <w:t xml:space="preserve">CMA --&gt; UC8</w:t>
      </w:r>
    </w:p>
    <w:p>
      <w:pPr>
        <w:shd w:fill="1E1E1E"/>
        <w:spacing w:after="0"/>
      </w:pPr>
      <w:r>
        <w:rPr>
          <w:rFonts w:ascii="Consolas" w:cs="Consolas" w:eastAsia="Consolas" w:hAnsi="Consolas"/>
          <w:color w:val="D4D4D4"/>
          <w:sz w:val="17"/>
          <w:szCs w:val="17"/>
        </w:rPr>
        <w:t xml:space="preserve">CMA --&gt; UC10</w:t>
      </w:r>
    </w:p>
    <w:p>
      <w:pPr>
        <w:shd w:fill="1E1E1E"/>
        <w:spacing w:after="0"/>
      </w:pPr>
      <w:r>
        <w:rPr>
          <w:rFonts w:ascii="Consolas" w:cs="Consolas" w:eastAsia="Consolas" w:hAnsi="Consolas"/>
          <w:color w:val="D4D4D4"/>
          <w:sz w:val="17"/>
          <w:szCs w:val="17"/>
        </w:rPr>
        <w:t xml:space="preserve">AUD --&gt; UC7</w:t>
      </w:r>
    </w:p>
    <w:p>
      <w:pPr>
        <w:shd w:fill="1E1E1E"/>
        <w:spacing w:after="0"/>
      </w:pPr>
      <w:r>
        <w:rPr>
          <w:rFonts w:ascii="Consolas" w:cs="Consolas" w:eastAsia="Consolas" w:hAnsi="Consolas"/>
          <w:color w:val="D4D4D4"/>
          <w:sz w:val="17"/>
          <w:szCs w:val="17"/>
        </w:rPr>
        <w:t xml:space="preserve">MGMT --&gt; UC9</w:t>
      </w:r>
    </w:p>
    <w:p>
      <w:pPr>
        <w:shd w:fill="1E1E1E"/>
        <w:spacing w:after="0"/>
      </w:pPr>
      <w:r>
        <w:rPr>
          <w:rFonts w:ascii="Consolas" w:cs="Consolas" w:eastAsia="Consolas" w:hAnsi="Consolas"/>
          <w:color w:val="D4D4D4"/>
          <w:sz w:val="17"/>
          <w:szCs w:val="17"/>
        </w:rPr>
        <w:t xml:space="preserve">CMA --&gt; UC9</w:t>
      </w:r>
    </w:p>
    <w:p>
      <w:pPr>
        <w:shd w:fill="1E1E1E"/>
        <w:spacing w:after="0"/>
      </w:pPr>
      <w:r>
        <w:rPr>
          <w:rFonts w:ascii="Consolas" w:cs="Consolas" w:eastAsia="Consolas" w:hAnsi="Consolas"/>
          <w:color w:val="D4D4D4"/>
          <w:sz w:val="17"/>
          <w:szCs w:val="17"/>
        </w:rPr>
        <w:t xml:space="preserve">AUD --&gt; UC9</w:t>
      </w:r>
    </w:p>
    <w:p>
      <w:pPr>
        <w:shd w:fill="1E1E1E"/>
        <w:spacing w:after="0"/>
      </w:pPr>
      <w:r>
        <w:rPr>
          <w:rFonts w:ascii="Consolas" w:cs="Consolas" w:eastAsia="Consolas" w:hAnsi="Consolas"/>
          <w:color w:val="D4D4D4"/>
          <w:sz w:val="17"/>
          <w:szCs w:val="17"/>
        </w:rPr>
        <w:t xml:space="preserve">@enduml</w:t>
      </w:r>
    </w:p>
    <w:p>
      <w:pPr>
        <w:spacing w:after="160" w:before="60"/>
      </w:pPr>
      <w:r>
        <w:rPr>
          <w:i/>
          <w:iCs/>
          <w:color w:val="595959"/>
          <w:sz w:val="18"/>
          <w:szCs w:val="18"/>
        </w:rPr>
        <w:t xml:space="preserve">Figure 32.1: Primary actors and their principal use cases.</w:t>
      </w:r>
    </w:p>
    <w:p>
      <w:pPr>
        <w:pStyle w:val="Heading2"/>
        <w:spacing w:after="160" w:before="320"/>
      </w:pPr>
      <w:r>
        <w:rPr>
          <w:b/>
          <w:bCs/>
        </w:rPr>
        <w:t xml:space="preserve">Figure 32.2 — Class Diagram (Major Domain Entities)</w:t>
      </w:r>
    </w:p>
    <w:p>
      <w:pPr>
        <w:spacing w:after="40" w:before="120"/>
      </w:pPr>
      <w:r>
        <w:rPr>
          <w:b/>
          <w:bCs/>
          <w:color w:val="1F3864"/>
          <w:sz w:val="19"/>
          <w:szCs w:val="19"/>
        </w:rPr>
        <w:t xml:space="preserve">mermaid</w:t>
      </w:r>
    </w:p>
    <w:p>
      <w:pPr>
        <w:shd w:fill="1E1E1E"/>
        <w:spacing w:after="0"/>
      </w:pPr>
      <w:r>
        <w:rPr>
          <w:rFonts w:ascii="Consolas" w:cs="Consolas" w:eastAsia="Consolas" w:hAnsi="Consolas"/>
          <w:color w:val="D4D4D4"/>
          <w:sz w:val="17"/>
          <w:szCs w:val="17"/>
        </w:rPr>
        <w:t xml:space="preserve">classDiagram</w:t>
      </w:r>
    </w:p>
    <w:p>
      <w:pPr>
        <w:shd w:fill="1E1E1E"/>
        <w:spacing w:after="0"/>
      </w:pPr>
      <w:r>
        <w:rPr>
          <w:rFonts w:ascii="Consolas" w:cs="Consolas" w:eastAsia="Consolas" w:hAnsi="Consolas"/>
          <w:color w:val="D4D4D4"/>
          <w:sz w:val="17"/>
          <w:szCs w:val="17"/>
        </w:rPr>
        <w:t xml:space="preserve">    class Tenant { +tenant_id +tenant_code +status }</w:t>
      </w:r>
    </w:p>
    <w:p>
      <w:pPr>
        <w:shd w:fill="1E1E1E"/>
        <w:spacing w:after="0"/>
      </w:pPr>
      <w:r>
        <w:rPr>
          <w:rFonts w:ascii="Consolas" w:cs="Consolas" w:eastAsia="Consolas" w:hAnsi="Consolas"/>
          <w:color w:val="D4D4D4"/>
          <w:sz w:val="17"/>
          <w:szCs w:val="17"/>
        </w:rPr>
        <w:t xml:space="preserve">    class OrgUnit { +org_unit_id +unit_type +parent_org_unit_id }</w:t>
      </w:r>
    </w:p>
    <w:p>
      <w:pPr>
        <w:shd w:fill="1E1E1E"/>
        <w:spacing w:after="0"/>
      </w:pPr>
      <w:r>
        <w:rPr>
          <w:rFonts w:ascii="Consolas" w:cs="Consolas" w:eastAsia="Consolas" w:hAnsi="Consolas"/>
          <w:color w:val="D4D4D4"/>
          <w:sz w:val="17"/>
          <w:szCs w:val="17"/>
        </w:rPr>
        <w:t xml:space="preserve">    class Item { +item_id +item_code +valuation_method }</w:t>
      </w:r>
    </w:p>
    <w:p>
      <w:pPr>
        <w:shd w:fill="1E1E1E"/>
        <w:spacing w:after="0"/>
      </w:pPr>
      <w:r>
        <w:rPr>
          <w:rFonts w:ascii="Consolas" w:cs="Consolas" w:eastAsia="Consolas" w:hAnsi="Consolas"/>
          <w:color w:val="D4D4D4"/>
          <w:sz w:val="17"/>
          <w:szCs w:val="17"/>
        </w:rPr>
        <w:t xml:space="preserve">    class BomHeader { +bom_id +parent_item_id +bom_version +status }</w:t>
      </w:r>
    </w:p>
    <w:p>
      <w:pPr>
        <w:shd w:fill="1E1E1E"/>
        <w:spacing w:after="0"/>
      </w:pPr>
      <w:r>
        <w:rPr>
          <w:rFonts w:ascii="Consolas" w:cs="Consolas" w:eastAsia="Consolas" w:hAnsi="Consolas"/>
          <w:color w:val="D4D4D4"/>
          <w:sz w:val="17"/>
          <w:szCs w:val="17"/>
        </w:rPr>
        <w:t xml:space="preserve">    class BomComponent { +bom_component_id +component_item_id +quantity_per }</w:t>
      </w:r>
    </w:p>
    <w:p>
      <w:pPr>
        <w:shd w:fill="1E1E1E"/>
        <w:spacing w:after="0"/>
      </w:pPr>
      <w:r>
        <w:rPr>
          <w:rFonts w:ascii="Consolas" w:cs="Consolas" w:eastAsia="Consolas" w:hAnsi="Consolas"/>
          <w:color w:val="D4D4D4"/>
          <w:sz w:val="17"/>
          <w:szCs w:val="17"/>
        </w:rPr>
        <w:t xml:space="preserve">    class StandardCost { +standard_cost_id +item_id +standard_rate }</w:t>
      </w:r>
    </w:p>
    <w:p>
      <w:pPr>
        <w:shd w:fill="1E1E1E"/>
        <w:spacing w:after="0"/>
      </w:pPr>
      <w:r>
        <w:rPr>
          <w:rFonts w:ascii="Consolas" w:cs="Consolas" w:eastAsia="Consolas" w:hAnsi="Consolas"/>
          <w:color w:val="D4D4D4"/>
          <w:sz w:val="17"/>
          <w:szCs w:val="17"/>
        </w:rPr>
        <w:t xml:space="preserve">    class Upload { +upload_id +source_type +status }</w:t>
      </w:r>
    </w:p>
    <w:p>
      <w:pPr>
        <w:shd w:fill="1E1E1E"/>
        <w:spacing w:after="0"/>
      </w:pPr>
      <w:r>
        <w:rPr>
          <w:rFonts w:ascii="Consolas" w:cs="Consolas" w:eastAsia="Consolas" w:hAnsi="Consolas"/>
          <w:color w:val="D4D4D4"/>
          <w:sz w:val="17"/>
          <w:szCs w:val="17"/>
        </w:rPr>
        <w:t xml:space="preserve">    class MappingConfiguration { +mapping_id +source_system_id }</w:t>
      </w:r>
    </w:p>
    <w:p>
      <w:pPr>
        <w:shd w:fill="1E1E1E"/>
        <w:spacing w:after="0"/>
      </w:pPr>
      <w:r>
        <w:rPr>
          <w:rFonts w:ascii="Consolas" w:cs="Consolas" w:eastAsia="Consolas" w:hAnsi="Consolas"/>
          <w:color w:val="D4D4D4"/>
          <w:sz w:val="17"/>
          <w:szCs w:val="17"/>
        </w:rPr>
        <w:t xml:space="preserve">    class CostingRun { +costing_run_id +run_type +status }</w:t>
      </w:r>
    </w:p>
    <w:p>
      <w:pPr>
        <w:shd w:fill="1E1E1E"/>
        <w:spacing w:after="0"/>
      </w:pPr>
      <w:r>
        <w:rPr>
          <w:rFonts w:ascii="Consolas" w:cs="Consolas" w:eastAsia="Consolas" w:hAnsi="Consolas"/>
          <w:color w:val="D4D4D4"/>
          <w:sz w:val="17"/>
          <w:szCs w:val="17"/>
        </w:rPr>
        <w:t xml:space="preserve">    class CostingResult { +costing_result_id +total_cost }</w:t>
      </w:r>
    </w:p>
    <w:p>
      <w:pPr>
        <w:shd w:fill="1E1E1E"/>
        <w:spacing w:after="0"/>
      </w:pPr>
      <w:r>
        <w:rPr>
          <w:rFonts w:ascii="Consolas" w:cs="Consolas" w:eastAsia="Consolas" w:hAnsi="Consolas"/>
          <w:color w:val="D4D4D4"/>
          <w:sz w:val="17"/>
          <w:szCs w:val="17"/>
        </w:rPr>
        <w:t xml:space="preserve">    class Reconciliation { +reconciliation_id +variance_amount }</w:t>
      </w:r>
    </w:p>
    <w:p>
      <w:pPr>
        <w:shd w:fill="1E1E1E"/>
        <w:spacing w:after="0"/>
      </w:pPr>
      <w:r>
        <w:rPr>
          <w:rFonts w:ascii="Consolas" w:cs="Consolas" w:eastAsia="Consolas" w:hAnsi="Consolas"/>
          <w:color w:val="D4D4D4"/>
          <w:sz w:val="17"/>
          <w:szCs w:val="17"/>
        </w:rPr>
        <w:t xml:space="preserve">    class Period { +period_id +status }</w:t>
      </w:r>
    </w:p>
    <w:p>
      <w:pPr>
        <w:shd w:fill="1E1E1E"/>
        <w:spacing w:after="0"/>
      </w:pPr>
      <w:r>
        <w:rPr>
          <w:rFonts w:ascii="Consolas" w:cs="Consolas" w:eastAsia="Consolas" w:hAnsi="Consolas"/>
          <w:color w:val="D4D4D4"/>
          <w:sz w:val="17"/>
          <w:szCs w:val="17"/>
        </w:rPr>
        <w:t xml:space="preserve">    Tenant "1" --&gt; "*" OrgUnit</w:t>
      </w:r>
    </w:p>
    <w:p>
      <w:pPr>
        <w:shd w:fill="1E1E1E"/>
        <w:spacing w:after="0"/>
      </w:pPr>
      <w:r>
        <w:rPr>
          <w:rFonts w:ascii="Consolas" w:cs="Consolas" w:eastAsia="Consolas" w:hAnsi="Consolas"/>
          <w:color w:val="D4D4D4"/>
          <w:sz w:val="17"/>
          <w:szCs w:val="17"/>
        </w:rPr>
        <w:t xml:space="preserve">    Tenant "1" --&gt; "*" Item</w:t>
      </w:r>
    </w:p>
    <w:p>
      <w:pPr>
        <w:shd w:fill="1E1E1E"/>
        <w:spacing w:after="0"/>
      </w:pPr>
      <w:r>
        <w:rPr>
          <w:rFonts w:ascii="Consolas" w:cs="Consolas" w:eastAsia="Consolas" w:hAnsi="Consolas"/>
          <w:color w:val="D4D4D4"/>
          <w:sz w:val="17"/>
          <w:szCs w:val="17"/>
        </w:rPr>
        <w:t xml:space="preserve">    Item "1" --&gt; "*" BomHeader : parent</w:t>
      </w:r>
    </w:p>
    <w:p>
      <w:pPr>
        <w:shd w:fill="1E1E1E"/>
        <w:spacing w:after="0"/>
      </w:pPr>
      <w:r>
        <w:rPr>
          <w:rFonts w:ascii="Consolas" w:cs="Consolas" w:eastAsia="Consolas" w:hAnsi="Consolas"/>
          <w:color w:val="D4D4D4"/>
          <w:sz w:val="17"/>
          <w:szCs w:val="17"/>
        </w:rPr>
        <w:t xml:space="preserve">    BomHeader "1" --&gt; "*" BomComponent</w:t>
      </w:r>
    </w:p>
    <w:p>
      <w:pPr>
        <w:shd w:fill="1E1E1E"/>
        <w:spacing w:after="0"/>
      </w:pPr>
      <w:r>
        <w:rPr>
          <w:rFonts w:ascii="Consolas" w:cs="Consolas" w:eastAsia="Consolas" w:hAnsi="Consolas"/>
          <w:color w:val="D4D4D4"/>
          <w:sz w:val="17"/>
          <w:szCs w:val="17"/>
        </w:rPr>
        <w:t xml:space="preserve">    Item "1" --&gt; "*" StandardCost</w:t>
      </w:r>
    </w:p>
    <w:p>
      <w:pPr>
        <w:shd w:fill="1E1E1E"/>
        <w:spacing w:after="0"/>
      </w:pPr>
      <w:r>
        <w:rPr>
          <w:rFonts w:ascii="Consolas" w:cs="Consolas" w:eastAsia="Consolas" w:hAnsi="Consolas"/>
          <w:color w:val="D4D4D4"/>
          <w:sz w:val="17"/>
          <w:szCs w:val="17"/>
        </w:rPr>
        <w:t xml:space="preserve">    Upload "1" --&gt; "1" MappingConfiguration</w:t>
      </w:r>
    </w:p>
    <w:p>
      <w:pPr>
        <w:shd w:fill="1E1E1E"/>
        <w:spacing w:after="0"/>
      </w:pPr>
      <w:r>
        <w:rPr>
          <w:rFonts w:ascii="Consolas" w:cs="Consolas" w:eastAsia="Consolas" w:hAnsi="Consolas"/>
          <w:color w:val="D4D4D4"/>
          <w:sz w:val="17"/>
          <w:szCs w:val="17"/>
        </w:rPr>
        <w:t xml:space="preserve">    CostingRun "1" --&gt; "*" CostingResult</w:t>
      </w:r>
    </w:p>
    <w:p>
      <w:pPr>
        <w:shd w:fill="1E1E1E"/>
        <w:spacing w:after="0"/>
      </w:pPr>
      <w:r>
        <w:rPr>
          <w:rFonts w:ascii="Consolas" w:cs="Consolas" w:eastAsia="Consolas" w:hAnsi="Consolas"/>
          <w:color w:val="D4D4D4"/>
          <w:sz w:val="17"/>
          <w:szCs w:val="17"/>
        </w:rPr>
        <w:t xml:space="preserve">    CostingResult "1" --&gt; "1" Item</w:t>
      </w:r>
    </w:p>
    <w:p>
      <w:pPr>
        <w:shd w:fill="1E1E1E"/>
        <w:spacing w:after="0"/>
      </w:pPr>
      <w:r>
        <w:rPr>
          <w:rFonts w:ascii="Consolas" w:cs="Consolas" w:eastAsia="Consolas" w:hAnsi="Consolas"/>
          <w:color w:val="D4D4D4"/>
          <w:sz w:val="17"/>
          <w:szCs w:val="17"/>
        </w:rPr>
        <w:t xml:space="preserve">    Period "1" --&gt; "*" CostingRun</w:t>
      </w:r>
    </w:p>
    <w:p>
      <w:pPr>
        <w:shd w:fill="1E1E1E"/>
        <w:spacing w:after="0"/>
      </w:pPr>
      <w:r>
        <w:rPr>
          <w:rFonts w:ascii="Consolas" w:cs="Consolas" w:eastAsia="Consolas" w:hAnsi="Consolas"/>
          <w:color w:val="D4D4D4"/>
          <w:sz w:val="17"/>
          <w:szCs w:val="17"/>
        </w:rPr>
        <w:t xml:space="preserve">    Period "1" --&gt; "*" Reconciliation</w:t>
      </w:r>
    </w:p>
    <w:p>
      <w:pPr>
        <w:spacing w:after="160" w:before="60"/>
      </w:pPr>
      <w:r>
        <w:rPr>
          <w:i/>
          <w:iCs/>
          <w:color w:val="595959"/>
          <w:sz w:val="18"/>
          <w:szCs w:val="18"/>
        </w:rPr>
        <w:t xml:space="preserve">Figure 32.2: Simplified class view; full attribute lists are in the Data Dictionary (Section 16, Part 2).</w:t>
      </w:r>
    </w:p>
    <w:p>
      <w:pPr>
        <w:pStyle w:val="Heading2"/>
        <w:spacing w:after="160" w:before="320"/>
      </w:pPr>
      <w:r>
        <w:rPr>
          <w:b/>
          <w:bCs/>
        </w:rPr>
        <w:t xml:space="preserve">Figure 32.3 — Entity-Relationship Diagram</w:t>
      </w:r>
    </w:p>
    <w:p>
      <w:pPr>
        <w:spacing w:after="40" w:before="120"/>
      </w:pPr>
      <w:r>
        <w:rPr>
          <w:b/>
          <w:bCs/>
          <w:color w:val="1F3864"/>
          <w:sz w:val="19"/>
          <w:szCs w:val="19"/>
        </w:rPr>
        <w:t xml:space="preserve">mermaid</w:t>
      </w:r>
    </w:p>
    <w:p>
      <w:pPr>
        <w:shd w:fill="1E1E1E"/>
        <w:spacing w:after="0"/>
      </w:pPr>
      <w:r>
        <w:rPr>
          <w:rFonts w:ascii="Consolas" w:cs="Consolas" w:eastAsia="Consolas" w:hAnsi="Consolas"/>
          <w:color w:val="D4D4D4"/>
          <w:sz w:val="17"/>
          <w:szCs w:val="17"/>
        </w:rPr>
        <w:t xml:space="preserve">erDiagram</w:t>
      </w:r>
    </w:p>
    <w:p>
      <w:pPr>
        <w:shd w:fill="1E1E1E"/>
        <w:spacing w:after="0"/>
      </w:pPr>
      <w:r>
        <w:rPr>
          <w:rFonts w:ascii="Consolas" w:cs="Consolas" w:eastAsia="Consolas" w:hAnsi="Consolas"/>
          <w:color w:val="D4D4D4"/>
          <w:sz w:val="17"/>
          <w:szCs w:val="17"/>
        </w:rPr>
        <w:t xml:space="preserve">    TENANTS ||--o{ ORG_UNITS : has</w:t>
      </w:r>
    </w:p>
    <w:p>
      <w:pPr>
        <w:shd w:fill="1E1E1E"/>
        <w:spacing w:after="0"/>
      </w:pPr>
      <w:r>
        <w:rPr>
          <w:rFonts w:ascii="Consolas" w:cs="Consolas" w:eastAsia="Consolas" w:hAnsi="Consolas"/>
          <w:color w:val="D4D4D4"/>
          <w:sz w:val="17"/>
          <w:szCs w:val="17"/>
        </w:rPr>
        <w:t xml:space="preserve">    TENANTS ||--o{ USERS : has</w:t>
      </w:r>
    </w:p>
    <w:p>
      <w:pPr>
        <w:shd w:fill="1E1E1E"/>
        <w:spacing w:after="0"/>
      </w:pPr>
      <w:r>
        <w:rPr>
          <w:rFonts w:ascii="Consolas" w:cs="Consolas" w:eastAsia="Consolas" w:hAnsi="Consolas"/>
          <w:color w:val="D4D4D4"/>
          <w:sz w:val="17"/>
          <w:szCs w:val="17"/>
        </w:rPr>
        <w:t xml:space="preserve">    TENANTS ||--o{ ITEMS : has</w:t>
      </w:r>
    </w:p>
    <w:p>
      <w:pPr>
        <w:shd w:fill="1E1E1E"/>
        <w:spacing w:after="0"/>
      </w:pPr>
      <w:r>
        <w:rPr>
          <w:rFonts w:ascii="Consolas" w:cs="Consolas" w:eastAsia="Consolas" w:hAnsi="Consolas"/>
          <w:color w:val="D4D4D4"/>
          <w:sz w:val="17"/>
          <w:szCs w:val="17"/>
        </w:rPr>
        <w:t xml:space="preserve">    ORG_UNITS ||--o{ ORG_UNITS : "parent of"</w:t>
      </w:r>
    </w:p>
    <w:p>
      <w:pPr>
        <w:shd w:fill="1E1E1E"/>
        <w:spacing w:after="0"/>
      </w:pPr>
      <w:r>
        <w:rPr>
          <w:rFonts w:ascii="Consolas" w:cs="Consolas" w:eastAsia="Consolas" w:hAnsi="Consolas"/>
          <w:color w:val="D4D4D4"/>
          <w:sz w:val="17"/>
          <w:szCs w:val="17"/>
        </w:rPr>
        <w:t xml:space="preserve">    ITEMS ||--o{ BOM_HEADER : "parent item"</w:t>
      </w:r>
    </w:p>
    <w:p>
      <w:pPr>
        <w:shd w:fill="1E1E1E"/>
        <w:spacing w:after="0"/>
      </w:pPr>
      <w:r>
        <w:rPr>
          <w:rFonts w:ascii="Consolas" w:cs="Consolas" w:eastAsia="Consolas" w:hAnsi="Consolas"/>
          <w:color w:val="D4D4D4"/>
          <w:sz w:val="17"/>
          <w:szCs w:val="17"/>
        </w:rPr>
        <w:t xml:space="preserve">    BOM_HEADER ||--o{ BOM_COMPONENTS : contains</w:t>
      </w:r>
    </w:p>
    <w:p>
      <w:pPr>
        <w:shd w:fill="1E1E1E"/>
        <w:spacing w:after="0"/>
      </w:pPr>
      <w:r>
        <w:rPr>
          <w:rFonts w:ascii="Consolas" w:cs="Consolas" w:eastAsia="Consolas" w:hAnsi="Consolas"/>
          <w:color w:val="D4D4D4"/>
          <w:sz w:val="17"/>
          <w:szCs w:val="17"/>
        </w:rPr>
        <w:t xml:space="preserve">    ITEMS ||--o{ BOM_COMPONENTS : "component item"</w:t>
      </w:r>
    </w:p>
    <w:p>
      <w:pPr>
        <w:shd w:fill="1E1E1E"/>
        <w:spacing w:after="0"/>
      </w:pPr>
      <w:r>
        <w:rPr>
          <w:rFonts w:ascii="Consolas" w:cs="Consolas" w:eastAsia="Consolas" w:hAnsi="Consolas"/>
          <w:color w:val="D4D4D4"/>
          <w:sz w:val="17"/>
          <w:szCs w:val="17"/>
        </w:rPr>
        <w:t xml:space="preserve">    ITEMS ||--o{ STANDARD_COSTS : has</w:t>
      </w:r>
    </w:p>
    <w:p>
      <w:pPr>
        <w:shd w:fill="1E1E1E"/>
        <w:spacing w:after="0"/>
      </w:pPr>
      <w:r>
        <w:rPr>
          <w:rFonts w:ascii="Consolas" w:cs="Consolas" w:eastAsia="Consolas" w:hAnsi="Consolas"/>
          <w:color w:val="D4D4D4"/>
          <w:sz w:val="17"/>
          <w:szCs w:val="17"/>
        </w:rPr>
        <w:t xml:space="preserve">    ITEMS ||--o{ INVENTORY_TRANSACTIONS : "moves"</w:t>
      </w:r>
    </w:p>
    <w:p>
      <w:pPr>
        <w:shd w:fill="1E1E1E"/>
        <w:spacing w:after="0"/>
      </w:pPr>
      <w:r>
        <w:rPr>
          <w:rFonts w:ascii="Consolas" w:cs="Consolas" w:eastAsia="Consolas" w:hAnsi="Consolas"/>
          <w:color w:val="D4D4D4"/>
          <w:sz w:val="17"/>
          <w:szCs w:val="17"/>
        </w:rPr>
        <w:t xml:space="preserve">    PERIODS ||--o{ UPLOADS : contains</w:t>
      </w:r>
    </w:p>
    <w:p>
      <w:pPr>
        <w:shd w:fill="1E1E1E"/>
        <w:spacing w:after="0"/>
      </w:pPr>
      <w:r>
        <w:rPr>
          <w:rFonts w:ascii="Consolas" w:cs="Consolas" w:eastAsia="Consolas" w:hAnsi="Consolas"/>
          <w:color w:val="D4D4D4"/>
          <w:sz w:val="17"/>
          <w:szCs w:val="17"/>
        </w:rPr>
        <w:t xml:space="preserve">    UPLOADS ||--o{ MAPPING_CONFIGURATIONS : uses</w:t>
      </w:r>
    </w:p>
    <w:p>
      <w:pPr>
        <w:shd w:fill="1E1E1E"/>
        <w:spacing w:after="0"/>
      </w:pPr>
      <w:r>
        <w:rPr>
          <w:rFonts w:ascii="Consolas" w:cs="Consolas" w:eastAsia="Consolas" w:hAnsi="Consolas"/>
          <w:color w:val="D4D4D4"/>
          <w:sz w:val="17"/>
          <w:szCs w:val="17"/>
        </w:rPr>
        <w:t xml:space="preserve">    UPLOADS ||--o{ VALIDATION_RESULTS : produces</w:t>
      </w:r>
    </w:p>
    <w:p>
      <w:pPr>
        <w:shd w:fill="1E1E1E"/>
        <w:spacing w:after="0"/>
      </w:pPr>
      <w:r>
        <w:rPr>
          <w:rFonts w:ascii="Consolas" w:cs="Consolas" w:eastAsia="Consolas" w:hAnsi="Consolas"/>
          <w:color w:val="D4D4D4"/>
          <w:sz w:val="17"/>
          <w:szCs w:val="17"/>
        </w:rPr>
        <w:t xml:space="preserve">    PERIODS ||--o{ COSTING_RUNS : contains</w:t>
      </w:r>
    </w:p>
    <w:p>
      <w:pPr>
        <w:shd w:fill="1E1E1E"/>
        <w:spacing w:after="0"/>
      </w:pPr>
      <w:r>
        <w:rPr>
          <w:rFonts w:ascii="Consolas" w:cs="Consolas" w:eastAsia="Consolas" w:hAnsi="Consolas"/>
          <w:color w:val="D4D4D4"/>
          <w:sz w:val="17"/>
          <w:szCs w:val="17"/>
        </w:rPr>
        <w:t xml:space="preserve">    COSTING_RUNS ||--o{ COSTING_RESULTS : produces</w:t>
      </w:r>
    </w:p>
    <w:p>
      <w:pPr>
        <w:shd w:fill="1E1E1E"/>
        <w:spacing w:after="0"/>
      </w:pPr>
      <w:r>
        <w:rPr>
          <w:rFonts w:ascii="Consolas" w:cs="Consolas" w:eastAsia="Consolas" w:hAnsi="Consolas"/>
          <w:color w:val="D4D4D4"/>
          <w:sz w:val="17"/>
          <w:szCs w:val="17"/>
        </w:rPr>
        <w:t xml:space="preserve">    ITEMS ||--o{ COSTING_RESULTS : "costed as"</w:t>
      </w:r>
    </w:p>
    <w:p>
      <w:pPr>
        <w:shd w:fill="1E1E1E"/>
        <w:spacing w:after="0"/>
      </w:pPr>
      <w:r>
        <w:rPr>
          <w:rFonts w:ascii="Consolas" w:cs="Consolas" w:eastAsia="Consolas" w:hAnsi="Consolas"/>
          <w:color w:val="D4D4D4"/>
          <w:sz w:val="17"/>
          <w:szCs w:val="17"/>
        </w:rPr>
        <w:t xml:space="preserve">    PERIODS ||--o{ RECONCILIATIONS : contains</w:t>
      </w:r>
    </w:p>
    <w:p>
      <w:pPr>
        <w:shd w:fill="1E1E1E"/>
        <w:spacing w:after="0"/>
      </w:pPr>
      <w:r>
        <w:rPr>
          <w:rFonts w:ascii="Consolas" w:cs="Consolas" w:eastAsia="Consolas" w:hAnsi="Consolas"/>
          <w:color w:val="D4D4D4"/>
          <w:sz w:val="17"/>
          <w:szCs w:val="17"/>
        </w:rPr>
        <w:t xml:space="preserve">    USERS ||--o{ AUDIT_TRAIL : performs</w:t>
      </w:r>
    </w:p>
    <w:p>
      <w:pPr>
        <w:spacing w:after="160" w:before="60"/>
      </w:pPr>
      <w:r>
        <w:rPr>
          <w:i/>
          <w:iCs/>
          <w:color w:val="595959"/>
          <w:sz w:val="18"/>
          <w:szCs w:val="18"/>
        </w:rPr>
        <w:t xml:space="preserve">Figure 32.3: Corresponds directly to the foreign keys defined in Section 16.1 and 17.15 (Part 2).</w:t>
      </w:r>
    </w:p>
    <w:p>
      <w:pPr>
        <w:pStyle w:val="Heading2"/>
        <w:spacing w:after="160" w:before="320"/>
      </w:pPr>
      <w:r>
        <w:rPr>
          <w:b/>
          <w:bCs/>
        </w:rPr>
        <w:t xml:space="preserve">Figure 32.4 — Activity Diagram: Monthly Costing Workflow</w:t>
      </w:r>
    </w:p>
    <w:p>
      <w:pPr>
        <w:spacing w:after="40" w:before="120"/>
      </w:pPr>
      <w:r>
        <w:rPr>
          <w:b/>
          <w:bCs/>
          <w:color w:val="1F3864"/>
          <w:sz w:val="19"/>
          <w:szCs w:val="19"/>
        </w:rPr>
        <w:t xml:space="preserve">mermaid</w:t>
      </w:r>
    </w:p>
    <w:p>
      <w:pPr>
        <w:shd w:fill="1E1E1E"/>
        <w:spacing w:after="0"/>
      </w:pPr>
      <w:r>
        <w:rPr>
          <w:rFonts w:ascii="Consolas" w:cs="Consolas" w:eastAsia="Consolas" w:hAnsi="Consolas"/>
          <w:color w:val="D4D4D4"/>
          <w:sz w:val="17"/>
          <w:szCs w:val="17"/>
        </w:rPr>
        <w:t xml:space="preserve">flowchart TD</w:t>
      </w:r>
    </w:p>
    <w:p>
      <w:pPr>
        <w:shd w:fill="1E1E1E"/>
        <w:spacing w:after="0"/>
      </w:pPr>
      <w:r>
        <w:rPr>
          <w:rFonts w:ascii="Consolas" w:cs="Consolas" w:eastAsia="Consolas" w:hAnsi="Consolas"/>
          <w:color w:val="D4D4D4"/>
          <w:sz w:val="17"/>
          <w:szCs w:val="17"/>
        </w:rPr>
        <w:t xml:space="preserve">    Start([Period Opens]) --&gt; A[Upload all source files]</w:t>
      </w:r>
    </w:p>
    <w:p>
      <w:pPr>
        <w:shd w:fill="1E1E1E"/>
        <w:spacing w:after="0"/>
      </w:pPr>
      <w:r>
        <w:rPr>
          <w:rFonts w:ascii="Consolas" w:cs="Consolas" w:eastAsia="Consolas" w:hAnsi="Consolas"/>
          <w:color w:val="D4D4D4"/>
          <w:sz w:val="17"/>
          <w:szCs w:val="17"/>
        </w:rPr>
        <w:t xml:space="preserve">    A --&gt; B[Map and validate each upload]</w:t>
      </w:r>
    </w:p>
    <w:p>
      <w:pPr>
        <w:shd w:fill="1E1E1E"/>
        <w:spacing w:after="0"/>
      </w:pPr>
      <w:r>
        <w:rPr>
          <w:rFonts w:ascii="Consolas" w:cs="Consolas" w:eastAsia="Consolas" w:hAnsi="Consolas"/>
          <w:color w:val="D4D4D4"/>
          <w:sz w:val="17"/>
          <w:szCs w:val="17"/>
        </w:rPr>
        <w:t xml:space="preserve">    B --&gt; C[Run Inventory Valuation]</w:t>
      </w:r>
    </w:p>
    <w:p>
      <w:pPr>
        <w:shd w:fill="1E1E1E"/>
        <w:spacing w:after="0"/>
      </w:pPr>
      <w:r>
        <w:rPr>
          <w:rFonts w:ascii="Consolas" w:cs="Consolas" w:eastAsia="Consolas" w:hAnsi="Consolas"/>
          <w:color w:val="D4D4D4"/>
          <w:sz w:val="17"/>
          <w:szCs w:val="17"/>
        </w:rPr>
        <w:t xml:space="preserve">    C --&gt; D[Run BOM Explosion and Cost Roll-up]</w:t>
      </w:r>
    </w:p>
    <w:p>
      <w:pPr>
        <w:shd w:fill="1E1E1E"/>
        <w:spacing w:after="0"/>
      </w:pPr>
      <w:r>
        <w:rPr>
          <w:rFonts w:ascii="Consolas" w:cs="Consolas" w:eastAsia="Consolas" w:hAnsi="Consolas"/>
          <w:color w:val="D4D4D4"/>
          <w:sz w:val="17"/>
          <w:szCs w:val="17"/>
        </w:rPr>
        <w:t xml:space="preserve">    D --&gt; E[Run Overhead Allocation]</w:t>
      </w:r>
    </w:p>
    <w:p>
      <w:pPr>
        <w:shd w:fill="1E1E1E"/>
        <w:spacing w:after="0"/>
      </w:pPr>
      <w:r>
        <w:rPr>
          <w:rFonts w:ascii="Consolas" w:cs="Consolas" w:eastAsia="Consolas" w:hAnsi="Consolas"/>
          <w:color w:val="D4D4D4"/>
          <w:sz w:val="17"/>
          <w:szCs w:val="17"/>
        </w:rPr>
        <w:t xml:space="preserve">    E --&gt; F[Run Product Costing: Standard and Actual]</w:t>
      </w:r>
    </w:p>
    <w:p>
      <w:pPr>
        <w:shd w:fill="1E1E1E"/>
        <w:spacing w:after="0"/>
      </w:pPr>
      <w:r>
        <w:rPr>
          <w:rFonts w:ascii="Consolas" w:cs="Consolas" w:eastAsia="Consolas" w:hAnsi="Consolas"/>
          <w:color w:val="D4D4D4"/>
          <w:sz w:val="17"/>
          <w:szCs w:val="17"/>
        </w:rPr>
        <w:t xml:space="preserve">    F --&gt; G[Run Standard vs Actual / Variance]</w:t>
      </w:r>
    </w:p>
    <w:p>
      <w:pPr>
        <w:shd w:fill="1E1E1E"/>
        <w:spacing w:after="0"/>
      </w:pPr>
      <w:r>
        <w:rPr>
          <w:rFonts w:ascii="Consolas" w:cs="Consolas" w:eastAsia="Consolas" w:hAnsi="Consolas"/>
          <w:color w:val="D4D4D4"/>
          <w:sz w:val="17"/>
          <w:szCs w:val="17"/>
        </w:rPr>
        <w:t xml:space="preserve">    G --&gt; H[Run Reconciliation: TB, Inventory, Production]</w:t>
      </w:r>
    </w:p>
    <w:p>
      <w:pPr>
        <w:shd w:fill="1E1E1E"/>
        <w:spacing w:after="0"/>
      </w:pPr>
      <w:r>
        <w:rPr>
          <w:rFonts w:ascii="Consolas" w:cs="Consolas" w:eastAsia="Consolas" w:hAnsi="Consolas"/>
          <w:color w:val="D4D4D4"/>
          <w:sz w:val="17"/>
          <w:szCs w:val="17"/>
        </w:rPr>
        <w:t xml:space="preserve">    H --&gt; I{Exceptions open?}</w:t>
      </w:r>
    </w:p>
    <w:p>
      <w:pPr>
        <w:shd w:fill="1E1E1E"/>
        <w:spacing w:after="0"/>
      </w:pPr>
      <w:r>
        <w:rPr>
          <w:rFonts w:ascii="Consolas" w:cs="Consolas" w:eastAsia="Consolas" w:hAnsi="Consolas"/>
          <w:color w:val="D4D4D4"/>
          <w:sz w:val="17"/>
          <w:szCs w:val="17"/>
        </w:rPr>
        <w:t xml:space="preserve">    I -- Yes --&gt; J[Audit Desk review and resolution]</w:t>
      </w:r>
    </w:p>
    <w:p>
      <w:pPr>
        <w:shd w:fill="1E1E1E"/>
        <w:spacing w:after="0"/>
      </w:pPr>
      <w:r>
        <w:rPr>
          <w:rFonts w:ascii="Consolas" w:cs="Consolas" w:eastAsia="Consolas" w:hAnsi="Consolas"/>
          <w:color w:val="D4D4D4"/>
          <w:sz w:val="17"/>
          <w:szCs w:val="17"/>
        </w:rPr>
        <w:t xml:space="preserve">    J --&gt; H</w:t>
      </w:r>
    </w:p>
    <w:p>
      <w:pPr>
        <w:shd w:fill="1E1E1E"/>
        <w:spacing w:after="0"/>
      </w:pPr>
      <w:r>
        <w:rPr>
          <w:rFonts w:ascii="Consolas" w:cs="Consolas" w:eastAsia="Consolas" w:hAnsi="Consolas"/>
          <w:color w:val="D4D4D4"/>
          <w:sz w:val="17"/>
          <w:szCs w:val="17"/>
        </w:rPr>
        <w:t xml:space="preserve">    I -- No --&gt; K[Period Close: Lock]</w:t>
      </w:r>
    </w:p>
    <w:p>
      <w:pPr>
        <w:shd w:fill="1E1E1E"/>
        <w:spacing w:after="0"/>
      </w:pPr>
      <w:r>
        <w:rPr>
          <w:rFonts w:ascii="Consolas" w:cs="Consolas" w:eastAsia="Consolas" w:hAnsi="Consolas"/>
          <w:color w:val="D4D4D4"/>
          <w:sz w:val="17"/>
          <w:szCs w:val="17"/>
        </w:rPr>
        <w:t xml:space="preserve">    K --&gt; End([Period Locked; Costing Version created])</w:t>
      </w:r>
    </w:p>
    <w:p>
      <w:pPr>
        <w:spacing w:after="160" w:before="60"/>
      </w:pPr>
      <w:r>
        <w:rPr>
          <w:i/>
          <w:iCs/>
          <w:color w:val="595959"/>
          <w:sz w:val="18"/>
          <w:szCs w:val="18"/>
        </w:rPr>
        <w:t xml:space="preserve">Figure 32.4: The end-to-end monthly cycle every period goes through.</w:t>
      </w:r>
    </w:p>
    <w:p>
      <w:pPr>
        <w:pStyle w:val="Heading2"/>
        <w:spacing w:after="160" w:before="320"/>
      </w:pPr>
      <w:r>
        <w:rPr>
          <w:b/>
          <w:bCs/>
        </w:rPr>
        <w:t xml:space="preserve">Figure 32.5 — Sequence Diagram: Upload to Costing</w:t>
      </w:r>
    </w:p>
    <w:p>
      <w:pPr>
        <w:spacing w:after="40" w:before="120"/>
      </w:pPr>
      <w:r>
        <w:rPr>
          <w:b/>
          <w:bCs/>
          <w:color w:val="1F3864"/>
          <w:sz w:val="19"/>
          <w:szCs w:val="19"/>
        </w:rPr>
        <w:t xml:space="preserve">mermaid</w:t>
      </w:r>
    </w:p>
    <w:p>
      <w:pPr>
        <w:shd w:fill="1E1E1E"/>
        <w:spacing w:after="0"/>
      </w:pPr>
      <w:r>
        <w:rPr>
          <w:rFonts w:ascii="Consolas" w:cs="Consolas" w:eastAsia="Consolas" w:hAnsi="Consolas"/>
          <w:color w:val="D4D4D4"/>
          <w:sz w:val="17"/>
          <w:szCs w:val="17"/>
        </w:rPr>
        <w:t xml:space="preserve">sequenceDiagram</w:t>
      </w:r>
    </w:p>
    <w:p>
      <w:pPr>
        <w:shd w:fill="1E1E1E"/>
        <w:spacing w:after="0"/>
      </w:pPr>
      <w:r>
        <w:rPr>
          <w:rFonts w:ascii="Consolas" w:cs="Consolas" w:eastAsia="Consolas" w:hAnsi="Consolas"/>
          <w:color w:val="D4D4D4"/>
          <w:sz w:val="17"/>
          <w:szCs w:val="17"/>
        </w:rPr>
        <w:t xml:space="preserve">    actor CMA</w:t>
      </w:r>
    </w:p>
    <w:p>
      <w:pPr>
        <w:shd w:fill="1E1E1E"/>
        <w:spacing w:after="0"/>
      </w:pPr>
      <w:r>
        <w:rPr>
          <w:rFonts w:ascii="Consolas" w:cs="Consolas" w:eastAsia="Consolas" w:hAnsi="Consolas"/>
          <w:color w:val="D4D4D4"/>
          <w:sz w:val="17"/>
          <w:szCs w:val="17"/>
        </w:rPr>
        <w:t xml:space="preserve">    participant UI as Upload Centre (UI)</w:t>
      </w:r>
    </w:p>
    <w:p>
      <w:pPr>
        <w:shd w:fill="1E1E1E"/>
        <w:spacing w:after="0"/>
      </w:pPr>
      <w:r>
        <w:rPr>
          <w:rFonts w:ascii="Consolas" w:cs="Consolas" w:eastAsia="Consolas" w:hAnsi="Consolas"/>
          <w:color w:val="D4D4D4"/>
          <w:sz w:val="17"/>
          <w:szCs w:val="17"/>
        </w:rPr>
        <w:t xml:space="preserve">    participant CTRL as Controller</w:t>
      </w:r>
    </w:p>
    <w:p>
      <w:pPr>
        <w:shd w:fill="1E1E1E"/>
        <w:spacing w:after="0"/>
      </w:pPr>
      <w:r>
        <w:rPr>
          <w:rFonts w:ascii="Consolas" w:cs="Consolas" w:eastAsia="Consolas" w:hAnsi="Consolas"/>
          <w:color w:val="D4D4D4"/>
          <w:sz w:val="17"/>
          <w:szCs w:val="17"/>
        </w:rPr>
        <w:t xml:space="preserve">    participant MAP as Mapping Engine</w:t>
      </w:r>
    </w:p>
    <w:p>
      <w:pPr>
        <w:shd w:fill="1E1E1E"/>
        <w:spacing w:after="0"/>
      </w:pPr>
      <w:r>
        <w:rPr>
          <w:rFonts w:ascii="Consolas" w:cs="Consolas" w:eastAsia="Consolas" w:hAnsi="Consolas"/>
          <w:color w:val="D4D4D4"/>
          <w:sz w:val="17"/>
          <w:szCs w:val="17"/>
        </w:rPr>
        <w:t xml:space="preserve">    participant VAL as Validation Engine</w:t>
      </w:r>
    </w:p>
    <w:p>
      <w:pPr>
        <w:shd w:fill="1E1E1E"/>
        <w:spacing w:after="0"/>
      </w:pPr>
      <w:r>
        <w:rPr>
          <w:rFonts w:ascii="Consolas" w:cs="Consolas" w:eastAsia="Consolas" w:hAnsi="Consolas"/>
          <w:color w:val="D4D4D4"/>
          <w:sz w:val="17"/>
          <w:szCs w:val="17"/>
        </w:rPr>
        <w:t xml:space="preserve">    participant ENG as Costing Engines</w:t>
      </w:r>
    </w:p>
    <w:p>
      <w:pPr>
        <w:shd w:fill="1E1E1E"/>
        <w:spacing w:after="0"/>
      </w:pPr>
      <w:r>
        <w:rPr>
          <w:rFonts w:ascii="Consolas" w:cs="Consolas" w:eastAsia="Consolas" w:hAnsi="Consolas"/>
          <w:color w:val="D4D4D4"/>
          <w:sz w:val="17"/>
          <w:szCs w:val="17"/>
        </w:rPr>
        <w:t xml:space="preserve">    participant DB as PostgreSQL</w:t>
      </w:r>
    </w:p>
    <w:p>
      <w:pPr>
        <w:shd w:fill="1E1E1E"/>
        <w:spacing w:after="0"/>
      </w:pPr>
      <w:r>
        <w:rPr>
          <w:rFonts w:ascii="Consolas" w:cs="Consolas" w:eastAsia="Consolas" w:hAnsi="Consolas"/>
          <w:color w:val="D4D4D4"/>
          <w:sz w:val="17"/>
          <w:szCs w:val="17"/>
        </w:rPr>
        <w:t xml:space="preserve">    CMA-&gt;&gt;UI: Select file, scope, period</w:t>
      </w:r>
    </w:p>
    <w:p>
      <w:pPr>
        <w:shd w:fill="1E1E1E"/>
        <w:spacing w:after="0"/>
      </w:pPr>
      <w:r>
        <w:rPr>
          <w:rFonts w:ascii="Consolas" w:cs="Consolas" w:eastAsia="Consolas" w:hAnsi="Consolas"/>
          <w:color w:val="D4D4D4"/>
          <w:sz w:val="17"/>
          <w:szCs w:val="17"/>
        </w:rPr>
        <w:t xml:space="preserve">    UI-&gt;&gt;CTRL: submitUpload()</w:t>
      </w:r>
    </w:p>
    <w:p>
      <w:pPr>
        <w:shd w:fill="1E1E1E"/>
        <w:spacing w:after="0"/>
      </w:pPr>
      <w:r>
        <w:rPr>
          <w:rFonts w:ascii="Consolas" w:cs="Consolas" w:eastAsia="Consolas" w:hAnsi="Consolas"/>
          <w:color w:val="D4D4D4"/>
          <w:sz w:val="17"/>
          <w:szCs w:val="17"/>
        </w:rPr>
        <w:t xml:space="preserve">    CTRL-&gt;&gt;DB: INSERT uploads (status=uploaded)</w:t>
      </w:r>
    </w:p>
    <w:p>
      <w:pPr>
        <w:shd w:fill="1E1E1E"/>
        <w:spacing w:after="0"/>
      </w:pPr>
      <w:r>
        <w:rPr>
          <w:rFonts w:ascii="Consolas" w:cs="Consolas" w:eastAsia="Consolas" w:hAnsi="Consolas"/>
          <w:color w:val="D4D4D4"/>
          <w:sz w:val="17"/>
          <w:szCs w:val="17"/>
        </w:rPr>
        <w:t xml:space="preserve">    CTRL-&gt;&gt;MAP: applyMapping(upload_id)</w:t>
      </w:r>
    </w:p>
    <w:p>
      <w:pPr>
        <w:shd w:fill="1E1E1E"/>
        <w:spacing w:after="0"/>
      </w:pPr>
      <w:r>
        <w:rPr>
          <w:rFonts w:ascii="Consolas" w:cs="Consolas" w:eastAsia="Consolas" w:hAnsi="Consolas"/>
          <w:color w:val="D4D4D4"/>
          <w:sz w:val="17"/>
          <w:szCs w:val="17"/>
        </w:rPr>
        <w:t xml:space="preserve">    MAP-&gt;&gt;DB: read/write mapping_configurations</w:t>
      </w:r>
    </w:p>
    <w:p>
      <w:pPr>
        <w:shd w:fill="1E1E1E"/>
        <w:spacing w:after="0"/>
      </w:pPr>
      <w:r>
        <w:rPr>
          <w:rFonts w:ascii="Consolas" w:cs="Consolas" w:eastAsia="Consolas" w:hAnsi="Consolas"/>
          <w:color w:val="D4D4D4"/>
          <w:sz w:val="17"/>
          <w:szCs w:val="17"/>
        </w:rPr>
        <w:t xml:space="preserve">    MAP--&gt;&gt;CTRL: Standard Data Model records</w:t>
      </w:r>
    </w:p>
    <w:p>
      <w:pPr>
        <w:shd w:fill="1E1E1E"/>
        <w:spacing w:after="0"/>
      </w:pPr>
      <w:r>
        <w:rPr>
          <w:rFonts w:ascii="Consolas" w:cs="Consolas" w:eastAsia="Consolas" w:hAnsi="Consolas"/>
          <w:color w:val="D4D4D4"/>
          <w:sz w:val="17"/>
          <w:szCs w:val="17"/>
        </w:rPr>
        <w:t xml:space="preserve">    CTRL-&gt;&gt;VAL: validate(records)</w:t>
      </w:r>
    </w:p>
    <w:p>
      <w:pPr>
        <w:shd w:fill="1E1E1E"/>
        <w:spacing w:after="0"/>
      </w:pPr>
      <w:r>
        <w:rPr>
          <w:rFonts w:ascii="Consolas" w:cs="Consolas" w:eastAsia="Consolas" w:hAnsi="Consolas"/>
          <w:color w:val="D4D4D4"/>
          <w:sz w:val="17"/>
          <w:szCs w:val="17"/>
        </w:rPr>
        <w:t xml:space="preserve">    VAL-&gt;&gt;DB: INSERT validation_results</w:t>
      </w:r>
    </w:p>
    <w:p>
      <w:pPr>
        <w:shd w:fill="1E1E1E"/>
        <w:spacing w:after="0"/>
      </w:pPr>
      <w:r>
        <w:rPr>
          <w:rFonts w:ascii="Consolas" w:cs="Consolas" w:eastAsia="Consolas" w:hAnsi="Consolas"/>
          <w:color w:val="D4D4D4"/>
          <w:sz w:val="17"/>
          <w:szCs w:val="17"/>
        </w:rPr>
        <w:t xml:space="preserve">    VAL--&gt;&gt;CTRL: pass/fail summary</w:t>
      </w:r>
    </w:p>
    <w:p>
      <w:pPr>
        <w:shd w:fill="1E1E1E"/>
        <w:spacing w:after="0"/>
      </w:pPr>
      <w:r>
        <w:rPr>
          <w:rFonts w:ascii="Consolas" w:cs="Consolas" w:eastAsia="Consolas" w:hAnsi="Consolas"/>
          <w:color w:val="D4D4D4"/>
          <w:sz w:val="17"/>
          <w:szCs w:val="17"/>
        </w:rPr>
        <w:t xml:space="preserve">    CTRL--&gt;&gt;CMA: status = Validated</w:t>
      </w:r>
    </w:p>
    <w:p>
      <w:pPr>
        <w:shd w:fill="1E1E1E"/>
        <w:spacing w:after="0"/>
      </w:pPr>
      <w:r>
        <w:rPr>
          <w:rFonts w:ascii="Consolas" w:cs="Consolas" w:eastAsia="Consolas" w:hAnsi="Consolas"/>
          <w:color w:val="D4D4D4"/>
          <w:sz w:val="17"/>
          <w:szCs w:val="17"/>
        </w:rPr>
        <w:t xml:space="preserve">    CMA-&gt;&gt;CTRL: Run Costing</w:t>
      </w:r>
    </w:p>
    <w:p>
      <w:pPr>
        <w:shd w:fill="1E1E1E"/>
        <w:spacing w:after="0"/>
      </w:pPr>
      <w:r>
        <w:rPr>
          <w:rFonts w:ascii="Consolas" w:cs="Consolas" w:eastAsia="Consolas" w:hAnsi="Consolas"/>
          <w:color w:val="D4D4D4"/>
          <w:sz w:val="17"/>
          <w:szCs w:val="17"/>
        </w:rPr>
        <w:t xml:space="preserve">    CTRL-&gt;&gt;ENG: execute(period, plant)</w:t>
      </w:r>
    </w:p>
    <w:p>
      <w:pPr>
        <w:shd w:fill="1E1E1E"/>
        <w:spacing w:after="0"/>
      </w:pPr>
      <w:r>
        <w:rPr>
          <w:rFonts w:ascii="Consolas" w:cs="Consolas" w:eastAsia="Consolas" w:hAnsi="Consolas"/>
          <w:color w:val="D4D4D4"/>
          <w:sz w:val="17"/>
          <w:szCs w:val="17"/>
        </w:rPr>
        <w:t xml:space="preserve">    ENG-&gt;&gt;DB: INSERT costing_runs, costing_results</w:t>
      </w:r>
    </w:p>
    <w:p>
      <w:pPr>
        <w:shd w:fill="1E1E1E"/>
        <w:spacing w:after="0"/>
      </w:pPr>
      <w:r>
        <w:rPr>
          <w:rFonts w:ascii="Consolas" w:cs="Consolas" w:eastAsia="Consolas" w:hAnsi="Consolas"/>
          <w:color w:val="D4D4D4"/>
          <w:sz w:val="17"/>
          <w:szCs w:val="17"/>
        </w:rPr>
        <w:t xml:space="preserve">    ENG--&gt;&gt;CTRL: run complete</w:t>
      </w:r>
    </w:p>
    <w:p>
      <w:pPr>
        <w:shd w:fill="1E1E1E"/>
        <w:spacing w:after="0"/>
      </w:pPr>
      <w:r>
        <w:rPr>
          <w:rFonts w:ascii="Consolas" w:cs="Consolas" w:eastAsia="Consolas" w:hAnsi="Consolas"/>
          <w:color w:val="D4D4D4"/>
          <w:sz w:val="17"/>
          <w:szCs w:val="17"/>
        </w:rPr>
        <w:t xml:space="preserve">    CTRL--&gt;&gt;CMA: Costing results available</w:t>
      </w:r>
    </w:p>
    <w:p>
      <w:pPr>
        <w:spacing w:after="160" w:before="60"/>
      </w:pPr>
      <w:r>
        <w:rPr>
          <w:i/>
          <w:iCs/>
          <w:color w:val="595959"/>
          <w:sz w:val="18"/>
          <w:szCs w:val="18"/>
        </w:rPr>
        <w:t xml:space="preserve">Figure 32.5.</w:t>
      </w:r>
    </w:p>
    <w:p>
      <w:pPr>
        <w:pStyle w:val="Heading2"/>
        <w:spacing w:after="160" w:before="320"/>
      </w:pPr>
      <w:r>
        <w:rPr>
          <w:b/>
          <w:bCs/>
        </w:rPr>
        <w:t xml:space="preserve">Figure 32.6 — Sequence Diagram: Product Costing</w:t>
      </w:r>
    </w:p>
    <w:p>
      <w:pPr>
        <w:spacing w:after="40" w:before="120"/>
      </w:pPr>
      <w:r>
        <w:rPr>
          <w:b/>
          <w:bCs/>
          <w:color w:val="1F3864"/>
          <w:sz w:val="19"/>
          <w:szCs w:val="19"/>
        </w:rPr>
        <w:t xml:space="preserve">mermaid</w:t>
      </w:r>
    </w:p>
    <w:p>
      <w:pPr>
        <w:shd w:fill="1E1E1E"/>
        <w:spacing w:after="0"/>
      </w:pPr>
      <w:r>
        <w:rPr>
          <w:rFonts w:ascii="Consolas" w:cs="Consolas" w:eastAsia="Consolas" w:hAnsi="Consolas"/>
          <w:color w:val="D4D4D4"/>
          <w:sz w:val="17"/>
          <w:szCs w:val="17"/>
        </w:rPr>
        <w:t xml:space="preserve">sequenceDiagram</w:t>
      </w:r>
    </w:p>
    <w:p>
      <w:pPr>
        <w:shd w:fill="1E1E1E"/>
        <w:spacing w:after="0"/>
      </w:pPr>
      <w:r>
        <w:rPr>
          <w:rFonts w:ascii="Consolas" w:cs="Consolas" w:eastAsia="Consolas" w:hAnsi="Consolas"/>
          <w:color w:val="D4D4D4"/>
          <w:sz w:val="17"/>
          <w:szCs w:val="17"/>
        </w:rPr>
        <w:t xml:space="preserve">    actor CMA</w:t>
      </w:r>
    </w:p>
    <w:p>
      <w:pPr>
        <w:shd w:fill="1E1E1E"/>
        <w:spacing w:after="0"/>
      </w:pPr>
      <w:r>
        <w:rPr>
          <w:rFonts w:ascii="Consolas" w:cs="Consolas" w:eastAsia="Consolas" w:hAnsi="Consolas"/>
          <w:color w:val="D4D4D4"/>
          <w:sz w:val="17"/>
          <w:szCs w:val="17"/>
        </w:rPr>
        <w:t xml:space="preserve">    participant CTRL as Controller</w:t>
      </w:r>
    </w:p>
    <w:p>
      <w:pPr>
        <w:shd w:fill="1E1E1E"/>
        <w:spacing w:after="0"/>
      </w:pPr>
      <w:r>
        <w:rPr>
          <w:rFonts w:ascii="Consolas" w:cs="Consolas" w:eastAsia="Consolas" w:hAnsi="Consolas"/>
          <w:color w:val="D4D4D4"/>
          <w:sz w:val="17"/>
          <w:szCs w:val="17"/>
        </w:rPr>
        <w:t xml:space="preserve">    participant BOM as BOM Engine</w:t>
      </w:r>
    </w:p>
    <w:p>
      <w:pPr>
        <w:shd w:fill="1E1E1E"/>
        <w:spacing w:after="0"/>
      </w:pPr>
      <w:r>
        <w:rPr>
          <w:rFonts w:ascii="Consolas" w:cs="Consolas" w:eastAsia="Consolas" w:hAnsi="Consolas"/>
          <w:color w:val="D4D4D4"/>
          <w:sz w:val="17"/>
          <w:szCs w:val="17"/>
        </w:rPr>
        <w:t xml:space="preserve">    participant ALLOC as Allocation Engine</w:t>
      </w:r>
    </w:p>
    <w:p>
      <w:pPr>
        <w:shd w:fill="1E1E1E"/>
        <w:spacing w:after="0"/>
      </w:pPr>
      <w:r>
        <w:rPr>
          <w:rFonts w:ascii="Consolas" w:cs="Consolas" w:eastAsia="Consolas" w:hAnsi="Consolas"/>
          <w:color w:val="D4D4D4"/>
          <w:sz w:val="17"/>
          <w:szCs w:val="17"/>
        </w:rPr>
        <w:t xml:space="preserve">    participant COST as Cost Engine</w:t>
      </w:r>
    </w:p>
    <w:p>
      <w:pPr>
        <w:shd w:fill="1E1E1E"/>
        <w:spacing w:after="0"/>
      </w:pPr>
      <w:r>
        <w:rPr>
          <w:rFonts w:ascii="Consolas" w:cs="Consolas" w:eastAsia="Consolas" w:hAnsi="Consolas"/>
          <w:color w:val="D4D4D4"/>
          <w:sz w:val="17"/>
          <w:szCs w:val="17"/>
        </w:rPr>
        <w:t xml:space="preserve">    participant DB as PostgreSQL</w:t>
      </w:r>
    </w:p>
    <w:p>
      <w:pPr>
        <w:shd w:fill="1E1E1E"/>
        <w:spacing w:after="0"/>
      </w:pPr>
      <w:r>
        <w:rPr>
          <w:rFonts w:ascii="Consolas" w:cs="Consolas" w:eastAsia="Consolas" w:hAnsi="Consolas"/>
          <w:color w:val="D4D4D4"/>
          <w:sz w:val="17"/>
          <w:szCs w:val="17"/>
        </w:rPr>
        <w:t xml:space="preserve">    CMA-&gt;&gt;CTRL: Run Product Costing(product, period, mode)</w:t>
      </w:r>
    </w:p>
    <w:p>
      <w:pPr>
        <w:shd w:fill="1E1E1E"/>
        <w:spacing w:after="0"/>
      </w:pPr>
      <w:r>
        <w:rPr>
          <w:rFonts w:ascii="Consolas" w:cs="Consolas" w:eastAsia="Consolas" w:hAnsi="Consolas"/>
          <w:color w:val="D4D4D4"/>
          <w:sz w:val="17"/>
          <w:szCs w:val="17"/>
        </w:rPr>
        <w:t xml:space="preserve">    CTRL-&gt;&gt;BOM: rollUpCost(product)</w:t>
      </w:r>
    </w:p>
    <w:p>
      <w:pPr>
        <w:shd w:fill="1E1E1E"/>
        <w:spacing w:after="0"/>
      </w:pPr>
      <w:r>
        <w:rPr>
          <w:rFonts w:ascii="Consolas" w:cs="Consolas" w:eastAsia="Consolas" w:hAnsi="Consolas"/>
          <w:color w:val="D4D4D4"/>
          <w:sz w:val="17"/>
          <w:szCs w:val="17"/>
        </w:rPr>
        <w:t xml:space="preserve">    BOM-&gt;&gt;DB: read bom_header, bom_components, standard_costs</w:t>
      </w:r>
    </w:p>
    <w:p>
      <w:pPr>
        <w:shd w:fill="1E1E1E"/>
        <w:spacing w:after="0"/>
      </w:pPr>
      <w:r>
        <w:rPr>
          <w:rFonts w:ascii="Consolas" w:cs="Consolas" w:eastAsia="Consolas" w:hAnsi="Consolas"/>
          <w:color w:val="D4D4D4"/>
          <w:sz w:val="17"/>
          <w:szCs w:val="17"/>
        </w:rPr>
        <w:t xml:space="preserve">    BOM--&gt;&gt;CTRL: material_cost</w:t>
      </w:r>
    </w:p>
    <w:p>
      <w:pPr>
        <w:shd w:fill="1E1E1E"/>
        <w:spacing w:after="0"/>
      </w:pPr>
      <w:r>
        <w:rPr>
          <w:rFonts w:ascii="Consolas" w:cs="Consolas" w:eastAsia="Consolas" w:hAnsi="Consolas"/>
          <w:color w:val="D4D4D4"/>
          <w:sz w:val="17"/>
          <w:szCs w:val="17"/>
        </w:rPr>
        <w:t xml:space="preserve">    CTRL-&gt;&gt;ALLOC: allocateOverhead(period)</w:t>
      </w:r>
    </w:p>
    <w:p>
      <w:pPr>
        <w:shd w:fill="1E1E1E"/>
        <w:spacing w:after="0"/>
      </w:pPr>
      <w:r>
        <w:rPr>
          <w:rFonts w:ascii="Consolas" w:cs="Consolas" w:eastAsia="Consolas" w:hAnsi="Consolas"/>
          <w:color w:val="D4D4D4"/>
          <w:sz w:val="17"/>
          <w:szCs w:val="17"/>
        </w:rPr>
        <w:t xml:space="preserve">    ALLOC-&gt;&gt;DB: read allocation_rules, gl_classification</w:t>
      </w:r>
    </w:p>
    <w:p>
      <w:pPr>
        <w:shd w:fill="1E1E1E"/>
        <w:spacing w:after="0"/>
      </w:pPr>
      <w:r>
        <w:rPr>
          <w:rFonts w:ascii="Consolas" w:cs="Consolas" w:eastAsia="Consolas" w:hAnsi="Consolas"/>
          <w:color w:val="D4D4D4"/>
          <w:sz w:val="17"/>
          <w:szCs w:val="17"/>
        </w:rPr>
        <w:t xml:space="preserve">    ALLOC--&gt;&gt;CTRL: overhead_cost</w:t>
      </w:r>
    </w:p>
    <w:p>
      <w:pPr>
        <w:shd w:fill="1E1E1E"/>
        <w:spacing w:after="0"/>
      </w:pPr>
      <w:r>
        <w:rPr>
          <w:rFonts w:ascii="Consolas" w:cs="Consolas" w:eastAsia="Consolas" w:hAnsi="Consolas"/>
          <w:color w:val="D4D4D4"/>
          <w:sz w:val="17"/>
          <w:szCs w:val="17"/>
        </w:rPr>
        <w:t xml:space="preserve">    CTRL-&gt;&gt;COST: computeTotal(material, labour, machine, overhead)</w:t>
      </w:r>
    </w:p>
    <w:p>
      <w:pPr>
        <w:shd w:fill="1E1E1E"/>
        <w:spacing w:after="0"/>
      </w:pPr>
      <w:r>
        <w:rPr>
          <w:rFonts w:ascii="Consolas" w:cs="Consolas" w:eastAsia="Consolas" w:hAnsi="Consolas"/>
          <w:color w:val="D4D4D4"/>
          <w:sz w:val="17"/>
          <w:szCs w:val="17"/>
        </w:rPr>
        <w:t xml:space="preserve">    COST-&gt;&gt;DB: INSERT costing_results</w:t>
      </w:r>
    </w:p>
    <w:p>
      <w:pPr>
        <w:shd w:fill="1E1E1E"/>
        <w:spacing w:after="0"/>
      </w:pPr>
      <w:r>
        <w:rPr>
          <w:rFonts w:ascii="Consolas" w:cs="Consolas" w:eastAsia="Consolas" w:hAnsi="Consolas"/>
          <w:color w:val="D4D4D4"/>
          <w:sz w:val="17"/>
          <w:szCs w:val="17"/>
        </w:rPr>
        <w:t xml:space="preserve">    COST--&gt;&gt;CTRL: total_cost</w:t>
      </w:r>
    </w:p>
    <w:p>
      <w:pPr>
        <w:shd w:fill="1E1E1E"/>
        <w:spacing w:after="0"/>
      </w:pPr>
      <w:r>
        <w:rPr>
          <w:rFonts w:ascii="Consolas" w:cs="Consolas" w:eastAsia="Consolas" w:hAnsi="Consolas"/>
          <w:color w:val="D4D4D4"/>
          <w:sz w:val="17"/>
          <w:szCs w:val="17"/>
        </w:rPr>
        <w:t xml:space="preserve">    CTRL--&gt;&gt;CMA: Product Costing result</w:t>
      </w:r>
    </w:p>
    <w:p>
      <w:pPr>
        <w:spacing w:after="160" w:before="60"/>
      </w:pPr>
      <w:r>
        <w:rPr>
          <w:i/>
          <w:iCs/>
          <w:color w:val="595959"/>
          <w:sz w:val="18"/>
          <w:szCs w:val="18"/>
        </w:rPr>
        <w:t xml:space="preserve">Figure 32.6.</w:t>
      </w:r>
    </w:p>
    <w:p>
      <w:pPr>
        <w:pStyle w:val="Heading2"/>
        <w:spacing w:after="160" w:before="320"/>
      </w:pPr>
      <w:r>
        <w:rPr>
          <w:b/>
          <w:bCs/>
        </w:rPr>
        <w:t xml:space="preserve">Figure 32.7 — State Diagram: Costing Period</w:t>
      </w:r>
    </w:p>
    <w:p>
      <w:pPr>
        <w:spacing w:after="40" w:before="120"/>
      </w:pPr>
      <w:r>
        <w:rPr>
          <w:b/>
          <w:bCs/>
          <w:color w:val="1F3864"/>
          <w:sz w:val="19"/>
          <w:szCs w:val="19"/>
        </w:rPr>
        <w:t xml:space="preserve">mermaid</w:t>
      </w:r>
    </w:p>
    <w:p>
      <w:pPr>
        <w:shd w:fill="1E1E1E"/>
        <w:spacing w:after="0"/>
      </w:pPr>
      <w:r>
        <w:rPr>
          <w:rFonts w:ascii="Consolas" w:cs="Consolas" w:eastAsia="Consolas" w:hAnsi="Consolas"/>
          <w:color w:val="D4D4D4"/>
          <w:sz w:val="17"/>
          <w:szCs w:val="17"/>
        </w:rPr>
        <w:t xml:space="preserve">stateDiagram-v2</w:t>
      </w:r>
    </w:p>
    <w:p>
      <w:pPr>
        <w:shd w:fill="1E1E1E"/>
        <w:spacing w:after="0"/>
      </w:pPr>
      <w:r>
        <w:rPr>
          <w:rFonts w:ascii="Consolas" w:cs="Consolas" w:eastAsia="Consolas" w:hAnsi="Consolas"/>
          <w:color w:val="D4D4D4"/>
          <w:sz w:val="17"/>
          <w:szCs w:val="17"/>
        </w:rPr>
        <w:t xml:space="preserve">    [*] --&gt; Open</w:t>
      </w:r>
    </w:p>
    <w:p>
      <w:pPr>
        <w:shd w:fill="1E1E1E"/>
        <w:spacing w:after="0"/>
      </w:pPr>
      <w:r>
        <w:rPr>
          <w:rFonts w:ascii="Consolas" w:cs="Consolas" w:eastAsia="Consolas" w:hAnsi="Consolas"/>
          <w:color w:val="D4D4D4"/>
          <w:sz w:val="17"/>
          <w:szCs w:val="17"/>
        </w:rPr>
        <w:t xml:space="preserve">    Open --&gt; Processing</w:t>
      </w:r>
    </w:p>
    <w:p>
      <w:pPr>
        <w:shd w:fill="1E1E1E"/>
        <w:spacing w:after="0"/>
      </w:pPr>
      <w:r>
        <w:rPr>
          <w:rFonts w:ascii="Consolas" w:cs="Consolas" w:eastAsia="Consolas" w:hAnsi="Consolas"/>
          <w:color w:val="D4D4D4"/>
          <w:sz w:val="17"/>
          <w:szCs w:val="17"/>
        </w:rPr>
        <w:t xml:space="preserve">    Processing --&gt; CMAReview</w:t>
      </w:r>
    </w:p>
    <w:p>
      <w:pPr>
        <w:shd w:fill="1E1E1E"/>
        <w:spacing w:after="0"/>
      </w:pPr>
      <w:r>
        <w:rPr>
          <w:rFonts w:ascii="Consolas" w:cs="Consolas" w:eastAsia="Consolas" w:hAnsi="Consolas"/>
          <w:color w:val="D4D4D4"/>
          <w:sz w:val="17"/>
          <w:szCs w:val="17"/>
        </w:rPr>
        <w:t xml:space="preserve">    CMAReview --&gt; Processing : issues found</w:t>
      </w:r>
    </w:p>
    <w:p>
      <w:pPr>
        <w:shd w:fill="1E1E1E"/>
        <w:spacing w:after="0"/>
      </w:pPr>
      <w:r>
        <w:rPr>
          <w:rFonts w:ascii="Consolas" w:cs="Consolas" w:eastAsia="Consolas" w:hAnsi="Consolas"/>
          <w:color w:val="D4D4D4"/>
          <w:sz w:val="17"/>
          <w:szCs w:val="17"/>
        </w:rPr>
        <w:t xml:space="preserve">    CMAReview --&gt; Approved</w:t>
      </w:r>
    </w:p>
    <w:p>
      <w:pPr>
        <w:shd w:fill="1E1E1E"/>
        <w:spacing w:after="0"/>
      </w:pPr>
      <w:r>
        <w:rPr>
          <w:rFonts w:ascii="Consolas" w:cs="Consolas" w:eastAsia="Consolas" w:hAnsi="Consolas"/>
          <w:color w:val="D4D4D4"/>
          <w:sz w:val="17"/>
          <w:szCs w:val="17"/>
        </w:rPr>
        <w:t xml:space="preserve">    Approved --&gt; Locked</w:t>
      </w:r>
    </w:p>
    <w:p>
      <w:pPr>
        <w:shd w:fill="1E1E1E"/>
        <w:spacing w:after="0"/>
      </w:pPr>
      <w:r>
        <w:rPr>
          <w:rFonts w:ascii="Consolas" w:cs="Consolas" w:eastAsia="Consolas" w:hAnsi="Consolas"/>
          <w:color w:val="D4D4D4"/>
          <w:sz w:val="17"/>
          <w:szCs w:val="17"/>
        </w:rPr>
        <w:t xml:space="preserve">    Locked --&gt; Reopened : reason + approval</w:t>
      </w:r>
    </w:p>
    <w:p>
      <w:pPr>
        <w:shd w:fill="1E1E1E"/>
        <w:spacing w:after="0"/>
      </w:pPr>
      <w:r>
        <w:rPr>
          <w:rFonts w:ascii="Consolas" w:cs="Consolas" w:eastAsia="Consolas" w:hAnsi="Consolas"/>
          <w:color w:val="D4D4D4"/>
          <w:sz w:val="17"/>
          <w:szCs w:val="17"/>
        </w:rPr>
        <w:t xml:space="preserve">    Reopened --&gt; Processing</w:t>
      </w:r>
    </w:p>
    <w:p>
      <w:pPr>
        <w:shd w:fill="1E1E1E"/>
        <w:spacing w:after="0"/>
      </w:pPr>
      <w:r>
        <w:rPr>
          <w:rFonts w:ascii="Consolas" w:cs="Consolas" w:eastAsia="Consolas" w:hAnsi="Consolas"/>
          <w:color w:val="D4D4D4"/>
          <w:sz w:val="17"/>
          <w:szCs w:val="17"/>
        </w:rPr>
        <w:t xml:space="preserve">    Locked --&gt; [*]</w:t>
      </w:r>
    </w:p>
    <w:p>
      <w:pPr>
        <w:spacing w:after="160" w:before="60"/>
      </w:pPr>
      <w:r>
        <w:rPr>
          <w:i/>
          <w:iCs/>
          <w:color w:val="595959"/>
          <w:sz w:val="18"/>
          <w:szCs w:val="18"/>
        </w:rPr>
        <w:t xml:space="preserve">Figure 32.7: Matches the Period state machine in Section 12.2.</w:t>
      </w:r>
    </w:p>
    <w:p>
      <w:pPr>
        <w:pStyle w:val="Heading2"/>
        <w:spacing w:after="160" w:before="320"/>
      </w:pPr>
      <w:r>
        <w:rPr>
          <w:b/>
          <w:bCs/>
        </w:rPr>
        <w:t xml:space="preserve">Figure 32.8 — Component Diagram</w:t>
      </w:r>
    </w:p>
    <w:p>
      <w:pPr>
        <w:spacing w:after="40" w:before="120"/>
      </w:pPr>
      <w:r>
        <w:rPr>
          <w:b/>
          <w:bCs/>
          <w:color w:val="1F3864"/>
          <w:sz w:val="19"/>
          <w:szCs w:val="19"/>
        </w:rPr>
        <w:t xml:space="preserve">mermaid</w:t>
      </w:r>
    </w:p>
    <w:p>
      <w:pPr>
        <w:shd w:fill="1E1E1E"/>
        <w:spacing w:after="0"/>
      </w:pPr>
      <w:r>
        <w:rPr>
          <w:rFonts w:ascii="Consolas" w:cs="Consolas" w:eastAsia="Consolas" w:hAnsi="Consolas"/>
          <w:color w:val="D4D4D4"/>
          <w:sz w:val="17"/>
          <w:szCs w:val="17"/>
        </w:rPr>
        <w:t xml:space="preserve">flowchart LR</w:t>
      </w:r>
    </w:p>
    <w:p>
      <w:pPr>
        <w:shd w:fill="1E1E1E"/>
        <w:spacing w:after="0"/>
      </w:pPr>
      <w:r>
        <w:rPr>
          <w:rFonts w:ascii="Consolas" w:cs="Consolas" w:eastAsia="Consolas" w:hAnsi="Consolas"/>
          <w:color w:val="D4D4D4"/>
          <w:sz w:val="17"/>
          <w:szCs w:val="17"/>
        </w:rPr>
        <w:t xml:space="preserve">    UI[Presentation / UI Layer] --&gt; CTRL[Application / Controller Layer]</w:t>
      </w:r>
    </w:p>
    <w:p>
      <w:pPr>
        <w:shd w:fill="1E1E1E"/>
        <w:spacing w:after="0"/>
      </w:pPr>
      <w:r>
        <w:rPr>
          <w:rFonts w:ascii="Consolas" w:cs="Consolas" w:eastAsia="Consolas" w:hAnsi="Consolas"/>
          <w:color w:val="D4D4D4"/>
          <w:sz w:val="17"/>
          <w:szCs w:val="17"/>
        </w:rPr>
        <w:t xml:space="preserve">    CTRL --&gt; BL[Business Logic Layer]</w:t>
      </w:r>
    </w:p>
    <w:p>
      <w:pPr>
        <w:shd w:fill="1E1E1E"/>
        <w:spacing w:after="0"/>
      </w:pPr>
      <w:r>
        <w:rPr>
          <w:rFonts w:ascii="Consolas" w:cs="Consolas" w:eastAsia="Consolas" w:hAnsi="Consolas"/>
          <w:color w:val="D4D4D4"/>
          <w:sz w:val="17"/>
          <w:szCs w:val="17"/>
        </w:rPr>
        <w:t xml:space="preserve">    BL --&gt; ENG[Costing / Calculation Engines]</w:t>
      </w:r>
    </w:p>
    <w:p>
      <w:pPr>
        <w:shd w:fill="1E1E1E"/>
        <w:spacing w:after="0"/>
      </w:pPr>
      <w:r>
        <w:rPr>
          <w:rFonts w:ascii="Consolas" w:cs="Consolas" w:eastAsia="Consolas" w:hAnsi="Consolas"/>
          <w:color w:val="D4D4D4"/>
          <w:sz w:val="17"/>
          <w:szCs w:val="17"/>
        </w:rPr>
        <w:t xml:space="preserve">    BL --&gt; IMP[Data Processing / Import Layer]</w:t>
      </w:r>
    </w:p>
    <w:p>
      <w:pPr>
        <w:shd w:fill="1E1E1E"/>
        <w:spacing w:after="0"/>
      </w:pPr>
      <w:r>
        <w:rPr>
          <w:rFonts w:ascii="Consolas" w:cs="Consolas" w:eastAsia="Consolas" w:hAnsi="Consolas"/>
          <w:color w:val="D4D4D4"/>
          <w:sz w:val="17"/>
          <w:szCs w:val="17"/>
        </w:rPr>
        <w:t xml:space="preserve">    BL --&gt; RPT[Reporting Layer]</w:t>
      </w:r>
    </w:p>
    <w:p>
      <w:pPr>
        <w:shd w:fill="1E1E1E"/>
        <w:spacing w:after="0"/>
      </w:pPr>
      <w:r>
        <w:rPr>
          <w:rFonts w:ascii="Consolas" w:cs="Consolas" w:eastAsia="Consolas" w:hAnsi="Consolas"/>
          <w:color w:val="D4D4D4"/>
          <w:sz w:val="17"/>
          <w:szCs w:val="17"/>
        </w:rPr>
        <w:t xml:space="preserve">    BL --&gt; AI[AI Integration Layer]</w:t>
      </w:r>
    </w:p>
    <w:p>
      <w:pPr>
        <w:shd w:fill="1E1E1E"/>
        <w:spacing w:after="0"/>
      </w:pPr>
      <w:r>
        <w:rPr>
          <w:rFonts w:ascii="Consolas" w:cs="Consolas" w:eastAsia="Consolas" w:hAnsi="Consolas"/>
          <w:color w:val="D4D4D4"/>
          <w:sz w:val="17"/>
          <w:szCs w:val="17"/>
        </w:rPr>
        <w:t xml:space="preserve">    ENG --&gt; DAL[Database Access Layer]</w:t>
      </w:r>
    </w:p>
    <w:p>
      <w:pPr>
        <w:shd w:fill="1E1E1E"/>
        <w:spacing w:after="0"/>
      </w:pPr>
      <w:r>
        <w:rPr>
          <w:rFonts w:ascii="Consolas" w:cs="Consolas" w:eastAsia="Consolas" w:hAnsi="Consolas"/>
          <w:color w:val="D4D4D4"/>
          <w:sz w:val="17"/>
          <w:szCs w:val="17"/>
        </w:rPr>
        <w:t xml:space="preserve">    IMP --&gt; DAL</w:t>
      </w:r>
    </w:p>
    <w:p>
      <w:pPr>
        <w:shd w:fill="1E1E1E"/>
        <w:spacing w:after="0"/>
      </w:pPr>
      <w:r>
        <w:rPr>
          <w:rFonts w:ascii="Consolas" w:cs="Consolas" w:eastAsia="Consolas" w:hAnsi="Consolas"/>
          <w:color w:val="D4D4D4"/>
          <w:sz w:val="17"/>
          <w:szCs w:val="17"/>
        </w:rPr>
        <w:t xml:space="preserve">    RPT --&gt; DAL</w:t>
      </w:r>
    </w:p>
    <w:p>
      <w:pPr>
        <w:shd w:fill="1E1E1E"/>
        <w:spacing w:after="0"/>
      </w:pPr>
      <w:r>
        <w:rPr>
          <w:rFonts w:ascii="Consolas" w:cs="Consolas" w:eastAsia="Consolas" w:hAnsi="Consolas"/>
          <w:color w:val="D4D4D4"/>
          <w:sz w:val="17"/>
          <w:szCs w:val="17"/>
        </w:rPr>
        <w:t xml:space="preserve">    DAL --&gt; PG[(PostgreSQL)]</w:t>
      </w:r>
    </w:p>
    <w:p>
      <w:pPr>
        <w:shd w:fill="1E1E1E"/>
        <w:spacing w:after="0"/>
      </w:pPr>
      <w:r>
        <w:rPr>
          <w:rFonts w:ascii="Consolas" w:cs="Consolas" w:eastAsia="Consolas" w:hAnsi="Consolas"/>
          <w:color w:val="D4D4D4"/>
          <w:sz w:val="17"/>
          <w:szCs w:val="17"/>
        </w:rPr>
        <w:t xml:space="preserve">    IMP --&gt; FS[(File Storage)]</w:t>
      </w:r>
    </w:p>
    <w:p>
      <w:pPr>
        <w:shd w:fill="1E1E1E"/>
        <w:spacing w:after="0"/>
      </w:pPr>
      <w:r>
        <w:rPr>
          <w:rFonts w:ascii="Consolas" w:cs="Consolas" w:eastAsia="Consolas" w:hAnsi="Consolas"/>
          <w:color w:val="D4D4D4"/>
          <w:sz w:val="17"/>
          <w:szCs w:val="17"/>
        </w:rPr>
        <w:t xml:space="preserve">    AI --&gt; EXT[(External AI Service)]</w:t>
      </w:r>
    </w:p>
    <w:p>
      <w:pPr>
        <w:spacing w:after="160" w:before="60"/>
      </w:pPr>
      <w:r>
        <w:rPr>
          <w:i/>
          <w:iCs/>
          <w:color w:val="595959"/>
          <w:sz w:val="18"/>
          <w:szCs w:val="18"/>
        </w:rPr>
        <w:t xml:space="preserve">Figure 32.8: Matches the layered architecture in Section 7 (Part 1).</w:t>
      </w:r>
    </w:p>
    <w:p>
      <w:pPr>
        <w:pStyle w:val="Heading2"/>
        <w:spacing w:after="160" w:before="320"/>
      </w:pPr>
      <w:r>
        <w:rPr>
          <w:b/>
          <w:bCs/>
        </w:rPr>
        <w:t xml:space="preserve">Figure 32.9 — Data Flow / Context Diagram</w:t>
      </w:r>
    </w:p>
    <w:p>
      <w:pPr>
        <w:spacing w:after="40" w:before="120"/>
      </w:pPr>
      <w:r>
        <w:rPr>
          <w:b/>
          <w:bCs/>
          <w:color w:val="1F3864"/>
          <w:sz w:val="19"/>
          <w:szCs w:val="19"/>
        </w:rPr>
        <w:t xml:space="preserve">mermaid</w:t>
      </w:r>
    </w:p>
    <w:p>
      <w:pPr>
        <w:shd w:fill="1E1E1E"/>
        <w:spacing w:after="0"/>
      </w:pPr>
      <w:r>
        <w:rPr>
          <w:rFonts w:ascii="Consolas" w:cs="Consolas" w:eastAsia="Consolas" w:hAnsi="Consolas"/>
          <w:color w:val="D4D4D4"/>
          <w:sz w:val="17"/>
          <w:szCs w:val="17"/>
        </w:rPr>
        <w:t xml:space="preserve">flowchart LR</w:t>
      </w:r>
    </w:p>
    <w:p>
      <w:pPr>
        <w:shd w:fill="1E1E1E"/>
        <w:spacing w:after="0"/>
      </w:pPr>
      <w:r>
        <w:rPr>
          <w:rFonts w:ascii="Consolas" w:cs="Consolas" w:eastAsia="Consolas" w:hAnsi="Consolas"/>
          <w:color w:val="D4D4D4"/>
          <w:sz w:val="17"/>
          <w:szCs w:val="17"/>
        </w:rPr>
        <w:t xml:space="preserve">    SRC[(Customer Source Files)] --&gt;|upload| C360((Cost360))</w:t>
      </w:r>
    </w:p>
    <w:p>
      <w:pPr>
        <w:shd w:fill="1E1E1E"/>
        <w:spacing w:after="0"/>
      </w:pPr>
      <w:r>
        <w:rPr>
          <w:rFonts w:ascii="Consolas" w:cs="Consolas" w:eastAsia="Consolas" w:hAnsi="Consolas"/>
          <w:color w:val="D4D4D4"/>
          <w:sz w:val="17"/>
          <w:szCs w:val="17"/>
        </w:rPr>
        <w:t xml:space="preserve">    C360 --&gt;|mapping suggestions, analytics| AI[(External AI Service)]</w:t>
      </w:r>
    </w:p>
    <w:p>
      <w:pPr>
        <w:shd w:fill="1E1E1E"/>
        <w:spacing w:after="0"/>
      </w:pPr>
      <w:r>
        <w:rPr>
          <w:rFonts w:ascii="Consolas" w:cs="Consolas" w:eastAsia="Consolas" w:hAnsi="Consolas"/>
          <w:color w:val="D4D4D4"/>
          <w:sz w:val="17"/>
          <w:szCs w:val="17"/>
        </w:rPr>
        <w:t xml:space="preserve">    AI --&gt;|suggestions, observations| C360</w:t>
      </w:r>
    </w:p>
    <w:p>
      <w:pPr>
        <w:shd w:fill="1E1E1E"/>
        <w:spacing w:after="0"/>
      </w:pPr>
      <w:r>
        <w:rPr>
          <w:rFonts w:ascii="Consolas" w:cs="Consolas" w:eastAsia="Consolas" w:hAnsi="Consolas"/>
          <w:color w:val="D4D4D4"/>
          <w:sz w:val="17"/>
          <w:szCs w:val="17"/>
        </w:rPr>
        <w:t xml:space="preserve">    C360 --&gt;|dashboards, reports| MGMT[Management User]</w:t>
      </w:r>
    </w:p>
    <w:p>
      <w:pPr>
        <w:shd w:fill="1E1E1E"/>
        <w:spacing w:after="0"/>
      </w:pPr>
      <w:r>
        <w:rPr>
          <w:rFonts w:ascii="Consolas" w:cs="Consolas" w:eastAsia="Consolas" w:hAnsi="Consolas"/>
          <w:color w:val="D4D4D4"/>
          <w:sz w:val="17"/>
          <w:szCs w:val="17"/>
        </w:rPr>
        <w:t xml:space="preserve">    C360 &lt;--&gt;|upload, review, approve| CMA[CMA / Cost Accountant]</w:t>
      </w:r>
    </w:p>
    <w:p>
      <w:pPr>
        <w:shd w:fill="1E1E1E"/>
        <w:spacing w:after="0"/>
      </w:pPr>
      <w:r>
        <w:rPr>
          <w:rFonts w:ascii="Consolas" w:cs="Consolas" w:eastAsia="Consolas" w:hAnsi="Consolas"/>
          <w:color w:val="D4D4D4"/>
          <w:sz w:val="17"/>
          <w:szCs w:val="17"/>
        </w:rPr>
        <w:t xml:space="preserve">    C360 &lt;--&gt;|configure tenant/org| CADMIN[Customer Administrator]</w:t>
      </w:r>
    </w:p>
    <w:p>
      <w:pPr>
        <w:shd w:fill="1E1E1E"/>
        <w:spacing w:after="0"/>
      </w:pPr>
      <w:r>
        <w:rPr>
          <w:rFonts w:ascii="Consolas" w:cs="Consolas" w:eastAsia="Consolas" w:hAnsi="Consolas"/>
          <w:color w:val="D4D4D4"/>
          <w:sz w:val="17"/>
          <w:szCs w:val="17"/>
        </w:rPr>
        <w:t xml:space="preserve">    C360 &lt;--&gt;|audit, sign-off| AUD[Auditor / Reviewer]</w:t>
      </w:r>
    </w:p>
    <w:p>
      <w:pPr>
        <w:shd w:fill="1E1E1E"/>
        <w:spacing w:after="0"/>
      </w:pPr>
      <w:r>
        <w:rPr>
          <w:rFonts w:ascii="Consolas" w:cs="Consolas" w:eastAsia="Consolas" w:hAnsi="Consolas"/>
          <w:color w:val="D4D4D4"/>
          <w:sz w:val="17"/>
          <w:szCs w:val="17"/>
        </w:rPr>
        <w:t xml:space="preserve">    PADMIN[Platform Administrator] --&gt;|onboard, configure| C360</w:t>
      </w:r>
    </w:p>
    <w:p>
      <w:pPr>
        <w:spacing w:after="160" w:before="60"/>
      </w:pPr>
      <w:r>
        <w:rPr>
          <w:i/>
          <w:iCs/>
          <w:color w:val="595959"/>
          <w:sz w:val="18"/>
          <w:szCs w:val="18"/>
        </w:rPr>
        <w:t xml:space="preserve">Figure 32.9: External Context/Data-Flow view, referenced from Section 3.3 (Part 1).</w:t>
      </w:r>
    </w:p>
    <w:p>
      <w:pPr>
        <w:spacing w:after="160"/>
      </w:pPr>
      <w:r>
        <w:t xml:space="preserve">Note: a full Deployment Diagram is provided in Part 4, Section 33 (Deployment Architecture), alongside the Screen Layouts and Test Plan.</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Cost360 — Software Requirements Specification (Part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60" w:before="32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2026-09-23T05:47:16.355Z</dcterms:created>
  <dcterms:modified xsi:type="dcterms:W3CDTF">2026-09-23T05:47:16.364Z</dcterms:modified>
</cp:coreProperties>
</file>

<file path=docProps/custom.xml><?xml version="1.0" encoding="utf-8"?>
<Properties xmlns="http://schemas.openxmlformats.org/officeDocument/2006/custom-properties" xmlns:vt="http://schemas.openxmlformats.org/officeDocument/2006/docPropsVTypes"/>
</file>