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72"/>
          <w:szCs w:val="72"/>
        </w:rPr>
        <w:t xml:space="preserve">COST360</w:t>
      </w:r>
    </w:p>
    <w:p>
      <w:pPr>
        <w:spacing w:after="100"/>
        <w:jc w:val="center"/>
      </w:pPr>
      <w:r>
        <w:rPr>
          <w:color w:val="595959"/>
          <w:sz w:val="28"/>
          <w:szCs w:val="28"/>
        </w:rPr>
        <w:t xml:space="preserve">Manufacturing Cost Intelligence, Product Costing &amp; Audit Platform</w:t>
      </w:r>
    </w:p>
    <w:p>
      <w:pPr>
        <w:spacing w:after="600"/>
        <w:jc w:val="center"/>
      </w:pPr>
      <w:r>
        <w:rPr>
          <w:i/>
          <w:iCs/>
          <w:color w:val="1F3864"/>
          <w:sz w:val="24"/>
          <w:szCs w:val="24"/>
        </w:rPr>
        <w:t xml:space="preserve">“Think Beyond Cost”</w:t>
      </w:r>
    </w:p>
    <w:p>
      <w:pPr>
        <w:spacing w:after="100"/>
        <w:jc w:val="center"/>
      </w:pPr>
      <w:r>
        <w:rPr>
          <w:b/>
          <w:bCs/>
          <w:sz w:val="32"/>
          <w:szCs w:val="32"/>
        </w:rPr>
        <w:t xml:space="preserve">SOFTWARE REQUIREMENTS SPECIFICATION</w:t>
      </w:r>
    </w:p>
    <w:p>
      <w:pPr>
        <w:spacing w:after="1200"/>
        <w:jc w:val="center"/>
      </w:pPr>
      <w:r>
        <w:rPr>
          <w:color w:val="595959"/>
          <w:sz w:val="20"/>
          <w:szCs w:val="20"/>
        </w:rPr>
        <w:t xml:space="preserve">IEEE 830 / ISO 29148-aligned SRS — Final-Year Engineering Project Documentation</w:t>
      </w:r>
    </w:p>
    <w:p>
      <w:pPr>
        <w:spacing w:after="60"/>
        <w:jc w:val="center"/>
      </w:pPr>
      <w:r>
        <w:rPr>
          <w:sz w:val="20"/>
          <w:szCs w:val="20"/>
        </w:rPr>
        <w:t xml:space="preserve">Document ID: COST360-SRS-001</w:t>
      </w:r>
    </w:p>
    <w:p>
      <w:pPr>
        <w:spacing w:after="60"/>
        <w:jc w:val="center"/>
      </w:pPr>
      <w:r>
        <w:rPr>
          <w:sz w:val="20"/>
          <w:szCs w:val="20"/>
        </w:rPr>
        <w:t xml:space="preserve">Version: 0.1 (Draft — Part 1 of 4)</w:t>
      </w:r>
    </w:p>
    <w:p>
      <w:pPr>
        <w:spacing w:after="60"/>
        <w:jc w:val="center"/>
      </w:pPr>
      <w:r>
        <w:rPr>
          <w:sz w:val="20"/>
          <w:szCs w:val="20"/>
        </w:rPr>
        <w:t xml:space="preserve">Date: 22 September 2026</w:t>
      </w:r>
    </w:p>
    <w:p>
      <w:pPr>
        <w:spacing w:after="60"/>
        <w:jc w:val="center"/>
      </w:pPr>
      <w:r>
        <w:rPr>
          <w:b/>
          <w:bCs/>
          <w:color w:val="AA5500"/>
          <w:sz w:val="20"/>
          <w:szCs w:val="20"/>
        </w:rPr>
        <w:t xml:space="preserve">Status: Draft — In Progress</w:t>
      </w:r>
    </w:p>
    <w:p>
      <w:pPr>
        <w:spacing w:after="60"/>
        <w:jc w:val="center"/>
      </w:pPr>
      <w:r>
        <w:rPr>
          <w:sz w:val="20"/>
          <w:szCs w:val="20"/>
        </w:rPr>
        <w:t xml:space="preserve">Classification: Academic Use — Final-Year Engineering Project</w:t>
      </w:r>
    </w:p>
    <w:p>
      <w:r>
        <w:br w:type="page"/>
      </w:r>
    </w:p>
    <w:p>
      <w:pPr>
        <w:sectPr>
          <w:pgSz w:w="11906" w:h="16838" w:orient="portrait"/>
          <w:pgMar w:top="1440" w:right="1440" w:bottom="1440" w:left="1440" w:header="708" w:footer="708" w:gutter="0"/>
          <w:pgNumType/>
          <w:docGrid w:linePitch="360"/>
        </w:sectPr>
      </w:pPr>
    </w:p>
    <w:p>
      <w:pPr>
        <w:pStyle w:val="Heading1"/>
        <w:spacing w:after="240" w:before="480"/>
      </w:pPr>
      <w:r>
        <w:rPr>
          <w:b/>
          <w:bCs/>
        </w:rPr>
        <w:t xml:space="preserve">Document Control</w:t>
      </w:r>
    </w:p>
    <w:p>
      <w:pPr>
        <w:pStyle w:val="Heading2"/>
        <w:spacing w:after="160" w:before="320"/>
      </w:pPr>
      <w:r>
        <w:rPr>
          <w:b/>
          <w:bCs/>
        </w:rPr>
        <w:t xml:space="preserve">Document Information</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600"/>
      </w:tblGrid>
      <w:tr>
        <w:trPr>
          <w:tblHeader/>
        </w:trPr>
        <w:tc>
          <w:tcPr>
            <w:tcW w:type="dxa" w:w="3000"/>
            <w:shd w:fill="1F3864" w:color="auto" w:val="clear"/>
            <w:tcMar>
              <w:top w:type="dxa" w:w="60"/>
              <w:left w:type="dxa" w:w="100"/>
              <w:bottom w:type="dxa" w:w="60"/>
              <w:right w:type="dxa" w:w="100"/>
            </w:tcMar>
            <w:vAlign w:val="center"/>
          </w:tcPr>
          <w:p>
            <w:pPr>
              <w:jc w:val="left"/>
            </w:pPr>
            <w:r>
              <w:rPr>
                <w:b/>
                <w:bCs/>
                <w:color w:val="FFFFFF"/>
                <w:sz w:val="18"/>
                <w:szCs w:val="18"/>
              </w:rPr>
              <w:t xml:space="preserve">Field</w:t>
            </w:r>
          </w:p>
        </w:tc>
        <w:tc>
          <w:tcPr>
            <w:tcW w:type="dxa" w:w="6600"/>
            <w:shd w:fill="1F3864" w:color="auto" w:val="clear"/>
            <w:tcMar>
              <w:top w:type="dxa" w:w="60"/>
              <w:left w:type="dxa" w:w="100"/>
              <w:bottom w:type="dxa" w:w="60"/>
              <w:right w:type="dxa" w:w="100"/>
            </w:tcMar>
            <w:vAlign w:val="center"/>
          </w:tcPr>
          <w:p>
            <w:pPr>
              <w:jc w:val="left"/>
            </w:pPr>
            <w:r>
              <w:rPr>
                <w:b/>
                <w:bCs/>
                <w:color w:val="FFFFFF"/>
                <w:sz w:val="18"/>
                <w:szCs w:val="18"/>
              </w:rPr>
              <w:t xml:space="preserve">Value</w:t>
            </w:r>
          </w:p>
        </w:tc>
      </w:tr>
      <w:tr>
        <w:tc>
          <w:tcPr>
            <w:tcW w:type="dxa" w:w="3000"/>
            <w:tcMar>
              <w:top w:type="dxa" w:w="60"/>
              <w:left w:type="dxa" w:w="100"/>
              <w:bottom w:type="dxa" w:w="60"/>
              <w:right w:type="dxa" w:w="100"/>
            </w:tcMar>
            <w:vAlign w:val="center"/>
          </w:tcPr>
          <w:p>
            <w:pPr>
              <w:jc w:val="left"/>
            </w:pPr>
            <w:r>
              <w:rPr>
                <w:b w:val="false"/>
                <w:bCs w:val="false"/>
                <w:sz w:val="18"/>
                <w:szCs w:val="18"/>
              </w:rPr>
              <w:t xml:space="preserve">Project Name</w:t>
            </w:r>
          </w:p>
        </w:tc>
        <w:tc>
          <w:tcPr>
            <w:tcW w:type="dxa" w:w="6600"/>
            <w:tcMar>
              <w:top w:type="dxa" w:w="60"/>
              <w:left w:type="dxa" w:w="100"/>
              <w:bottom w:type="dxa" w:w="60"/>
              <w:right w:type="dxa" w:w="100"/>
            </w:tcMar>
            <w:vAlign w:val="center"/>
          </w:tcPr>
          <w:p>
            <w:pPr>
              <w:jc w:val="left"/>
            </w:pPr>
            <w:r>
              <w:rPr>
                <w:b w:val="false"/>
                <w:bCs w:val="false"/>
                <w:sz w:val="18"/>
                <w:szCs w:val="18"/>
              </w:rPr>
              <w:t xml:space="preserve">Cost360 — Manufacturing Cost Intelligence, Product Costing &amp; Audit Platform</w:t>
            </w:r>
          </w:p>
        </w:tc>
      </w:tr>
      <w:tr>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Document Name</w:t>
            </w:r>
          </w:p>
        </w:tc>
        <w:tc>
          <w:tcPr>
            <w:tcW w:type="dxa" w:w="6600"/>
            <w:shd w:fill="F2F2F2" w:color="auto" w:val="clear"/>
            <w:tcMar>
              <w:top w:type="dxa" w:w="60"/>
              <w:left w:type="dxa" w:w="100"/>
              <w:bottom w:type="dxa" w:w="60"/>
              <w:right w:type="dxa" w:w="100"/>
            </w:tcMar>
            <w:vAlign w:val="center"/>
          </w:tcPr>
          <w:p>
            <w:pPr>
              <w:jc w:val="left"/>
            </w:pPr>
            <w:r>
              <w:rPr>
                <w:b w:val="false"/>
                <w:bCs w:val="false"/>
                <w:sz w:val="18"/>
                <w:szCs w:val="18"/>
              </w:rPr>
              <w:t xml:space="preserve">Software Requirements Specification (SRS)</w:t>
            </w:r>
          </w:p>
        </w:tc>
      </w:tr>
      <w:tr>
        <w:tc>
          <w:tcPr>
            <w:tcW w:type="dxa" w:w="3000"/>
            <w:tcMar>
              <w:top w:type="dxa" w:w="60"/>
              <w:left w:type="dxa" w:w="100"/>
              <w:bottom w:type="dxa" w:w="60"/>
              <w:right w:type="dxa" w:w="100"/>
            </w:tcMar>
            <w:vAlign w:val="center"/>
          </w:tcPr>
          <w:p>
            <w:pPr>
              <w:jc w:val="left"/>
            </w:pPr>
            <w:r>
              <w:rPr>
                <w:b w:val="false"/>
                <w:bCs w:val="false"/>
                <w:sz w:val="18"/>
                <w:szCs w:val="18"/>
              </w:rPr>
              <w:t xml:space="preserve">Document ID</w:t>
            </w:r>
          </w:p>
        </w:tc>
        <w:tc>
          <w:tcPr>
            <w:tcW w:type="dxa" w:w="6600"/>
            <w:tcMar>
              <w:top w:type="dxa" w:w="60"/>
              <w:left w:type="dxa" w:w="100"/>
              <w:bottom w:type="dxa" w:w="60"/>
              <w:right w:type="dxa" w:w="100"/>
            </w:tcMar>
            <w:vAlign w:val="center"/>
          </w:tcPr>
          <w:p>
            <w:pPr>
              <w:jc w:val="left"/>
            </w:pPr>
            <w:r>
              <w:rPr>
                <w:b w:val="false"/>
                <w:bCs w:val="false"/>
                <w:sz w:val="18"/>
                <w:szCs w:val="18"/>
              </w:rPr>
              <w:t xml:space="preserve">COST360-SRS-001</w:t>
            </w:r>
          </w:p>
        </w:tc>
      </w:tr>
      <w:tr>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Version</w:t>
            </w:r>
          </w:p>
        </w:tc>
        <w:tc>
          <w:tcPr>
            <w:tcW w:type="dxa" w:w="6600"/>
            <w:shd w:fill="F2F2F2" w:color="auto" w:val="clear"/>
            <w:tcMar>
              <w:top w:type="dxa" w:w="60"/>
              <w:left w:type="dxa" w:w="100"/>
              <w:bottom w:type="dxa" w:w="60"/>
              <w:right w:type="dxa" w:w="100"/>
            </w:tcMar>
            <w:vAlign w:val="center"/>
          </w:tcPr>
          <w:p>
            <w:pPr>
              <w:jc w:val="left"/>
            </w:pPr>
            <w:r>
              <w:rPr>
                <w:b w:val="false"/>
                <w:bCs w:val="false"/>
                <w:sz w:val="18"/>
                <w:szCs w:val="18"/>
              </w:rPr>
              <w:t xml:space="preserve">0.1 (Draft, Part 1 of 4 — see Document Build Plan below)</w:t>
            </w:r>
          </w:p>
        </w:tc>
      </w:tr>
      <w:tr>
        <w:tc>
          <w:tcPr>
            <w:tcW w:type="dxa" w:w="3000"/>
            <w:tcMar>
              <w:top w:type="dxa" w:w="60"/>
              <w:left w:type="dxa" w:w="100"/>
              <w:bottom w:type="dxa" w:w="60"/>
              <w:right w:type="dxa" w:w="100"/>
            </w:tcMar>
            <w:vAlign w:val="center"/>
          </w:tcPr>
          <w:p>
            <w:pPr>
              <w:jc w:val="left"/>
            </w:pPr>
            <w:r>
              <w:rPr>
                <w:b w:val="false"/>
                <w:bCs w:val="false"/>
                <w:sz w:val="18"/>
                <w:szCs w:val="18"/>
              </w:rPr>
              <w:t xml:space="preserve">Date</w:t>
            </w:r>
          </w:p>
        </w:tc>
        <w:tc>
          <w:tcPr>
            <w:tcW w:type="dxa" w:w="6600"/>
            <w:tcMar>
              <w:top w:type="dxa" w:w="60"/>
              <w:left w:type="dxa" w:w="100"/>
              <w:bottom w:type="dxa" w:w="60"/>
              <w:right w:type="dxa" w:w="100"/>
            </w:tcMar>
            <w:vAlign w:val="center"/>
          </w:tcPr>
          <w:p>
            <w:pPr>
              <w:jc w:val="left"/>
            </w:pPr>
            <w:r>
              <w:rPr>
                <w:b w:val="false"/>
                <w:bCs w:val="false"/>
                <w:sz w:val="18"/>
                <w:szCs w:val="18"/>
              </w:rPr>
              <w:t xml:space="preserve">22 September 2026</w:t>
            </w:r>
          </w:p>
        </w:tc>
      </w:tr>
      <w:tr>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Prepared By</w:t>
            </w:r>
          </w:p>
        </w:tc>
        <w:tc>
          <w:tcPr>
            <w:tcW w:type="dxa" w:w="6600"/>
            <w:shd w:fill="F2F2F2" w:color="auto" w:val="clear"/>
            <w:tcMar>
              <w:top w:type="dxa" w:w="60"/>
              <w:left w:type="dxa" w:w="100"/>
              <w:bottom w:type="dxa" w:w="60"/>
              <w:right w:type="dxa" w:w="100"/>
            </w:tcMar>
            <w:vAlign w:val="center"/>
          </w:tcPr>
          <w:p>
            <w:pPr>
              <w:jc w:val="left"/>
            </w:pPr>
            <w:r>
              <w:rPr>
                <w:b w:val="false"/>
                <w:bCs w:val="false"/>
                <w:sz w:val="18"/>
                <w:szCs w:val="18"/>
              </w:rPr>
              <w:t xml:space="preserve">Student Author (Final-Year Engineering Project) — assisted by Claude (Anthropic)</w:t>
            </w:r>
          </w:p>
        </w:tc>
      </w:tr>
      <w:tr>
        <w:tc>
          <w:tcPr>
            <w:tcW w:type="dxa" w:w="3000"/>
            <w:tcMar>
              <w:top w:type="dxa" w:w="60"/>
              <w:left w:type="dxa" w:w="100"/>
              <w:bottom w:type="dxa" w:w="60"/>
              <w:right w:type="dxa" w:w="100"/>
            </w:tcMar>
            <w:vAlign w:val="center"/>
          </w:tcPr>
          <w:p>
            <w:pPr>
              <w:jc w:val="left"/>
            </w:pPr>
            <w:r>
              <w:rPr>
                <w:b w:val="false"/>
                <w:bCs w:val="false"/>
                <w:sz w:val="18"/>
                <w:szCs w:val="18"/>
              </w:rPr>
              <w:t xml:space="preserve">Reviewed By</w:t>
            </w:r>
          </w:p>
        </w:tc>
        <w:tc>
          <w:tcPr>
            <w:tcW w:type="dxa" w:w="6600"/>
            <w:tcMar>
              <w:top w:type="dxa" w:w="60"/>
              <w:left w:type="dxa" w:w="100"/>
              <w:bottom w:type="dxa" w:w="60"/>
              <w:right w:type="dxa" w:w="100"/>
            </w:tcMar>
            <w:vAlign w:val="center"/>
          </w:tcPr>
          <w:p>
            <w:pPr>
              <w:jc w:val="left"/>
            </w:pPr>
            <w:r>
              <w:rPr>
                <w:b w:val="false"/>
                <w:bCs w:val="false"/>
                <w:sz w:val="18"/>
                <w:szCs w:val="18"/>
              </w:rPr>
              <w:t xml:space="preserve">To Be Confirmed — Project Guide / Internal Reviewer</w:t>
            </w:r>
          </w:p>
        </w:tc>
      </w:tr>
      <w:tr>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Approved By</w:t>
            </w:r>
          </w:p>
        </w:tc>
        <w:tc>
          <w:tcPr>
            <w:tcW w:type="dxa" w:w="6600"/>
            <w:shd w:fill="F2F2F2" w:color="auto" w:val="clear"/>
            <w:tcMar>
              <w:top w:type="dxa" w:w="60"/>
              <w:left w:type="dxa" w:w="100"/>
              <w:bottom w:type="dxa" w:w="60"/>
              <w:right w:type="dxa" w:w="100"/>
            </w:tcMar>
            <w:vAlign w:val="center"/>
          </w:tcPr>
          <w:p>
            <w:pPr>
              <w:jc w:val="left"/>
            </w:pPr>
            <w:r>
              <w:rPr>
                <w:b w:val="false"/>
                <w:bCs w:val="false"/>
                <w:sz w:val="18"/>
                <w:szCs w:val="18"/>
              </w:rPr>
              <w:t xml:space="preserve">To Be Confirmed — Project Guide / HOD / External Examiner</w:t>
            </w:r>
          </w:p>
        </w:tc>
      </w:tr>
      <w:tr>
        <w:tc>
          <w:tcPr>
            <w:tcW w:type="dxa" w:w="3000"/>
            <w:tcMar>
              <w:top w:type="dxa" w:w="60"/>
              <w:left w:type="dxa" w:w="100"/>
              <w:bottom w:type="dxa" w:w="60"/>
              <w:right w:type="dxa" w:w="100"/>
            </w:tcMar>
            <w:vAlign w:val="center"/>
          </w:tcPr>
          <w:p>
            <w:pPr>
              <w:jc w:val="left"/>
            </w:pPr>
            <w:r>
              <w:rPr>
                <w:b w:val="false"/>
                <w:bCs w:val="false"/>
                <w:sz w:val="18"/>
                <w:szCs w:val="18"/>
              </w:rPr>
              <w:t xml:space="preserve">Status</w:t>
            </w:r>
          </w:p>
        </w:tc>
        <w:tc>
          <w:tcPr>
            <w:tcW w:type="dxa" w:w="6600"/>
            <w:tcMar>
              <w:top w:type="dxa" w:w="60"/>
              <w:left w:type="dxa" w:w="100"/>
              <w:bottom w:type="dxa" w:w="60"/>
              <w:right w:type="dxa" w:w="100"/>
            </w:tcMar>
            <w:vAlign w:val="center"/>
          </w:tcPr>
          <w:p>
            <w:pPr>
              <w:jc w:val="left"/>
            </w:pPr>
            <w:r>
              <w:rPr>
                <w:b w:val="false"/>
                <w:bCs w:val="false"/>
                <w:sz w:val="18"/>
                <w:szCs w:val="18"/>
              </w:rPr>
              <w:t xml:space="preserve">Draft — In Progress</w:t>
            </w:r>
          </w:p>
        </w:tc>
      </w:tr>
      <w:tr>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Confidentiality</w:t>
            </w:r>
          </w:p>
        </w:tc>
        <w:tc>
          <w:tcPr>
            <w:tcW w:type="dxa" w:w="6600"/>
            <w:shd w:fill="F2F2F2" w:color="auto" w:val="clear"/>
            <w:tcMar>
              <w:top w:type="dxa" w:w="60"/>
              <w:left w:type="dxa" w:w="100"/>
              <w:bottom w:type="dxa" w:w="60"/>
              <w:right w:type="dxa" w:w="100"/>
            </w:tcMar>
            <w:vAlign w:val="center"/>
          </w:tcPr>
          <w:p>
            <w:pPr>
              <w:jc w:val="left"/>
            </w:pPr>
            <w:r>
              <w:rPr>
                <w:b w:val="false"/>
                <w:bCs w:val="false"/>
                <w:sz w:val="18"/>
                <w:szCs w:val="18"/>
              </w:rPr>
              <w:t xml:space="preserve">Academic Use Only. Not for commercial distribution. Prepared solely for engineering degree evaluation and project documentation.</w:t>
            </w:r>
          </w:p>
        </w:tc>
      </w:tr>
    </w:tbl>
    <w:p>
      <w:pPr>
        <w:spacing w:after="200"/>
      </w:pPr>
    </w:p>
    <w:p>
      <w:pPr>
        <w:pStyle w:val="Heading2"/>
        <w:spacing w:after="160" w:before="320"/>
      </w:pPr>
      <w:r>
        <w:rPr>
          <w:b/>
          <w:bCs/>
        </w:rPr>
        <w:t xml:space="preserve">Document Build Plan</w:t>
      </w:r>
    </w:p>
    <w:p>
      <w:pPr>
        <w:spacing w:after="160"/>
      </w:pPr>
      <w:r>
        <w:t xml:space="preserve">Given the scope requested (a full implementation-grade SRS spanning 40 sections — functional requirements, database design, UML, screen specifications, and a complete test suite), this document is being assembled in four sequential parts that will be merged into one final Word file. This is Part 1.</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900"/>
        <w:gridCol w:w="6400"/>
        <w:gridCol w:w="1300"/>
      </w:tblGrid>
      <w:tr>
        <w:trPr>
          <w:tblHeader/>
        </w:trPr>
        <w:tc>
          <w:tcPr>
            <w:tcW w:type="dxa" w:w="1900"/>
            <w:shd w:fill="1F3864" w:color="auto" w:val="clear"/>
            <w:tcMar>
              <w:top w:type="dxa" w:w="60"/>
              <w:left w:type="dxa" w:w="100"/>
              <w:bottom w:type="dxa" w:w="60"/>
              <w:right w:type="dxa" w:w="100"/>
            </w:tcMar>
            <w:vAlign w:val="center"/>
          </w:tcPr>
          <w:p>
            <w:pPr>
              <w:jc w:val="left"/>
            </w:pPr>
            <w:r>
              <w:rPr>
                <w:b/>
                <w:bCs/>
                <w:color w:val="FFFFFF"/>
                <w:sz w:val="18"/>
                <w:szCs w:val="18"/>
              </w:rPr>
              <w:t xml:space="preserve">Part</w:t>
            </w:r>
          </w:p>
        </w:tc>
        <w:tc>
          <w:tcPr>
            <w:tcW w:type="dxa" w:w="6400"/>
            <w:shd w:fill="1F3864" w:color="auto" w:val="clear"/>
            <w:tcMar>
              <w:top w:type="dxa" w:w="60"/>
              <w:left w:type="dxa" w:w="100"/>
              <w:bottom w:type="dxa" w:w="60"/>
              <w:right w:type="dxa" w:w="100"/>
            </w:tcMar>
            <w:vAlign w:val="center"/>
          </w:tcPr>
          <w:p>
            <w:pPr>
              <w:jc w:val="left"/>
            </w:pPr>
            <w:r>
              <w:rPr>
                <w:b/>
                <w:bCs/>
                <w:color w:val="FFFFFF"/>
                <w:sz w:val="18"/>
                <w:szCs w:val="18"/>
              </w:rPr>
              <w:t xml:space="preserve">Contents</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Status</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Part 1 (this document)</w:t>
            </w:r>
          </w:p>
        </w:tc>
        <w:tc>
          <w:tcPr>
            <w:tcW w:type="dxa" w:w="6400"/>
            <w:tcMar>
              <w:top w:type="dxa" w:w="60"/>
              <w:left w:type="dxa" w:w="100"/>
              <w:bottom w:type="dxa" w:w="60"/>
              <w:right w:type="dxa" w:w="100"/>
            </w:tcMar>
            <w:vAlign w:val="center"/>
          </w:tcPr>
          <w:p>
            <w:pPr>
              <w:jc w:val="left"/>
            </w:pPr>
            <w:r>
              <w:rPr>
                <w:b w:val="false"/>
                <w:bCs w:val="false"/>
                <w:sz w:val="18"/>
                <w:szCs w:val="18"/>
              </w:rPr>
              <w:t xml:space="preserve">Document Control; Introduction; Overall Description; System Context &amp; Product Perspective; Stakeholders, User Classes &amp; RBAC; System Architecture; Menu &amp; Interface Specification</w:t>
            </w:r>
          </w:p>
        </w:tc>
        <w:tc>
          <w:tcPr>
            <w:tcW w:type="dxa" w:w="1300"/>
            <w:tcMar>
              <w:top w:type="dxa" w:w="60"/>
              <w:left w:type="dxa" w:w="100"/>
              <w:bottom w:type="dxa" w:w="60"/>
              <w:right w:type="dxa" w:w="100"/>
            </w:tcMar>
            <w:vAlign w:val="center"/>
          </w:tcPr>
          <w:p>
            <w:pPr>
              <w:jc w:val="left"/>
            </w:pPr>
            <w:r>
              <w:rPr>
                <w:b w:val="false"/>
                <w:bCs w:val="false"/>
                <w:sz w:val="18"/>
                <w:szCs w:val="18"/>
              </w:rPr>
              <w:t xml:space="preserve">Complete</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Part 2</w:t>
            </w:r>
          </w:p>
        </w:tc>
        <w:tc>
          <w:tcPr>
            <w:tcW w:type="dxa" w:w="6400"/>
            <w:shd w:fill="F2F2F2" w:color="auto" w:val="clear"/>
            <w:tcMar>
              <w:top w:type="dxa" w:w="60"/>
              <w:left w:type="dxa" w:w="100"/>
              <w:bottom w:type="dxa" w:w="60"/>
              <w:right w:type="dxa" w:w="100"/>
            </w:tcMar>
            <w:vAlign w:val="center"/>
          </w:tcPr>
          <w:p>
            <w:pPr>
              <w:jc w:val="left"/>
            </w:pPr>
            <w:r>
              <w:rPr>
                <w:b w:val="false"/>
                <w:bCs w:val="false"/>
                <w:sz w:val="18"/>
                <w:szCs w:val="18"/>
              </w:rPr>
              <w:t xml:space="preserve">Functional Requirements; Module Specifications; Master Data Specification; Transaction Specification; Data Dictionary; PostgreSQL Implementation &amp; PHP Connectivity</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Pending</w:t>
            </w:r>
          </w:p>
        </w:tc>
      </w:tr>
      <w:tr>
        <w:tc>
          <w:tcPr>
            <w:tcW w:type="dxa" w:w="1900"/>
            <w:tcMar>
              <w:top w:type="dxa" w:w="60"/>
              <w:left w:type="dxa" w:w="100"/>
              <w:bottom w:type="dxa" w:w="60"/>
              <w:right w:type="dxa" w:w="100"/>
            </w:tcMar>
            <w:vAlign w:val="center"/>
          </w:tcPr>
          <w:p>
            <w:pPr>
              <w:jc w:val="left"/>
            </w:pPr>
            <w:r>
              <w:rPr>
                <w:b w:val="false"/>
                <w:bCs w:val="false"/>
                <w:sz w:val="18"/>
                <w:szCs w:val="18"/>
              </w:rPr>
              <w:t xml:space="preserve">Part 3</w:t>
            </w:r>
          </w:p>
        </w:tc>
        <w:tc>
          <w:tcPr>
            <w:tcW w:type="dxa" w:w="6400"/>
            <w:tcMar>
              <w:top w:type="dxa" w:w="60"/>
              <w:left w:type="dxa" w:w="100"/>
              <w:bottom w:type="dxa" w:w="60"/>
              <w:right w:type="dxa" w:w="100"/>
            </w:tcMar>
            <w:vAlign w:val="center"/>
          </w:tcPr>
          <w:p>
            <w:pPr>
              <w:jc w:val="left"/>
            </w:pPr>
            <w:r>
              <w:rPr>
                <w:b w:val="false"/>
                <w:bCs w:val="false"/>
                <w:sz w:val="18"/>
                <w:szCs w:val="18"/>
              </w:rPr>
              <w:t xml:space="preserve">Workflow, Dashboard &amp; Report Specification; Business Rules; Validation Rules; Non-Functional Requirements; Security Architecture; Audit &amp; Data Lineage; Integration &amp; AI Requirements; Error Handling &amp; Notifications; Performance, Backup &amp; Recovery; Process Flows; UML Diagrams</w:t>
            </w:r>
          </w:p>
        </w:tc>
        <w:tc>
          <w:tcPr>
            <w:tcW w:type="dxa" w:w="1300"/>
            <w:tcMar>
              <w:top w:type="dxa" w:w="60"/>
              <w:left w:type="dxa" w:w="100"/>
              <w:bottom w:type="dxa" w:w="60"/>
              <w:right w:type="dxa" w:w="100"/>
            </w:tcMar>
            <w:vAlign w:val="center"/>
          </w:tcPr>
          <w:p>
            <w:pPr>
              <w:jc w:val="left"/>
            </w:pPr>
            <w:r>
              <w:rPr>
                <w:b w:val="false"/>
                <w:bCs w:val="false"/>
                <w:sz w:val="18"/>
                <w:szCs w:val="18"/>
              </w:rPr>
              <w:t xml:space="preserve">Pending</w:t>
            </w:r>
          </w:p>
        </w:tc>
      </w:tr>
      <w:tr>
        <w:tc>
          <w:tcPr>
            <w:tcW w:type="dxa" w:w="1900"/>
            <w:shd w:fill="F2F2F2" w:color="auto" w:val="clear"/>
            <w:tcMar>
              <w:top w:type="dxa" w:w="60"/>
              <w:left w:type="dxa" w:w="100"/>
              <w:bottom w:type="dxa" w:w="60"/>
              <w:right w:type="dxa" w:w="100"/>
            </w:tcMar>
            <w:vAlign w:val="center"/>
          </w:tcPr>
          <w:p>
            <w:pPr>
              <w:jc w:val="left"/>
            </w:pPr>
            <w:r>
              <w:rPr>
                <w:b w:val="false"/>
                <w:bCs w:val="false"/>
                <w:sz w:val="18"/>
                <w:szCs w:val="18"/>
              </w:rPr>
              <w:t xml:space="preserve">Part 4</w:t>
            </w:r>
          </w:p>
        </w:tc>
        <w:tc>
          <w:tcPr>
            <w:tcW w:type="dxa" w:w="6400"/>
            <w:shd w:fill="F2F2F2" w:color="auto" w:val="clear"/>
            <w:tcMar>
              <w:top w:type="dxa" w:w="60"/>
              <w:left w:type="dxa" w:w="100"/>
              <w:bottom w:type="dxa" w:w="60"/>
              <w:right w:type="dxa" w:w="100"/>
            </w:tcMar>
            <w:vAlign w:val="center"/>
          </w:tcPr>
          <w:p>
            <w:pPr>
              <w:jc w:val="left"/>
            </w:pPr>
            <w:r>
              <w:rPr>
                <w:b w:val="false"/>
                <w:bCs w:val="false"/>
                <w:sz w:val="18"/>
                <w:szCs w:val="18"/>
              </w:rPr>
              <w:t xml:space="preserve">Screen Layouts/Wireframes; Deployment Architecture; Test Strategy &amp; Detailed Test Cases; Requirements Traceability Matrix; Assumptions &amp; Open Decisions; Risks; MVP/Phase Scope; Glossary; References; Appendices</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Pending</w:t>
            </w:r>
          </w:p>
        </w:tc>
      </w:tr>
    </w:tbl>
    <w:p>
      <w:pPr>
        <w:spacing w:after="200"/>
      </w:pPr>
    </w:p>
    <w:p>
      <w:pPr>
        <w:pStyle w:val="Heading2"/>
        <w:spacing w:after="160" w:before="320"/>
      </w:pPr>
      <w:r>
        <w:rPr>
          <w:b/>
          <w:bCs/>
        </w:rPr>
        <w:t xml:space="preserve">Revision History</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800"/>
        <w:gridCol w:w="2400"/>
        <w:gridCol w:w="39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Version</w:t>
            </w:r>
          </w:p>
        </w:tc>
        <w:tc>
          <w:tcPr>
            <w:tcW w:type="dxa" w:w="1800"/>
            <w:shd w:fill="1F3864" w:color="auto" w:val="clear"/>
            <w:tcMar>
              <w:top w:type="dxa" w:w="60"/>
              <w:left w:type="dxa" w:w="100"/>
              <w:bottom w:type="dxa" w:w="60"/>
              <w:right w:type="dxa" w:w="100"/>
            </w:tcMar>
            <w:vAlign w:val="center"/>
          </w:tcPr>
          <w:p>
            <w:pPr>
              <w:jc w:val="left"/>
            </w:pPr>
            <w:r>
              <w:rPr>
                <w:b/>
                <w:bCs/>
                <w:color w:val="FFFFFF"/>
                <w:sz w:val="18"/>
                <w:szCs w:val="18"/>
              </w:rPr>
              <w:t xml:space="preserve">Date</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Author</w:t>
            </w:r>
          </w:p>
        </w:tc>
        <w:tc>
          <w:tcPr>
            <w:tcW w:type="dxa" w:w="3900"/>
            <w:shd w:fill="1F3864" w:color="auto" w:val="clear"/>
            <w:tcMar>
              <w:top w:type="dxa" w:w="60"/>
              <w:left w:type="dxa" w:w="100"/>
              <w:bottom w:type="dxa" w:w="60"/>
              <w:right w:type="dxa" w:w="100"/>
            </w:tcMar>
            <w:vAlign w:val="center"/>
          </w:tcPr>
          <w:p>
            <w:pPr>
              <w:jc w:val="left"/>
            </w:pPr>
            <w:r>
              <w:rPr>
                <w:b/>
                <w:bCs/>
                <w:color w:val="FFFFFF"/>
                <w:sz w:val="18"/>
                <w:szCs w:val="18"/>
              </w:rPr>
              <w:t xml:space="preserve">Description of Change</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0.1</w:t>
            </w:r>
          </w:p>
        </w:tc>
        <w:tc>
          <w:tcPr>
            <w:tcW w:type="dxa" w:w="1800"/>
            <w:tcMar>
              <w:top w:type="dxa" w:w="60"/>
              <w:left w:type="dxa" w:w="100"/>
              <w:bottom w:type="dxa" w:w="60"/>
              <w:right w:type="dxa" w:w="100"/>
            </w:tcMar>
            <w:vAlign w:val="center"/>
          </w:tcPr>
          <w:p>
            <w:pPr>
              <w:jc w:val="left"/>
            </w:pPr>
            <w:r>
              <w:rPr>
                <w:b w:val="false"/>
                <w:bCs w:val="false"/>
                <w:sz w:val="18"/>
                <w:szCs w:val="18"/>
              </w:rPr>
              <w:t xml:space="preserve">22-Sep-2026</w:t>
            </w:r>
          </w:p>
        </w:tc>
        <w:tc>
          <w:tcPr>
            <w:tcW w:type="dxa" w:w="2400"/>
            <w:tcMar>
              <w:top w:type="dxa" w:w="60"/>
              <w:left w:type="dxa" w:w="100"/>
              <w:bottom w:type="dxa" w:w="60"/>
              <w:right w:type="dxa" w:w="100"/>
            </w:tcMar>
            <w:vAlign w:val="center"/>
          </w:tcPr>
          <w:p>
            <w:pPr>
              <w:jc w:val="left"/>
            </w:pPr>
            <w:r>
              <w:rPr>
                <w:b w:val="false"/>
                <w:bCs w:val="false"/>
                <w:sz w:val="18"/>
                <w:szCs w:val="18"/>
              </w:rPr>
              <w:t xml:space="preserve">Student Author / Claude</w:t>
            </w:r>
          </w:p>
        </w:tc>
        <w:tc>
          <w:tcPr>
            <w:tcW w:type="dxa" w:w="3900"/>
            <w:tcMar>
              <w:top w:type="dxa" w:w="60"/>
              <w:left w:type="dxa" w:w="100"/>
              <w:bottom w:type="dxa" w:w="60"/>
              <w:right w:type="dxa" w:w="100"/>
            </w:tcMar>
            <w:vAlign w:val="center"/>
          </w:tcPr>
          <w:p>
            <w:pPr>
              <w:jc w:val="left"/>
            </w:pPr>
            <w:r>
              <w:rPr>
                <w:b w:val="false"/>
                <w:bCs w:val="false"/>
                <w:sz w:val="18"/>
                <w:szCs w:val="18"/>
              </w:rPr>
              <w:t xml:space="preserve">Initial draft — Part 1 (Sections 1–4, 7, 9)</w:t>
            </w:r>
          </w:p>
        </w:tc>
      </w:tr>
    </w:tbl>
    <w:p>
      <w:pPr>
        <w:spacing w:after="200"/>
      </w:pPr>
    </w:p>
    <w:p>
      <w:pPr>
        <w:pStyle w:val="Heading2"/>
        <w:spacing w:after="160" w:before="320"/>
      </w:pPr>
      <w:r>
        <w:rPr>
          <w:b/>
          <w:bCs/>
        </w:rPr>
        <w:t xml:space="preserve">Approval Table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700"/>
        <w:gridCol w:w="2700"/>
        <w:gridCol w:w="2100"/>
        <w:gridCol w:w="2100"/>
      </w:tblGrid>
      <w:tr>
        <w:trPr>
          <w:tblHeader/>
        </w:trPr>
        <w:tc>
          <w:tcPr>
            <w:tcW w:type="dxa" w:w="2700"/>
            <w:shd w:fill="1F3864" w:color="auto" w:val="clear"/>
            <w:tcMar>
              <w:top w:type="dxa" w:w="60"/>
              <w:left w:type="dxa" w:w="100"/>
              <w:bottom w:type="dxa" w:w="60"/>
              <w:right w:type="dxa" w:w="100"/>
            </w:tcMar>
            <w:vAlign w:val="center"/>
          </w:tcPr>
          <w:p>
            <w:pPr>
              <w:jc w:val="left"/>
            </w:pPr>
            <w:r>
              <w:rPr>
                <w:b/>
                <w:bCs/>
                <w:color w:val="FFFFFF"/>
                <w:sz w:val="18"/>
                <w:szCs w:val="18"/>
              </w:rPr>
              <w:t xml:space="preserve">Name</w:t>
            </w:r>
          </w:p>
        </w:tc>
        <w:tc>
          <w:tcPr>
            <w:tcW w:type="dxa" w:w="2700"/>
            <w:shd w:fill="1F3864" w:color="auto" w:val="clear"/>
            <w:tcMar>
              <w:top w:type="dxa" w:w="60"/>
              <w:left w:type="dxa" w:w="100"/>
              <w:bottom w:type="dxa" w:w="60"/>
              <w:right w:type="dxa" w:w="100"/>
            </w:tcMar>
            <w:vAlign w:val="center"/>
          </w:tcPr>
          <w:p>
            <w:pPr>
              <w:jc w:val="left"/>
            </w:pPr>
            <w:r>
              <w:rPr>
                <w:b/>
                <w:bCs/>
                <w:color w:val="FFFFFF"/>
                <w:sz w:val="18"/>
                <w:szCs w:val="18"/>
              </w:rPr>
              <w:t xml:space="preserve">Role</w:t>
            </w:r>
          </w:p>
        </w:tc>
        <w:tc>
          <w:tcPr>
            <w:tcW w:type="dxa" w:w="2100"/>
            <w:shd w:fill="1F3864" w:color="auto" w:val="clear"/>
            <w:tcMar>
              <w:top w:type="dxa" w:w="60"/>
              <w:left w:type="dxa" w:w="100"/>
              <w:bottom w:type="dxa" w:w="60"/>
              <w:right w:type="dxa" w:w="100"/>
            </w:tcMar>
            <w:vAlign w:val="center"/>
          </w:tcPr>
          <w:p>
            <w:pPr>
              <w:jc w:val="left"/>
            </w:pPr>
            <w:r>
              <w:rPr>
                <w:b/>
                <w:bCs/>
                <w:color w:val="FFFFFF"/>
                <w:sz w:val="18"/>
                <w:szCs w:val="18"/>
              </w:rPr>
              <w:t xml:space="preserve">Signature</w:t>
            </w:r>
          </w:p>
        </w:tc>
        <w:tc>
          <w:tcPr>
            <w:tcW w:type="dxa" w:w="2100"/>
            <w:shd w:fill="1F3864" w:color="auto" w:val="clear"/>
            <w:tcMar>
              <w:top w:type="dxa" w:w="60"/>
              <w:left w:type="dxa" w:w="100"/>
              <w:bottom w:type="dxa" w:w="60"/>
              <w:right w:type="dxa" w:w="100"/>
            </w:tcMar>
            <w:vAlign w:val="center"/>
          </w:tcPr>
          <w:p>
            <w:pPr>
              <w:jc w:val="left"/>
            </w:pPr>
            <w:r>
              <w:rPr>
                <w:b/>
                <w:bCs/>
                <w:color w:val="FFFFFF"/>
                <w:sz w:val="18"/>
                <w:szCs w:val="18"/>
              </w:rPr>
              <w:t xml:space="preserve">Date</w:t>
            </w:r>
          </w:p>
        </w:tc>
      </w:tr>
      <w:tr>
        <w:tc>
          <w:tcPr>
            <w:tcW w:type="dxa" w:w="2700"/>
            <w:tcMar>
              <w:top w:type="dxa" w:w="60"/>
              <w:left w:type="dxa" w:w="100"/>
              <w:bottom w:type="dxa" w:w="60"/>
              <w:right w:type="dxa" w:w="100"/>
            </w:tcMar>
            <w:vAlign w:val="center"/>
          </w:tcPr>
          <w:p>
            <w:pPr>
              <w:jc w:val="left"/>
            </w:pPr>
            <w:r>
              <w:rPr>
                <w:b w:val="false"/>
                <w:bCs w:val="false"/>
                <w:sz w:val="18"/>
                <w:szCs w:val="18"/>
              </w:rPr>
              <w:t xml:space="preserve">To Be Confirmed</w:t>
            </w:r>
          </w:p>
        </w:tc>
        <w:tc>
          <w:tcPr>
            <w:tcW w:type="dxa" w:w="2700"/>
            <w:tcMar>
              <w:top w:type="dxa" w:w="60"/>
              <w:left w:type="dxa" w:w="100"/>
              <w:bottom w:type="dxa" w:w="60"/>
              <w:right w:type="dxa" w:w="100"/>
            </w:tcMar>
            <w:vAlign w:val="center"/>
          </w:tcPr>
          <w:p>
            <w:pPr>
              <w:jc w:val="left"/>
            </w:pPr>
            <w:r>
              <w:rPr>
                <w:b w:val="false"/>
                <w:bCs w:val="false"/>
                <w:sz w:val="18"/>
                <w:szCs w:val="18"/>
              </w:rPr>
              <w:t xml:space="preserve">Project Guide</w:t>
            </w:r>
          </w:p>
        </w:tc>
        <w:tc>
          <w:tcPr>
            <w:tcW w:type="dxa" w:w="2100"/>
            <w:tcMar>
              <w:top w:type="dxa" w:w="60"/>
              <w:left w:type="dxa" w:w="100"/>
              <w:bottom w:type="dxa" w:w="60"/>
              <w:right w:type="dxa" w:w="100"/>
            </w:tcMar>
            <w:vAlign w:val="center"/>
          </w:tcPr>
          <w:p>
            <w:pPr>
              <w:jc w:val="left"/>
            </w:pPr>
            <w:r>
              <w:rPr>
                <w:b w:val="false"/>
                <w:bCs w:val="false"/>
                <w:sz w:val="18"/>
                <w:szCs w:val="18"/>
              </w:rPr>
              <w:t xml:space="preserve"/>
            </w:r>
          </w:p>
        </w:tc>
        <w:tc>
          <w:tcPr>
            <w:tcW w:type="dxa" w:w="2100"/>
            <w:tcMar>
              <w:top w:type="dxa" w:w="60"/>
              <w:left w:type="dxa" w:w="100"/>
              <w:bottom w:type="dxa" w:w="60"/>
              <w:right w:type="dxa" w:w="100"/>
            </w:tcMar>
            <w:vAlign w:val="center"/>
          </w:tcPr>
          <w:p>
            <w:pPr>
              <w:jc w:val="left"/>
            </w:pPr>
            <w:r>
              <w:rPr>
                <w:b w:val="false"/>
                <w:bCs w:val="false"/>
                <w:sz w:val="18"/>
                <w:szCs w:val="18"/>
              </w:rPr>
              <w:t xml:space="preserve"/>
            </w:r>
          </w:p>
        </w:tc>
      </w:tr>
      <w:tr>
        <w:tc>
          <w:tcPr>
            <w:tcW w:type="dxa" w:w="2700"/>
            <w:shd w:fill="F2F2F2" w:color="auto" w:val="clear"/>
            <w:tcMar>
              <w:top w:type="dxa" w:w="60"/>
              <w:left w:type="dxa" w:w="100"/>
              <w:bottom w:type="dxa" w:w="60"/>
              <w:right w:type="dxa" w:w="100"/>
            </w:tcMar>
            <w:vAlign w:val="center"/>
          </w:tcPr>
          <w:p>
            <w:pPr>
              <w:jc w:val="left"/>
            </w:pPr>
            <w:r>
              <w:rPr>
                <w:b w:val="false"/>
                <w:bCs w:val="false"/>
                <w:sz w:val="18"/>
                <w:szCs w:val="18"/>
              </w:rPr>
              <w:t xml:space="preserve">To Be Confirmed</w:t>
            </w:r>
          </w:p>
        </w:tc>
        <w:tc>
          <w:tcPr>
            <w:tcW w:type="dxa" w:w="2700"/>
            <w:shd w:fill="F2F2F2" w:color="auto" w:val="clear"/>
            <w:tcMar>
              <w:top w:type="dxa" w:w="60"/>
              <w:left w:type="dxa" w:w="100"/>
              <w:bottom w:type="dxa" w:w="60"/>
              <w:right w:type="dxa" w:w="100"/>
            </w:tcMar>
            <w:vAlign w:val="center"/>
          </w:tcPr>
          <w:p>
            <w:pPr>
              <w:jc w:val="left"/>
            </w:pPr>
            <w:r>
              <w:rPr>
                <w:b w:val="false"/>
                <w:bCs w:val="false"/>
                <w:sz w:val="18"/>
                <w:szCs w:val="18"/>
              </w:rPr>
              <w:t xml:space="preserve">Head of Department</w:t>
            </w:r>
          </w:p>
        </w:tc>
        <w:tc>
          <w:tcPr>
            <w:tcW w:type="dxa" w:w="21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c>
          <w:tcPr>
            <w:tcW w:type="dxa" w:w="2100"/>
            <w:shd w:fill="F2F2F2" w:color="auto" w:val="clear"/>
            <w:tcMar>
              <w:top w:type="dxa" w:w="60"/>
              <w:left w:type="dxa" w:w="100"/>
              <w:bottom w:type="dxa" w:w="60"/>
              <w:right w:type="dxa" w:w="100"/>
            </w:tcMar>
            <w:vAlign w:val="center"/>
          </w:tcPr>
          <w:p>
            <w:pPr>
              <w:jc w:val="left"/>
            </w:pPr>
            <w:r>
              <w:rPr>
                <w:b w:val="false"/>
                <w:bCs w:val="false"/>
                <w:sz w:val="18"/>
                <w:szCs w:val="18"/>
              </w:rPr>
              <w:t xml:space="preserve"/>
            </w:r>
          </w:p>
        </w:tc>
      </w:tr>
      <w:tr>
        <w:tc>
          <w:tcPr>
            <w:tcW w:type="dxa" w:w="2700"/>
            <w:tcMar>
              <w:top w:type="dxa" w:w="60"/>
              <w:left w:type="dxa" w:w="100"/>
              <w:bottom w:type="dxa" w:w="60"/>
              <w:right w:type="dxa" w:w="100"/>
            </w:tcMar>
            <w:vAlign w:val="center"/>
          </w:tcPr>
          <w:p>
            <w:pPr>
              <w:jc w:val="left"/>
            </w:pPr>
            <w:r>
              <w:rPr>
                <w:b w:val="false"/>
                <w:bCs w:val="false"/>
                <w:sz w:val="18"/>
                <w:szCs w:val="18"/>
              </w:rPr>
              <w:t xml:space="preserve">To Be Confirmed</w:t>
            </w:r>
          </w:p>
        </w:tc>
        <w:tc>
          <w:tcPr>
            <w:tcW w:type="dxa" w:w="2700"/>
            <w:tcMar>
              <w:top w:type="dxa" w:w="60"/>
              <w:left w:type="dxa" w:w="100"/>
              <w:bottom w:type="dxa" w:w="60"/>
              <w:right w:type="dxa" w:w="100"/>
            </w:tcMar>
            <w:vAlign w:val="center"/>
          </w:tcPr>
          <w:p>
            <w:pPr>
              <w:jc w:val="left"/>
            </w:pPr>
            <w:r>
              <w:rPr>
                <w:b w:val="false"/>
                <w:bCs w:val="false"/>
                <w:sz w:val="18"/>
                <w:szCs w:val="18"/>
              </w:rPr>
              <w:t xml:space="preserve">External Examiner</w:t>
            </w:r>
          </w:p>
        </w:tc>
        <w:tc>
          <w:tcPr>
            <w:tcW w:type="dxa" w:w="2100"/>
            <w:tcMar>
              <w:top w:type="dxa" w:w="60"/>
              <w:left w:type="dxa" w:w="100"/>
              <w:bottom w:type="dxa" w:w="60"/>
              <w:right w:type="dxa" w:w="100"/>
            </w:tcMar>
            <w:vAlign w:val="center"/>
          </w:tcPr>
          <w:p>
            <w:pPr>
              <w:jc w:val="left"/>
            </w:pPr>
            <w:r>
              <w:rPr>
                <w:b w:val="false"/>
                <w:bCs w:val="false"/>
                <w:sz w:val="18"/>
                <w:szCs w:val="18"/>
              </w:rPr>
              <w:t xml:space="preserve"/>
            </w:r>
          </w:p>
        </w:tc>
        <w:tc>
          <w:tcPr>
            <w:tcW w:type="dxa" w:w="2100"/>
            <w:tcMar>
              <w:top w:type="dxa" w:w="60"/>
              <w:left w:type="dxa" w:w="100"/>
              <w:bottom w:type="dxa" w:w="60"/>
              <w:right w:type="dxa" w:w="100"/>
            </w:tcMar>
            <w:vAlign w:val="center"/>
          </w:tcPr>
          <w:p>
            <w:pPr>
              <w:jc w:val="left"/>
            </w:pPr>
            <w:r>
              <w:rPr>
                <w:b w:val="false"/>
                <w:bCs w:val="false"/>
                <w:sz w:val="18"/>
                <w:szCs w:val="18"/>
              </w:rPr>
              <w:t xml:space="preserve"/>
            </w:r>
          </w:p>
        </w:tc>
      </w:tr>
    </w:tbl>
    <w:p>
      <w:pPr>
        <w:spacing w:after="200"/>
      </w:pPr>
    </w:p>
    <w:p>
      <w:pPr>
        <w:pStyle w:val="Heading2"/>
        <w:spacing w:after="160" w:before="320"/>
      </w:pPr>
      <w:r>
        <w:rPr>
          <w:b/>
          <w:bCs/>
        </w:rPr>
        <w:t xml:space="preserve">List of Abbreviations</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7000"/>
      </w:tblGrid>
      <w:tr>
        <w:trPr>
          <w:tblHeader/>
        </w:trPr>
        <w:tc>
          <w:tcPr>
            <w:tcW w:type="dxa" w:w="2600"/>
            <w:shd w:fill="1F3864" w:color="auto" w:val="clear"/>
            <w:tcMar>
              <w:top w:type="dxa" w:w="60"/>
              <w:left w:type="dxa" w:w="100"/>
              <w:bottom w:type="dxa" w:w="60"/>
              <w:right w:type="dxa" w:w="100"/>
            </w:tcMar>
            <w:vAlign w:val="center"/>
          </w:tcPr>
          <w:p>
            <w:pPr>
              <w:jc w:val="left"/>
            </w:pPr>
            <w:r>
              <w:rPr>
                <w:b/>
                <w:bCs/>
                <w:color w:val="FFFFFF"/>
                <w:sz w:val="18"/>
                <w:szCs w:val="18"/>
              </w:rPr>
              <w:t xml:space="preserve">Abbreviation</w:t>
            </w:r>
          </w:p>
        </w:tc>
        <w:tc>
          <w:tcPr>
            <w:tcW w:type="dxa" w:w="7000"/>
            <w:shd w:fill="1F3864" w:color="auto" w:val="clear"/>
            <w:tcMar>
              <w:top w:type="dxa" w:w="60"/>
              <w:left w:type="dxa" w:w="100"/>
              <w:bottom w:type="dxa" w:w="60"/>
              <w:right w:type="dxa" w:w="100"/>
            </w:tcMar>
            <w:vAlign w:val="center"/>
          </w:tcPr>
          <w:p>
            <w:pPr>
              <w:jc w:val="left"/>
            </w:pPr>
            <w:r>
              <w:rPr>
                <w:b/>
                <w:bCs/>
                <w:color w:val="FFFFFF"/>
                <w:sz w:val="18"/>
                <w:szCs w:val="18"/>
              </w:rPr>
              <w:t xml:space="preserve">Expansion</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SRS</w:t>
            </w:r>
          </w:p>
        </w:tc>
        <w:tc>
          <w:tcPr>
            <w:tcW w:type="dxa" w:w="7000"/>
            <w:tcMar>
              <w:top w:type="dxa" w:w="60"/>
              <w:left w:type="dxa" w:w="100"/>
              <w:bottom w:type="dxa" w:w="60"/>
              <w:right w:type="dxa" w:w="100"/>
            </w:tcMar>
            <w:vAlign w:val="center"/>
          </w:tcPr>
          <w:p>
            <w:pPr>
              <w:jc w:val="left"/>
            </w:pPr>
            <w:r>
              <w:rPr>
                <w:b w:val="false"/>
                <w:bCs w:val="false"/>
                <w:sz w:val="18"/>
                <w:szCs w:val="18"/>
              </w:rPr>
              <w:t xml:space="preserve">Software Requirements Specification</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CMA</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Cost &amp; Management Accountant</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BOM</w:t>
            </w:r>
          </w:p>
        </w:tc>
        <w:tc>
          <w:tcPr>
            <w:tcW w:type="dxa" w:w="7000"/>
            <w:tcMar>
              <w:top w:type="dxa" w:w="60"/>
              <w:left w:type="dxa" w:w="100"/>
              <w:bottom w:type="dxa" w:w="60"/>
              <w:right w:type="dxa" w:w="100"/>
            </w:tcMar>
            <w:vAlign w:val="center"/>
          </w:tcPr>
          <w:p>
            <w:pPr>
              <w:jc w:val="left"/>
            </w:pPr>
            <w:r>
              <w:rPr>
                <w:b w:val="false"/>
                <w:bCs w:val="false"/>
                <w:sz w:val="18"/>
                <w:szCs w:val="18"/>
              </w:rPr>
              <w:t xml:space="preserve">Bill of Materials</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TB</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Trial Balance</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FIFO</w:t>
            </w:r>
          </w:p>
        </w:tc>
        <w:tc>
          <w:tcPr>
            <w:tcW w:type="dxa" w:w="7000"/>
            <w:tcMar>
              <w:top w:type="dxa" w:w="60"/>
              <w:left w:type="dxa" w:w="100"/>
              <w:bottom w:type="dxa" w:w="60"/>
              <w:right w:type="dxa" w:w="100"/>
            </w:tcMar>
            <w:vAlign w:val="center"/>
          </w:tcPr>
          <w:p>
            <w:pPr>
              <w:jc w:val="left"/>
            </w:pPr>
            <w:r>
              <w:rPr>
                <w:b w:val="false"/>
                <w:bCs w:val="false"/>
                <w:sz w:val="18"/>
                <w:szCs w:val="18"/>
              </w:rPr>
              <w:t xml:space="preserve">First-In-First-Out (inventory valuation method)</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WAC</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Weighted Average Cost</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MWAC</w:t>
            </w:r>
          </w:p>
        </w:tc>
        <w:tc>
          <w:tcPr>
            <w:tcW w:type="dxa" w:w="7000"/>
            <w:tcMar>
              <w:top w:type="dxa" w:w="60"/>
              <w:left w:type="dxa" w:w="100"/>
              <w:bottom w:type="dxa" w:w="60"/>
              <w:right w:type="dxa" w:w="100"/>
            </w:tcMar>
            <w:vAlign w:val="center"/>
          </w:tcPr>
          <w:p>
            <w:pPr>
              <w:jc w:val="left"/>
            </w:pPr>
            <w:r>
              <w:rPr>
                <w:b w:val="false"/>
                <w:bCs w:val="false"/>
                <w:sz w:val="18"/>
                <w:szCs w:val="18"/>
              </w:rPr>
              <w:t xml:space="preserve">Moving Weighted Average Cost</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WIP</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Work-in-Progress</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UOM</w:t>
            </w:r>
          </w:p>
        </w:tc>
        <w:tc>
          <w:tcPr>
            <w:tcW w:type="dxa" w:w="7000"/>
            <w:tcMar>
              <w:top w:type="dxa" w:w="60"/>
              <w:left w:type="dxa" w:w="100"/>
              <w:bottom w:type="dxa" w:w="60"/>
              <w:right w:type="dxa" w:w="100"/>
            </w:tcMar>
            <w:vAlign w:val="center"/>
          </w:tcPr>
          <w:p>
            <w:pPr>
              <w:jc w:val="left"/>
            </w:pPr>
            <w:r>
              <w:rPr>
                <w:b w:val="false"/>
                <w:bCs w:val="false"/>
                <w:sz w:val="18"/>
                <w:szCs w:val="18"/>
              </w:rPr>
              <w:t xml:space="preserve">Unit of Measure</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RBAC</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Role-Based Access Control</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SaaS</w:t>
            </w:r>
          </w:p>
        </w:tc>
        <w:tc>
          <w:tcPr>
            <w:tcW w:type="dxa" w:w="7000"/>
            <w:tcMar>
              <w:top w:type="dxa" w:w="60"/>
              <w:left w:type="dxa" w:w="100"/>
              <w:bottom w:type="dxa" w:w="60"/>
              <w:right w:type="dxa" w:w="100"/>
            </w:tcMar>
            <w:vAlign w:val="center"/>
          </w:tcPr>
          <w:p>
            <w:pPr>
              <w:jc w:val="left"/>
            </w:pPr>
            <w:r>
              <w:rPr>
                <w:b w:val="false"/>
                <w:bCs w:val="false"/>
                <w:sz w:val="18"/>
                <w:szCs w:val="18"/>
              </w:rPr>
              <w:t xml:space="preserve">Software as a Service</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GL</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General Ledger</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SKU</w:t>
            </w:r>
          </w:p>
        </w:tc>
        <w:tc>
          <w:tcPr>
            <w:tcW w:type="dxa" w:w="7000"/>
            <w:tcMar>
              <w:top w:type="dxa" w:w="60"/>
              <w:left w:type="dxa" w:w="100"/>
              <w:bottom w:type="dxa" w:w="60"/>
              <w:right w:type="dxa" w:w="100"/>
            </w:tcMar>
            <w:vAlign w:val="center"/>
          </w:tcPr>
          <w:p>
            <w:pPr>
              <w:jc w:val="left"/>
            </w:pPr>
            <w:r>
              <w:rPr>
                <w:b w:val="false"/>
                <w:bCs w:val="false"/>
                <w:sz w:val="18"/>
                <w:szCs w:val="18"/>
              </w:rPr>
              <w:t xml:space="preserve">Stock Keeping Unit</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NRV</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Net Realisable Value</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FR</w:t>
            </w:r>
          </w:p>
        </w:tc>
        <w:tc>
          <w:tcPr>
            <w:tcW w:type="dxa" w:w="7000"/>
            <w:tcMar>
              <w:top w:type="dxa" w:w="60"/>
              <w:left w:type="dxa" w:w="100"/>
              <w:bottom w:type="dxa" w:w="60"/>
              <w:right w:type="dxa" w:w="100"/>
            </w:tcMar>
            <w:vAlign w:val="center"/>
          </w:tcPr>
          <w:p>
            <w:pPr>
              <w:jc w:val="left"/>
            </w:pPr>
            <w:r>
              <w:rPr>
                <w:b w:val="false"/>
                <w:bCs w:val="false"/>
                <w:sz w:val="18"/>
                <w:szCs w:val="18"/>
              </w:rPr>
              <w:t xml:space="preserve">Functional Requirement</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NFR</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Non-Functional Requirement</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BR</w:t>
            </w:r>
          </w:p>
        </w:tc>
        <w:tc>
          <w:tcPr>
            <w:tcW w:type="dxa" w:w="7000"/>
            <w:tcMar>
              <w:top w:type="dxa" w:w="60"/>
              <w:left w:type="dxa" w:w="100"/>
              <w:bottom w:type="dxa" w:w="60"/>
              <w:right w:type="dxa" w:w="100"/>
            </w:tcMar>
            <w:vAlign w:val="center"/>
          </w:tcPr>
          <w:p>
            <w:pPr>
              <w:jc w:val="left"/>
            </w:pPr>
            <w:r>
              <w:rPr>
                <w:b w:val="false"/>
                <w:bCs w:val="false"/>
                <w:sz w:val="18"/>
                <w:szCs w:val="18"/>
              </w:rPr>
              <w:t xml:space="preserve">Business Rule</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RTM</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Requirements Traceability Matrix</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DDL</w:t>
            </w:r>
          </w:p>
        </w:tc>
        <w:tc>
          <w:tcPr>
            <w:tcW w:type="dxa" w:w="7000"/>
            <w:tcMar>
              <w:top w:type="dxa" w:w="60"/>
              <w:left w:type="dxa" w:w="100"/>
              <w:bottom w:type="dxa" w:w="60"/>
              <w:right w:type="dxa" w:w="100"/>
            </w:tcMar>
            <w:vAlign w:val="center"/>
          </w:tcPr>
          <w:p>
            <w:pPr>
              <w:jc w:val="left"/>
            </w:pPr>
            <w:r>
              <w:rPr>
                <w:b w:val="false"/>
                <w:bCs w:val="false"/>
                <w:sz w:val="18"/>
                <w:szCs w:val="18"/>
              </w:rPr>
              <w:t xml:space="preserve">Data Definition Language</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AI</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Artificial Intelligence</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MVP</w:t>
            </w:r>
          </w:p>
        </w:tc>
        <w:tc>
          <w:tcPr>
            <w:tcW w:type="dxa" w:w="7000"/>
            <w:tcMar>
              <w:top w:type="dxa" w:w="60"/>
              <w:left w:type="dxa" w:w="100"/>
              <w:bottom w:type="dxa" w:w="60"/>
              <w:right w:type="dxa" w:w="100"/>
            </w:tcMar>
            <w:vAlign w:val="center"/>
          </w:tcPr>
          <w:p>
            <w:pPr>
              <w:jc w:val="left"/>
            </w:pPr>
            <w:r>
              <w:rPr>
                <w:b w:val="false"/>
                <w:bCs w:val="false"/>
                <w:sz w:val="18"/>
                <w:szCs w:val="18"/>
              </w:rPr>
              <w:t xml:space="preserve">Minimum Viable Product</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TBC</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To Be Confirmed</w:t>
            </w:r>
          </w:p>
        </w:tc>
      </w:tr>
    </w:tbl>
    <w:p>
      <w:r>
        <w:br w:type="page"/>
      </w:r>
    </w:p>
    <w:p>
      <w:pPr>
        <w:pStyle w:val="Heading1"/>
        <w:spacing w:after="240" w:before="480"/>
      </w:pPr>
      <w:r>
        <w:rPr>
          <w:b/>
          <w:bCs/>
        </w:rPr>
        <w:t xml:space="preserve">Table of Contents</w:t>
      </w:r>
    </w:p>
    <w:p>
      <w:pPr>
        <w:spacing w:after="160"/>
      </w:pPr>
      <w:r>
        <w:rPr>
          <w:i/>
          <w:iCs/>
          <w:color w:val="AA5500"/>
        </w:rPr>
        <w:t xml:space="preserve">(This field updates automatically in Microsoft Word: right-click → Update Field → Update entire table. In Part 1 it will only reflect the sections included so far; the final merged document will show the complete 40-section structure.)</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480"/>
      </w:pPr>
      <w:r>
        <w:rPr>
          <w:b/>
          <w:bCs/>
        </w:rPr>
        <w:t xml:space="preserve">1. Introduction</w:t>
      </w:r>
    </w:p>
    <w:p>
      <w:pPr>
        <w:pStyle w:val="Heading2"/>
        <w:spacing w:after="160" w:before="320"/>
      </w:pPr>
      <w:r>
        <w:rPr>
          <w:b/>
          <w:bCs/>
        </w:rPr>
        <w:t xml:space="preserve">1.1 Purpose</w:t>
      </w:r>
    </w:p>
    <w:p>
      <w:pPr>
        <w:spacing w:after="160"/>
      </w:pPr>
      <w:r>
        <w:t xml:space="preserve">This Software Requirements Specification (SRS) defines the functional and non-functional requirements, system architecture, database design, business rules, and validation logic for Cost360, a manufacturing cost intelligence, product costing and audit platform. The document translates the macro-level functional requirement note supplied for the project into an implementation-oriented specification suitable for design, development, database construction, UI implementation, testing and academic evaluation.</w:t>
      </w:r>
    </w:p>
    <w:p>
      <w:pPr>
        <w:spacing w:after="160"/>
      </w:pPr>
      <w:r>
        <w:t xml:space="preserve">This document is written primarily for a student development team implementing Cost360 using PHP, HTML5/CSS3/JavaScript and PostgreSQL as a final-year engineering project, and secondarily as a reference for project evaluators.</w:t>
      </w:r>
    </w:p>
    <w:p>
      <w:pPr>
        <w:pStyle w:val="Heading2"/>
        <w:spacing w:after="160" w:before="320"/>
      </w:pPr>
      <w:r>
        <w:rPr>
          <w:b/>
          <w:bCs/>
        </w:rPr>
        <w:t xml:space="preserve">1.2 Scope</w:t>
      </w:r>
    </w:p>
    <w:p>
      <w:pPr>
        <w:spacing w:after="160"/>
      </w:pPr>
      <w:r>
        <w:t xml:space="preserve">Cost360 is a multi-tenant, web-based platform that ingests manufacturing cost data (trial balance, inventory, production, BOM and master data) from customer-supplied source files, maps and validates that data into a canonical cost data model, computes inventory valuation, BOM cost roll-up, product costing, overhead allocation and variance analysis, reconciles results against source financial data, and presents the results through role-specific dashboards, reports, an audit desk, and an AI-assisted analytics layer.</w:t>
      </w:r>
    </w:p>
    <w:p>
      <w:pPr>
        <w:spacing w:after="160"/>
      </w:pPr>
      <w:r>
        <w:t xml:space="preserve">In scope for this SRS:</w:t>
      </w:r>
    </w:p>
    <w:p>
      <w:pPr>
        <w:pStyle w:val="ListParagraph"/>
        <w:numPr>
          <w:ilvl w:val="0"/>
          <w:numId w:val="2"/>
        </w:numPr>
        <w:spacing w:after="80"/>
      </w:pPr>
      <w:r>
        <w:t xml:space="preserve">Multi-tenant customer/company/division/plant/warehouse hierarchy and administration</w:t>
      </w:r>
    </w:p>
    <w:p>
      <w:pPr>
        <w:pStyle w:val="ListParagraph"/>
        <w:numPr>
          <w:ilvl w:val="0"/>
          <w:numId w:val="2"/>
        </w:numPr>
        <w:spacing w:after="80"/>
      </w:pPr>
      <w:r>
        <w:t xml:space="preserve">Upload Centre, source data management, mapping (manual and AI-assisted), and data validation/quality scoring</w:t>
      </w:r>
    </w:p>
    <w:p>
      <w:pPr>
        <w:pStyle w:val="ListParagraph"/>
        <w:numPr>
          <w:ilvl w:val="0"/>
          <w:numId w:val="2"/>
        </w:numPr>
        <w:spacing w:after="80"/>
      </w:pPr>
      <w:r>
        <w:t xml:space="preserve">Inventory valuation (FIFO, Periodic Weighted Average, Moving Weighted Average, Specific Cost)</w:t>
      </w:r>
    </w:p>
    <w:p>
      <w:pPr>
        <w:pStyle w:val="ListParagraph"/>
        <w:numPr>
          <w:ilvl w:val="0"/>
          <w:numId w:val="2"/>
        </w:numPr>
        <w:spacing w:after="80"/>
      </w:pPr>
      <w:r>
        <w:t xml:space="preserve">BOM management, BOM explosion and BOM cost roll-up</w:t>
      </w:r>
    </w:p>
    <w:p>
      <w:pPr>
        <w:pStyle w:val="ListParagraph"/>
        <w:numPr>
          <w:ilvl w:val="0"/>
          <w:numId w:val="2"/>
        </w:numPr>
        <w:spacing w:after="80"/>
      </w:pPr>
      <w:r>
        <w:t xml:space="preserve">Standard costing, product costing, overhead allocation, standard-vs-actual and variance analysis</w:t>
      </w:r>
    </w:p>
    <w:p>
      <w:pPr>
        <w:pStyle w:val="ListParagraph"/>
        <w:numPr>
          <w:ilvl w:val="0"/>
          <w:numId w:val="2"/>
        </w:numPr>
        <w:spacing w:after="80"/>
      </w:pPr>
      <w:r>
        <w:t xml:space="preserve">Reconciliation (trial balance, inventory, production, costing), Audit Desk, period close and costing versioning</w:t>
      </w:r>
    </w:p>
    <w:p>
      <w:pPr>
        <w:pStyle w:val="ListParagraph"/>
        <w:numPr>
          <w:ilvl w:val="0"/>
          <w:numId w:val="2"/>
        </w:numPr>
        <w:spacing w:after="80"/>
      </w:pPr>
      <w:r>
        <w:t xml:space="preserve">Management, CMA and Product dashboards; reporting; search and drill-down; audit trail and data lineage</w:t>
      </w:r>
    </w:p>
    <w:p>
      <w:pPr>
        <w:pStyle w:val="ListParagraph"/>
        <w:numPr>
          <w:ilvl w:val="0"/>
          <w:numId w:val="2"/>
        </w:numPr>
        <w:spacing w:after="80"/>
      </w:pPr>
      <w:r>
        <w:t xml:space="preserve">An AI layer providing AI-assisted mapping, a CMA AI Copilot, natural-language analytics and a Costing Integrity Score, subject to AI governance controls</w:t>
      </w:r>
    </w:p>
    <w:p>
      <w:pPr>
        <w:spacing w:after="160"/>
      </w:pPr>
      <w:r>
        <w:t xml:space="preserve">Explicitly out of scope for the MVP (see Section 36, Part 4, for the full MVP/Phase split): live ERP API integrations, WIP/scrap/co-product costing, cost simulation/what-if modelling, make-or-buy analysis, capacity analytics, and predictive/forecasting AI — these are Phase 2/Phase 3 roadmap items.</w:t>
      </w:r>
    </w:p>
    <w:p>
      <w:pPr>
        <w:pStyle w:val="Heading2"/>
        <w:spacing w:after="160" w:before="320"/>
      </w:pPr>
      <w:r>
        <w:rPr>
          <w:b/>
          <w:bCs/>
        </w:rPr>
        <w:t xml:space="preserve">1.3 Intended Audience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3000"/>
        <w:gridCol w:w="6600"/>
      </w:tblGrid>
      <w:tr>
        <w:trPr>
          <w:tblHeader/>
        </w:trPr>
        <w:tc>
          <w:tcPr>
            <w:tcW w:type="dxa" w:w="3000"/>
            <w:shd w:fill="1F3864" w:color="auto" w:val="clear"/>
            <w:tcMar>
              <w:top w:type="dxa" w:w="60"/>
              <w:left w:type="dxa" w:w="100"/>
              <w:bottom w:type="dxa" w:w="60"/>
              <w:right w:type="dxa" w:w="100"/>
            </w:tcMar>
            <w:vAlign w:val="center"/>
          </w:tcPr>
          <w:p>
            <w:pPr>
              <w:jc w:val="left"/>
            </w:pPr>
            <w:r>
              <w:rPr>
                <w:b/>
                <w:bCs/>
                <w:color w:val="FFFFFF"/>
                <w:sz w:val="18"/>
                <w:szCs w:val="18"/>
              </w:rPr>
              <w:t xml:space="preserve">Audience</w:t>
            </w:r>
          </w:p>
        </w:tc>
        <w:tc>
          <w:tcPr>
            <w:tcW w:type="dxa" w:w="6600"/>
            <w:shd w:fill="1F3864" w:color="auto" w:val="clear"/>
            <w:tcMar>
              <w:top w:type="dxa" w:w="60"/>
              <w:left w:type="dxa" w:w="100"/>
              <w:bottom w:type="dxa" w:w="60"/>
              <w:right w:type="dxa" w:w="100"/>
            </w:tcMar>
            <w:vAlign w:val="center"/>
          </w:tcPr>
          <w:p>
            <w:pPr>
              <w:jc w:val="left"/>
            </w:pPr>
            <w:r>
              <w:rPr>
                <w:b/>
                <w:bCs/>
                <w:color w:val="FFFFFF"/>
                <w:sz w:val="18"/>
                <w:szCs w:val="18"/>
              </w:rPr>
              <w:t xml:space="preserve">Use of this Document</w:t>
            </w:r>
          </w:p>
        </w:tc>
      </w:tr>
      <w:tr>
        <w:tc>
          <w:tcPr>
            <w:tcW w:type="dxa" w:w="3000"/>
            <w:tcMar>
              <w:top w:type="dxa" w:w="60"/>
              <w:left w:type="dxa" w:w="100"/>
              <w:bottom w:type="dxa" w:w="60"/>
              <w:right w:type="dxa" w:w="100"/>
            </w:tcMar>
            <w:vAlign w:val="center"/>
          </w:tcPr>
          <w:p>
            <w:pPr>
              <w:jc w:val="left"/>
            </w:pPr>
            <w:r>
              <w:rPr>
                <w:b w:val="false"/>
                <w:bCs w:val="false"/>
                <w:sz w:val="18"/>
                <w:szCs w:val="18"/>
              </w:rPr>
              <w:t xml:space="preserve">Student developer(s) / project team</w:t>
            </w:r>
          </w:p>
        </w:tc>
        <w:tc>
          <w:tcPr>
            <w:tcW w:type="dxa" w:w="6600"/>
            <w:tcMar>
              <w:top w:type="dxa" w:w="60"/>
              <w:left w:type="dxa" w:w="100"/>
              <w:bottom w:type="dxa" w:w="60"/>
              <w:right w:type="dxa" w:w="100"/>
            </w:tcMar>
            <w:vAlign w:val="center"/>
          </w:tcPr>
          <w:p>
            <w:pPr>
              <w:jc w:val="left"/>
            </w:pPr>
            <w:r>
              <w:rPr>
                <w:b w:val="false"/>
                <w:bCs w:val="false"/>
                <w:sz w:val="18"/>
                <w:szCs w:val="18"/>
              </w:rPr>
              <w:t xml:space="preserve">Primary implementation reference for backend (PHP), frontend (HTML/CSS/JS), and PostgreSQL database construction</w:t>
            </w:r>
          </w:p>
        </w:tc>
      </w:tr>
      <w:tr>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Project guide / internal reviewer</w:t>
            </w:r>
          </w:p>
        </w:tc>
        <w:tc>
          <w:tcPr>
            <w:tcW w:type="dxa" w:w="6600"/>
            <w:shd w:fill="F2F2F2" w:color="auto" w:val="clear"/>
            <w:tcMar>
              <w:top w:type="dxa" w:w="60"/>
              <w:left w:type="dxa" w:w="100"/>
              <w:bottom w:type="dxa" w:w="60"/>
              <w:right w:type="dxa" w:w="100"/>
            </w:tcMar>
            <w:vAlign w:val="center"/>
          </w:tcPr>
          <w:p>
            <w:pPr>
              <w:jc w:val="left"/>
            </w:pPr>
            <w:r>
              <w:rPr>
                <w:b w:val="false"/>
                <w:bCs w:val="false"/>
                <w:sz w:val="18"/>
                <w:szCs w:val="18"/>
              </w:rPr>
              <w:t xml:space="preserve">Functional and technical adequacy review; scope verification</w:t>
            </w:r>
          </w:p>
        </w:tc>
      </w:tr>
      <w:tr>
        <w:tc>
          <w:tcPr>
            <w:tcW w:type="dxa" w:w="3000"/>
            <w:tcMar>
              <w:top w:type="dxa" w:w="60"/>
              <w:left w:type="dxa" w:w="100"/>
              <w:bottom w:type="dxa" w:w="60"/>
              <w:right w:type="dxa" w:w="100"/>
            </w:tcMar>
            <w:vAlign w:val="center"/>
          </w:tcPr>
          <w:p>
            <w:pPr>
              <w:jc w:val="left"/>
            </w:pPr>
            <w:r>
              <w:rPr>
                <w:b w:val="false"/>
                <w:bCs w:val="false"/>
                <w:sz w:val="18"/>
                <w:szCs w:val="18"/>
              </w:rPr>
              <w:t xml:space="preserve">External examiner / evaluation panel</w:t>
            </w:r>
          </w:p>
        </w:tc>
        <w:tc>
          <w:tcPr>
            <w:tcW w:type="dxa" w:w="6600"/>
            <w:tcMar>
              <w:top w:type="dxa" w:w="60"/>
              <w:left w:type="dxa" w:w="100"/>
              <w:bottom w:type="dxa" w:w="60"/>
              <w:right w:type="dxa" w:w="100"/>
            </w:tcMar>
            <w:vAlign w:val="center"/>
          </w:tcPr>
          <w:p>
            <w:pPr>
              <w:jc w:val="left"/>
            </w:pPr>
            <w:r>
              <w:rPr>
                <w:b w:val="false"/>
                <w:bCs w:val="false"/>
                <w:sz w:val="18"/>
                <w:szCs w:val="18"/>
              </w:rPr>
              <w:t xml:space="preserve">Viva/demonstration reference; traceability from requirement to implementation to test</w:t>
            </w:r>
          </w:p>
        </w:tc>
      </w:tr>
      <w:tr>
        <w:tc>
          <w:tcPr>
            <w:tcW w:type="dxa" w:w="3000"/>
            <w:shd w:fill="F2F2F2" w:color="auto" w:val="clear"/>
            <w:tcMar>
              <w:top w:type="dxa" w:w="60"/>
              <w:left w:type="dxa" w:w="100"/>
              <w:bottom w:type="dxa" w:w="60"/>
              <w:right w:type="dxa" w:w="100"/>
            </w:tcMar>
            <w:vAlign w:val="center"/>
          </w:tcPr>
          <w:p>
            <w:pPr>
              <w:jc w:val="left"/>
            </w:pPr>
            <w:r>
              <w:rPr>
                <w:b w:val="false"/>
                <w:bCs w:val="false"/>
                <w:sz w:val="18"/>
                <w:szCs w:val="18"/>
              </w:rPr>
              <w:t xml:space="preserve">QA / self-testing</w:t>
            </w:r>
          </w:p>
        </w:tc>
        <w:tc>
          <w:tcPr>
            <w:tcW w:type="dxa" w:w="6600"/>
            <w:shd w:fill="F2F2F2" w:color="auto" w:val="clear"/>
            <w:tcMar>
              <w:top w:type="dxa" w:w="60"/>
              <w:left w:type="dxa" w:w="100"/>
              <w:bottom w:type="dxa" w:w="60"/>
              <w:right w:type="dxa" w:w="100"/>
            </w:tcMar>
            <w:vAlign w:val="center"/>
          </w:tcPr>
          <w:p>
            <w:pPr>
              <w:jc w:val="left"/>
            </w:pPr>
            <w:r>
              <w:rPr>
                <w:b w:val="false"/>
                <w:bCs w:val="false"/>
                <w:sz w:val="18"/>
                <w:szCs w:val="18"/>
              </w:rPr>
              <w:t xml:space="preserve">Source of test cases, acceptance criteria and the Requirements Traceability Matrix</w:t>
            </w:r>
          </w:p>
        </w:tc>
      </w:tr>
      <w:tr>
        <w:tc>
          <w:tcPr>
            <w:tcW w:type="dxa" w:w="3000"/>
            <w:tcMar>
              <w:top w:type="dxa" w:w="60"/>
              <w:left w:type="dxa" w:w="100"/>
              <w:bottom w:type="dxa" w:w="60"/>
              <w:right w:type="dxa" w:w="100"/>
            </w:tcMar>
            <w:vAlign w:val="center"/>
          </w:tcPr>
          <w:p>
            <w:pPr>
              <w:jc w:val="left"/>
            </w:pPr>
            <w:r>
              <w:rPr>
                <w:b w:val="false"/>
                <w:bCs w:val="false"/>
                <w:sz w:val="18"/>
                <w:szCs w:val="18"/>
              </w:rPr>
              <w:t xml:space="preserve">Future maintainers</w:t>
            </w:r>
          </w:p>
        </w:tc>
        <w:tc>
          <w:tcPr>
            <w:tcW w:type="dxa" w:w="6600"/>
            <w:tcMar>
              <w:top w:type="dxa" w:w="60"/>
              <w:left w:type="dxa" w:w="100"/>
              <w:bottom w:type="dxa" w:w="60"/>
              <w:right w:type="dxa" w:w="100"/>
            </w:tcMar>
            <w:vAlign w:val="center"/>
          </w:tcPr>
          <w:p>
            <w:pPr>
              <w:jc w:val="left"/>
            </w:pPr>
            <w:r>
              <w:rPr>
                <w:b w:val="false"/>
                <w:bCs w:val="false"/>
                <w:sz w:val="18"/>
                <w:szCs w:val="18"/>
              </w:rPr>
              <w:t xml:space="preserve">Baseline reference for enhancement and Phase 2/3 development</w:t>
            </w:r>
          </w:p>
        </w:tc>
      </w:tr>
    </w:tbl>
    <w:p>
      <w:pPr>
        <w:pStyle w:val="Heading2"/>
        <w:spacing w:after="160" w:before="320"/>
      </w:pPr>
      <w:r>
        <w:rPr>
          <w:b/>
          <w:bCs/>
        </w:rPr>
        <w:t xml:space="preserve">1.4 Product Overview</w:t>
      </w:r>
    </w:p>
    <w:p>
      <w:pPr>
        <w:spacing w:after="160"/>
      </w:pPr>
      <w:r>
        <w:t xml:space="preserve">Cost360 is positioned as “Manufacturing Cost Intelligence, Product Costing &amp; Audit Platform” with the tagline “Think Beyond Cost.” It is designed around a canonical manufacturing cost data model rather than being hard-coded to any single customer's Excel layout, so that new source formats can be onboarded through mapping configuration rather than code changes. The Cost &amp; Management Accountant (CMA) remains the reviewer, controller and decision-maker throughout; automation (including AI) assists with repetitive processing, validation, reconciliation and exception identification, but never silently alters financial or costing results (see Section 43 principles, carried through Sections 21, 23 and 43 of the full document).</w:t>
      </w:r>
    </w:p>
    <w:p>
      <w:pPr>
        <w:pStyle w:val="Heading2"/>
        <w:spacing w:after="160" w:before="320"/>
      </w:pPr>
      <w:r>
        <w:rPr>
          <w:b/>
          <w:bCs/>
        </w:rPr>
        <w:t xml:space="preserve">1.5 Business Problem</w:t>
      </w:r>
    </w:p>
    <w:p>
      <w:pPr>
        <w:spacing w:after="160"/>
      </w:pPr>
      <w:r>
        <w:t xml:space="preserve">Manufacturing organisations typically compute product cost using fragmented spreadsheets, inconsistent valuation methods across plants, and manual reconciliation between the trial balance, inventory records and production data. This makes product costing slow, error-prone, difficult to audit, and difficult to compare across plants, periods or product lines. Cost360 addresses this by standardising the intake, mapping, validation, calculation and audit of manufacturing cost data across companies, divisions, plants and warehouses within a single governed platform.</w:t>
      </w:r>
    </w:p>
    <w:p>
      <w:pPr>
        <w:pStyle w:val="Heading2"/>
        <w:spacing w:after="160" w:before="320"/>
      </w:pPr>
      <w:r>
        <w:rPr>
          <w:b/>
          <w:bCs/>
        </w:rPr>
        <w:t xml:space="preserve">1.6 Product Vision</w:t>
      </w:r>
    </w:p>
    <w:p>
      <w:pPr>
        <w:spacing w:after="160"/>
      </w:pPr>
      <w:r>
        <w:t xml:space="preserve">To be the system of record for how a manufacturing enterprise arrives at, defends and improves its product cost — every number traceable from the dashboard back to the original source row, every calculation reproducible, and every material change audited.</w:t>
      </w:r>
    </w:p>
    <w:p>
      <w:pPr>
        <w:pStyle w:val="Heading2"/>
        <w:spacing w:after="160" w:before="320"/>
      </w:pPr>
      <w:r>
        <w:rPr>
          <w:b/>
          <w:bCs/>
        </w:rPr>
        <w:t xml:space="preserve">1.7 Objectives</w:t>
      </w:r>
    </w:p>
    <w:p>
      <w:pPr>
        <w:pStyle w:val="ListParagraph"/>
        <w:numPr>
          <w:ilvl w:val="0"/>
          <w:numId w:val="2"/>
        </w:numPr>
        <w:spacing w:after="80"/>
      </w:pPr>
      <w:r>
        <w:t xml:space="preserve">Provide a standard, auditable pipeline from raw source data to costing results, independent of source file format</w:t>
      </w:r>
    </w:p>
    <w:p>
      <w:pPr>
        <w:pStyle w:val="ListParagraph"/>
        <w:numPr>
          <w:ilvl w:val="0"/>
          <w:numId w:val="2"/>
        </w:numPr>
        <w:spacing w:after="80"/>
      </w:pPr>
      <w:r>
        <w:t xml:space="preserve">Support multiple inventory valuation methods and BOM-based product costing with full cost roll-up</w:t>
      </w:r>
    </w:p>
    <w:p>
      <w:pPr>
        <w:pStyle w:val="ListParagraph"/>
        <w:numPr>
          <w:ilvl w:val="0"/>
          <w:numId w:val="2"/>
        </w:numPr>
        <w:spacing w:after="80"/>
      </w:pPr>
      <w:r>
        <w:t xml:space="preserve">Provide standard-vs-actual and variance analysis with drill-down to root cause</w:t>
      </w:r>
    </w:p>
    <w:p>
      <w:pPr>
        <w:pStyle w:val="ListParagraph"/>
        <w:numPr>
          <w:ilvl w:val="0"/>
          <w:numId w:val="2"/>
        </w:numPr>
        <w:spacing w:after="80"/>
      </w:pPr>
      <w:r>
        <w:t xml:space="preserve">Reconcile costing results against trial balance and inventory records before results are finalised</w:t>
      </w:r>
    </w:p>
    <w:p>
      <w:pPr>
        <w:pStyle w:val="ListParagraph"/>
        <w:numPr>
          <w:ilvl w:val="0"/>
          <w:numId w:val="2"/>
        </w:numPr>
        <w:spacing w:after="80"/>
      </w:pPr>
      <w:r>
        <w:t xml:space="preserve">Provide role-specific dashboards and a governed audit desk with period close and version control</w:t>
      </w:r>
    </w:p>
    <w:p>
      <w:pPr>
        <w:pStyle w:val="ListParagraph"/>
        <w:numPr>
          <w:ilvl w:val="0"/>
          <w:numId w:val="2"/>
        </w:numPr>
        <w:spacing w:after="80"/>
      </w:pPr>
      <w:r>
        <w:t xml:space="preserve">Introduce AI assistance for mapping and analytics without compromising auditability or control</w:t>
      </w:r>
    </w:p>
    <w:p>
      <w:pPr>
        <w:pStyle w:val="ListParagraph"/>
        <w:numPr>
          <w:ilvl w:val="0"/>
          <w:numId w:val="2"/>
        </w:numPr>
        <w:spacing w:after="80"/>
      </w:pPr>
      <w:r>
        <w:t xml:space="preserve">Deliver the platform on a PHP + PostgreSQL technology stack suitable for academic implementation while following enterprise-grade architectural principles</w:t>
      </w:r>
    </w:p>
    <w:p>
      <w:pPr>
        <w:pStyle w:val="Heading2"/>
        <w:spacing w:after="160" w:before="320"/>
      </w:pPr>
      <w:r>
        <w:rPr>
          <w:b/>
          <w:bCs/>
        </w:rPr>
        <w:t xml:space="preserve">1.8 Definitions</w:t>
      </w:r>
    </w:p>
    <w:p>
      <w:pPr>
        <w:spacing w:after="160"/>
      </w:pPr>
      <w:r>
        <w:t xml:space="preserve">Key business and technical terms used throughout this SRS (Product Cost, BOM, Standard Cost, Variance, Data Lineage, Costing Integrity Score, etc.) are defined in the Glossary (Section 38, Part 4). Definitions introduced for the first time within a section are also explained inline.</w:t>
      </w:r>
    </w:p>
    <w:p>
      <w:pPr>
        <w:pStyle w:val="Heading2"/>
        <w:spacing w:after="160" w:before="320"/>
      </w:pPr>
      <w:r>
        <w:rPr>
          <w:b/>
          <w:bCs/>
        </w:rPr>
        <w:t xml:space="preserve">1.9 Acronyms</w:t>
      </w:r>
    </w:p>
    <w:p>
      <w:pPr>
        <w:spacing w:after="160"/>
      </w:pPr>
      <w:r>
        <w:t xml:space="preserve">See “List of Abbreviations” in the Document Control front matter of this document, which will be consolidated and expanded in the Glossary (Section 38, Part 4).</w:t>
      </w:r>
    </w:p>
    <w:p>
      <w:pPr>
        <w:pStyle w:val="Heading2"/>
        <w:spacing w:after="160" w:before="320"/>
      </w:pPr>
      <w:r>
        <w:rPr>
          <w:b/>
          <w:bCs/>
        </w:rPr>
        <w:t xml:space="preserve">1.10 References</w:t>
      </w:r>
    </w:p>
    <w:p>
      <w:pPr>
        <w:pStyle w:val="ListParagraph"/>
        <w:numPr>
          <w:ilvl w:val="0"/>
          <w:numId w:val="2"/>
        </w:numPr>
        <w:spacing w:after="80"/>
      </w:pPr>
      <w:r>
        <w:t xml:space="preserve">Functional Requirement Note / Macro-Level Functional Specification for Cost360 (source document supplied for this project)</w:t>
      </w:r>
    </w:p>
    <w:p>
      <w:pPr>
        <w:pStyle w:val="ListParagraph"/>
        <w:numPr>
          <w:ilvl w:val="0"/>
          <w:numId w:val="2"/>
        </w:numPr>
        <w:spacing w:after="80"/>
      </w:pPr>
      <w:r>
        <w:t xml:space="preserve">IEEE 830-1998 — Recommended Practice for Software Requirements Specifications (structural reference)</w:t>
      </w:r>
    </w:p>
    <w:p>
      <w:pPr>
        <w:pStyle w:val="ListParagraph"/>
        <w:numPr>
          <w:ilvl w:val="0"/>
          <w:numId w:val="2"/>
        </w:numPr>
        <w:spacing w:after="80"/>
      </w:pPr>
      <w:r>
        <w:t xml:space="preserve">ISO/IEC/IEEE 29148:2018 — Systems and software engineering — Life cycle processes — Requirements engineering (structural reference)</w:t>
      </w:r>
    </w:p>
    <w:p>
      <w:pPr>
        <w:pStyle w:val="ListParagraph"/>
        <w:numPr>
          <w:ilvl w:val="0"/>
          <w:numId w:val="2"/>
        </w:numPr>
        <w:spacing w:after="80"/>
      </w:pPr>
      <w:r>
        <w:t xml:space="preserve">PostgreSQL 16 Official Documentation (database implementation reference, Part 2)</w:t>
      </w:r>
    </w:p>
    <w:p>
      <w:pPr>
        <w:pStyle w:val="Heading2"/>
        <w:spacing w:after="160" w:before="320"/>
      </w:pPr>
      <w:r>
        <w:rPr>
          <w:b/>
          <w:bCs/>
        </w:rPr>
        <w:t xml:space="preserve">1.11 Document Conventions</w:t>
      </w:r>
    </w:p>
    <w:p>
      <w:pPr>
        <w:spacing w:after="160"/>
      </w:pPr>
      <w:r>
        <w:t xml:space="preserve">Requirements are written in testable form using “The system shall…” phrasing. Each functional requirement carries a unique ID in the form FR-&lt;MODULE&gt;-&lt;NNN&gt; (e.g. FR-UPL-001). Business rules use BR-&lt;MODULE&gt;-&lt;NNN&gt;. Where the source functional note does not specify an exact value, format, or business decision, this document marks the item as:</w:t>
      </w:r>
    </w:p>
    <w:p>
      <w:pPr>
        <w:spacing w:after="160"/>
      </w:pPr>
      <w:r>
        <w:rPr>
          <w:b/>
          <w:bCs/>
          <w:color w:val="AA5500"/>
        </w:rPr>
        <w:t xml:space="preserve">Proposed / To Be Confirmed</w:t>
      </w:r>
      <w:r>
        <w:t xml:space="preserve"> — an engineering assumption made to keep the specification implementable, requiring confirmation before being treated as final.</w:t>
      </w:r>
    </w:p>
    <w:p>
      <w:pPr>
        <w:spacing w:after="160"/>
      </w:pPr>
      <w:r>
        <w:t xml:space="preserve">Items explicitly stated in the source functional note are not marked. The distinction between functional requirements, non-functional requirements, business rules, constraints, assumptions and future requirements is maintained throughout via section placement and the labels above.</w:t>
      </w:r>
    </w:p>
    <w:p>
      <w:r>
        <w:br w:type="page"/>
      </w:r>
    </w:p>
    <w:p>
      <w:pPr>
        <w:pStyle w:val="Heading1"/>
        <w:spacing w:after="240" w:before="480"/>
      </w:pPr>
      <w:r>
        <w:rPr>
          <w:b/>
          <w:bCs/>
        </w:rPr>
        <w:t xml:space="preserve">2. Overall Description</w:t>
      </w:r>
    </w:p>
    <w:p>
      <w:pPr>
        <w:pStyle w:val="Heading2"/>
        <w:spacing w:after="160" w:before="320"/>
      </w:pPr>
      <w:r>
        <w:rPr>
          <w:b/>
          <w:bCs/>
        </w:rPr>
        <w:t xml:space="preserve">2.1 Product Perspective</w:t>
      </w:r>
    </w:p>
    <w:p>
      <w:pPr>
        <w:spacing w:after="160"/>
      </w:pPr>
      <w:r>
        <w:t xml:space="preserve">Cost360 is a new, self-contained, multi-tenant SaaS product. It is not a module of an existing ERP, though it is designed to ingest data exported from ERPs/accounting systems (as flat files, in the MVP) and, in future phases, to connect to them via API (Section 22, Part 3). Cost360 sits downstream of a customer's transactional systems (ERP, MES, spreadsheets) and upstream of management decision-making: it consumes exported data and produces costing results, analytics and audit evidence.</w:t>
      </w:r>
    </w:p>
    <w:p>
      <w:pPr>
        <w:pStyle w:val="Heading2"/>
        <w:spacing w:after="160" w:before="320"/>
      </w:pPr>
      <w:r>
        <w:rPr>
          <w:b/>
          <w:bCs/>
        </w:rPr>
        <w:t xml:space="preserve">2.2 Product Functions (Summary)</w:t>
      </w:r>
    </w:p>
    <w:p>
      <w:pPr>
        <w:pStyle w:val="ListParagraph"/>
        <w:numPr>
          <w:ilvl w:val="0"/>
          <w:numId w:val="2"/>
        </w:numPr>
        <w:spacing w:after="80"/>
      </w:pPr>
      <w:r>
        <w:t xml:space="preserve">Tenant, organisation hierarchy and user/role administration</w:t>
      </w:r>
    </w:p>
    <w:p>
      <w:pPr>
        <w:pStyle w:val="ListParagraph"/>
        <w:numPr>
          <w:ilvl w:val="0"/>
          <w:numId w:val="2"/>
        </w:numPr>
        <w:spacing w:after="80"/>
      </w:pPr>
      <w:r>
        <w:t xml:space="preserve">Data intake via Upload Centre, with mapping (manual and AI-assisted) and validation/data-quality scoring</w:t>
      </w:r>
    </w:p>
    <w:p>
      <w:pPr>
        <w:pStyle w:val="ListParagraph"/>
        <w:numPr>
          <w:ilvl w:val="0"/>
          <w:numId w:val="2"/>
        </w:numPr>
        <w:spacing w:after="80"/>
      </w:pPr>
      <w:r>
        <w:t xml:space="preserve">Master data management (items, BOM, standard cost, UOM, cost centres, rates, etc.) with governance</w:t>
      </w:r>
    </w:p>
    <w:p>
      <w:pPr>
        <w:pStyle w:val="ListParagraph"/>
        <w:numPr>
          <w:ilvl w:val="0"/>
          <w:numId w:val="2"/>
        </w:numPr>
        <w:spacing w:after="80"/>
      </w:pPr>
      <w:r>
        <w:t xml:space="preserve">Inventory valuation, BOM explosion and cost roll-up, product costing and overhead allocation</w:t>
      </w:r>
    </w:p>
    <w:p>
      <w:pPr>
        <w:pStyle w:val="ListParagraph"/>
        <w:numPr>
          <w:ilvl w:val="0"/>
          <w:numId w:val="2"/>
        </w:numPr>
        <w:spacing w:after="80"/>
      </w:pPr>
      <w:r>
        <w:t xml:space="preserve">Standard-vs-actual, variance, yield and cost bridge analysis</w:t>
      </w:r>
    </w:p>
    <w:p>
      <w:pPr>
        <w:pStyle w:val="ListParagraph"/>
        <w:numPr>
          <w:ilvl w:val="0"/>
          <w:numId w:val="2"/>
        </w:numPr>
        <w:spacing w:after="80"/>
      </w:pPr>
      <w:r>
        <w:t xml:space="preserve">Reconciliation of costing results to trial balance, inventory and production records</w:t>
      </w:r>
    </w:p>
    <w:p>
      <w:pPr>
        <w:pStyle w:val="ListParagraph"/>
        <w:numPr>
          <w:ilvl w:val="0"/>
          <w:numId w:val="2"/>
        </w:numPr>
        <w:spacing w:after="80"/>
      </w:pPr>
      <w:r>
        <w:t xml:space="preserve">Audit Desk, exception management, period close, costing versioning, audit trail and data lineage</w:t>
      </w:r>
    </w:p>
    <w:p>
      <w:pPr>
        <w:pStyle w:val="ListParagraph"/>
        <w:numPr>
          <w:ilvl w:val="0"/>
          <w:numId w:val="2"/>
        </w:numPr>
        <w:spacing w:after="80"/>
      </w:pPr>
      <w:r>
        <w:t xml:space="preserve">Management, CMA and Product dashboards; a report catalogue with drill-down; search</w:t>
      </w:r>
    </w:p>
    <w:p>
      <w:pPr>
        <w:pStyle w:val="ListParagraph"/>
        <w:numPr>
          <w:ilvl w:val="0"/>
          <w:numId w:val="2"/>
        </w:numPr>
        <w:spacing w:after="80"/>
      </w:pPr>
      <w:r>
        <w:t xml:space="preserve">AI layer: AI-assisted mapping, CMA AI Copilot, natural-language analytics, Costing Integrity Score, under AI governance</w:t>
      </w:r>
    </w:p>
    <w:p>
      <w:pPr>
        <w:pStyle w:val="Heading2"/>
        <w:spacing w:after="160" w:before="320"/>
      </w:pPr>
      <w:r>
        <w:rPr>
          <w:b/>
          <w:bCs/>
        </w:rPr>
        <w:t xml:space="preserve">2.3 User Characteristics</w:t>
      </w:r>
    </w:p>
    <w:p>
      <w:pPr>
        <w:spacing w:after="160"/>
      </w:pPr>
      <w:r>
        <w:t xml:space="preserve">Users range from technically supervised Platform Administrators (Cost360's own operations staff) to domain-expert Cost Accountants/CMAs (the primary power users, expected to have strong cost-accounting knowledge but not necessarily strong technical/IT knowledge) to Customer Administrators (customer-side IT/admin staff managing their own tenant configuration) to Management users (read-mostly, dashboard/report consumers) to Auditors/Reviewers (read-and-annotate users focused on evidence and sign-off). See Section 4 for detailed role profiles.</w:t>
      </w:r>
    </w:p>
    <w:p>
      <w:pPr>
        <w:pStyle w:val="Heading2"/>
        <w:spacing w:after="160" w:before="320"/>
      </w:pPr>
      <w:r>
        <w:rPr>
          <w:b/>
          <w:bCs/>
        </w:rPr>
        <w:t xml:space="preserve">2.4 Operating Environment</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7000"/>
      </w:tblGrid>
      <w:tr>
        <w:trPr>
          <w:tblHeader/>
        </w:trPr>
        <w:tc>
          <w:tcPr>
            <w:tcW w:type="dxa" w:w="2600"/>
            <w:shd w:fill="1F3864" w:color="auto"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7000"/>
            <w:shd w:fill="1F3864" w:color="auto" w:val="clear"/>
            <w:tcMar>
              <w:top w:type="dxa" w:w="60"/>
              <w:left w:type="dxa" w:w="100"/>
              <w:bottom w:type="dxa" w:w="60"/>
              <w:right w:type="dxa" w:w="100"/>
            </w:tcMar>
            <w:vAlign w:val="center"/>
          </w:tcPr>
          <w:p>
            <w:pPr>
              <w:jc w:val="left"/>
            </w:pPr>
            <w:r>
              <w:rPr>
                <w:b/>
                <w:bCs/>
                <w:color w:val="FFFFFF"/>
                <w:sz w:val="18"/>
                <w:szCs w:val="18"/>
              </w:rPr>
              <w:t xml:space="preserve">Environment</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Client</w:t>
            </w:r>
          </w:p>
        </w:tc>
        <w:tc>
          <w:tcPr>
            <w:tcW w:type="dxa" w:w="7000"/>
            <w:tcMar>
              <w:top w:type="dxa" w:w="60"/>
              <w:left w:type="dxa" w:w="100"/>
              <w:bottom w:type="dxa" w:w="60"/>
              <w:right w:type="dxa" w:w="100"/>
            </w:tcMar>
            <w:vAlign w:val="center"/>
          </w:tcPr>
          <w:p>
            <w:pPr>
              <w:jc w:val="left"/>
            </w:pPr>
            <w:r>
              <w:rPr>
                <w:b w:val="false"/>
                <w:bCs w:val="false"/>
                <w:sz w:val="18"/>
                <w:szCs w:val="18"/>
              </w:rPr>
              <w:t xml:space="preserve">Modern desktop and tablet browsers (Chrome, Edge, Firefox — latest two major versions). Responsive layout; mobile browsing supported for dashboards/read views — Proposed / To Be Confirmed for data-entry screens.</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Web/Application Server</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PHP (server-side rendering + AJAX endpoints) on a Linux-hosted web server (e.g. Apache/Nginx) — Proposed / To Be Confirmed exact server software and version</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Database</w:t>
            </w:r>
          </w:p>
        </w:tc>
        <w:tc>
          <w:tcPr>
            <w:tcW w:type="dxa" w:w="7000"/>
            <w:tcMar>
              <w:top w:type="dxa" w:w="60"/>
              <w:left w:type="dxa" w:w="100"/>
              <w:bottom w:type="dxa" w:w="60"/>
              <w:right w:type="dxa" w:w="100"/>
            </w:tcMar>
            <w:vAlign w:val="center"/>
          </w:tcPr>
          <w:p>
            <w:pPr>
              <w:jc w:val="left"/>
            </w:pPr>
            <w:r>
              <w:rPr>
                <w:b w:val="false"/>
                <w:bCs w:val="false"/>
                <w:sz w:val="18"/>
                <w:szCs w:val="18"/>
              </w:rPr>
              <w:t xml:space="preserve">PostgreSQL (version 14+ recommended) — Proposed / To Be Confirmed exact version for the academic deployment</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File Storage</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Server-side filesystem storage for uploaded source files in the MVP; object storage abstraction reserved for future cloud deployment — Proposed</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Background Processing</w:t>
            </w:r>
          </w:p>
        </w:tc>
        <w:tc>
          <w:tcPr>
            <w:tcW w:type="dxa" w:w="7000"/>
            <w:tcMar>
              <w:top w:type="dxa" w:w="60"/>
              <w:left w:type="dxa" w:w="100"/>
              <w:bottom w:type="dxa" w:w="60"/>
              <w:right w:type="dxa" w:w="100"/>
            </w:tcMar>
            <w:vAlign w:val="center"/>
          </w:tcPr>
          <w:p>
            <w:pPr>
              <w:jc w:val="left"/>
            </w:pPr>
            <w:r>
              <w:rPr>
                <w:b w:val="false"/>
                <w:bCs w:val="false"/>
                <w:sz w:val="18"/>
                <w:szCs w:val="18"/>
              </w:rPr>
              <w:t xml:space="preserve">PHP CLI-invoked or cron-scheduled background jobs for long-running import/costing/reconciliation runs — Proposed (see Section 8, Part 2 and Section 25, Part 3)</w:t>
            </w:r>
          </w:p>
        </w:tc>
      </w:tr>
    </w:tbl>
    <w:p>
      <w:pPr>
        <w:pStyle w:val="Heading2"/>
        <w:spacing w:after="160" w:before="320"/>
      </w:pPr>
      <w:r>
        <w:rPr>
          <w:b/>
          <w:bCs/>
        </w:rPr>
        <w:t xml:space="preserve">2.5 Design Constraints</w:t>
      </w:r>
    </w:p>
    <w:p>
      <w:pPr>
        <w:pStyle w:val="ListParagraph"/>
        <w:numPr>
          <w:ilvl w:val="0"/>
          <w:numId w:val="2"/>
        </w:numPr>
        <w:spacing w:after="80"/>
      </w:pPr>
      <w:r>
        <w:t xml:space="preserve">Front end: PHP, HTML5, CSS3, JavaScript, AJAX where required; responsive web UI</w:t>
      </w:r>
    </w:p>
    <w:p>
      <w:pPr>
        <w:pStyle w:val="ListParagraph"/>
        <w:numPr>
          <w:ilvl w:val="0"/>
          <w:numId w:val="2"/>
        </w:numPr>
        <w:spacing w:after="80"/>
      </w:pPr>
      <w:r>
        <w:t xml:space="preserve">Back end: PHP server-side application</w:t>
      </w:r>
    </w:p>
    <w:p>
      <w:pPr>
        <w:pStyle w:val="ListParagraph"/>
        <w:numPr>
          <w:ilvl w:val="0"/>
          <w:numId w:val="2"/>
        </w:numPr>
        <w:spacing w:after="80"/>
      </w:pPr>
      <w:r>
        <w:t xml:space="preserve">Database: PostgreSQL</w:t>
      </w:r>
    </w:p>
    <w:p>
      <w:pPr>
        <w:pStyle w:val="ListParagraph"/>
        <w:numPr>
          <w:ilvl w:val="0"/>
          <w:numId w:val="2"/>
        </w:numPr>
        <w:spacing w:after="80"/>
      </w:pPr>
      <w:r>
        <w:t xml:space="preserve">Database connectivity: native PostgreSQL PHP extension (pg_connect / pg_query_params / pg_begin / pg_commit / pg_rollback or equivalent) — PDO is explicitly excluded from the design</w:t>
      </w:r>
    </w:p>
    <w:p>
      <w:pPr>
        <w:pStyle w:val="ListParagraph"/>
        <w:numPr>
          <w:ilvl w:val="0"/>
          <w:numId w:val="2"/>
        </w:numPr>
        <w:spacing w:after="80"/>
      </w:pPr>
      <w:r>
        <w:t xml:space="preserve">Architecture: modular layered architecture; microservices are explicitly not required for the academic MVP</w:t>
      </w:r>
    </w:p>
    <w:p>
      <w:pPr>
        <w:pStyle w:val="ListParagraph"/>
        <w:numPr>
          <w:ilvl w:val="0"/>
          <w:numId w:val="2"/>
        </w:numPr>
        <w:spacing w:after="80"/>
      </w:pPr>
      <w:r>
        <w:t xml:space="preserve">Financial integrity constraints apply throughout: reproducibility, calculation traceability, version control, source-data immutability, auditability, effective dating, approval workflow, and period locking (see Section 2.10 and Section 43 principles, elaborated in Part 3)</w:t>
      </w:r>
    </w:p>
    <w:p>
      <w:pPr>
        <w:pStyle w:val="Heading2"/>
        <w:spacing w:after="160" w:before="320"/>
      </w:pPr>
      <w:r>
        <w:rPr>
          <w:b/>
          <w:bCs/>
        </w:rPr>
        <w:t xml:space="preserve">2.6 Technology Stack Summary</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600"/>
        <w:gridCol w:w="7000"/>
      </w:tblGrid>
      <w:tr>
        <w:trPr>
          <w:tblHeader/>
        </w:trPr>
        <w:tc>
          <w:tcPr>
            <w:tcW w:type="dxa" w:w="2600"/>
            <w:shd w:fill="1F3864" w:color="auto" w:val="clear"/>
            <w:tcMar>
              <w:top w:type="dxa" w:w="60"/>
              <w:left w:type="dxa" w:w="100"/>
              <w:bottom w:type="dxa" w:w="60"/>
              <w:right w:type="dxa" w:w="100"/>
            </w:tcMar>
            <w:vAlign w:val="center"/>
          </w:tcPr>
          <w:p>
            <w:pPr>
              <w:jc w:val="left"/>
            </w:pPr>
            <w:r>
              <w:rPr>
                <w:b/>
                <w:bCs/>
                <w:color w:val="FFFFFF"/>
                <w:sz w:val="18"/>
                <w:szCs w:val="18"/>
              </w:rPr>
              <w:t xml:space="preserve">Concern</w:t>
            </w:r>
          </w:p>
        </w:tc>
        <w:tc>
          <w:tcPr>
            <w:tcW w:type="dxa" w:w="7000"/>
            <w:shd w:fill="1F3864" w:color="auto" w:val="clear"/>
            <w:tcMar>
              <w:top w:type="dxa" w:w="60"/>
              <w:left w:type="dxa" w:w="100"/>
              <w:bottom w:type="dxa" w:w="60"/>
              <w:right w:type="dxa" w:w="100"/>
            </w:tcMar>
            <w:vAlign w:val="center"/>
          </w:tcPr>
          <w:p>
            <w:pPr>
              <w:jc w:val="left"/>
            </w:pPr>
            <w:r>
              <w:rPr>
                <w:b/>
                <w:bCs/>
                <w:color w:val="FFFFFF"/>
                <w:sz w:val="18"/>
                <w:szCs w:val="18"/>
              </w:rPr>
              <w:t xml:space="preserve">Technology / Approach</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Presentation / UI</w:t>
            </w:r>
          </w:p>
        </w:tc>
        <w:tc>
          <w:tcPr>
            <w:tcW w:type="dxa" w:w="7000"/>
            <w:tcMar>
              <w:top w:type="dxa" w:w="60"/>
              <w:left w:type="dxa" w:w="100"/>
              <w:bottom w:type="dxa" w:w="60"/>
              <w:right w:type="dxa" w:w="100"/>
            </w:tcMar>
            <w:vAlign w:val="center"/>
          </w:tcPr>
          <w:p>
            <w:pPr>
              <w:jc w:val="left"/>
            </w:pPr>
            <w:r>
              <w:rPr>
                <w:b w:val="false"/>
                <w:bCs w:val="false"/>
                <w:sz w:val="18"/>
                <w:szCs w:val="18"/>
              </w:rPr>
              <w:t xml:space="preserve">HTML5, CSS3, JavaScript, AJAX; server-rendered PHP views</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Application / Controller</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PHP (procedural or lightly object-oriented MVC-style controllers) — Proposed: front-controller pattern</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Business Logic</w:t>
            </w:r>
          </w:p>
        </w:tc>
        <w:tc>
          <w:tcPr>
            <w:tcW w:type="dxa" w:w="7000"/>
            <w:tcMar>
              <w:top w:type="dxa" w:w="60"/>
              <w:left w:type="dxa" w:w="100"/>
              <w:bottom w:type="dxa" w:w="60"/>
              <w:right w:type="dxa" w:w="100"/>
            </w:tcMar>
            <w:vAlign w:val="center"/>
          </w:tcPr>
          <w:p>
            <w:pPr>
              <w:jc w:val="left"/>
            </w:pPr>
            <w:r>
              <w:rPr>
                <w:b w:val="false"/>
                <w:bCs w:val="false"/>
                <w:sz w:val="18"/>
                <w:szCs w:val="18"/>
              </w:rPr>
              <w:t xml:space="preserve">PHP service/business-logic classes, separated from controllers and from data access</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 / Calculation Engines</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Dedicated PHP engine modules: Inventory Valuation Engine, BOM Engine, Cost Engine, Allocation Engine, Variance Engine, Reconciliation Engine</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Data Processing / Import</w:t>
            </w:r>
          </w:p>
        </w:tc>
        <w:tc>
          <w:tcPr>
            <w:tcW w:type="dxa" w:w="7000"/>
            <w:tcMar>
              <w:top w:type="dxa" w:w="60"/>
              <w:left w:type="dxa" w:w="100"/>
              <w:bottom w:type="dxa" w:w="60"/>
              <w:right w:type="dxa" w:w="100"/>
            </w:tcMar>
            <w:vAlign w:val="center"/>
          </w:tcPr>
          <w:p>
            <w:pPr>
              <w:jc w:val="left"/>
            </w:pPr>
            <w:r>
              <w:rPr>
                <w:b w:val="false"/>
                <w:bCs w:val="false"/>
                <w:sz w:val="18"/>
                <w:szCs w:val="18"/>
              </w:rPr>
              <w:t xml:space="preserve">PHP import/parsing layer (CSV/XLSX parsing — library choice Proposed / To Be Confirmed) feeding the Mapping and Validation layers</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Reporting</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PHP reporting layer generating on-screen, export (CSV/PDF/Excel — Proposed) and print-ready outputs</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Database Access</w:t>
            </w:r>
          </w:p>
        </w:tc>
        <w:tc>
          <w:tcPr>
            <w:tcW w:type="dxa" w:w="7000"/>
            <w:tcMar>
              <w:top w:type="dxa" w:w="60"/>
              <w:left w:type="dxa" w:w="100"/>
              <w:bottom w:type="dxa" w:w="60"/>
              <w:right w:type="dxa" w:w="100"/>
            </w:tcMar>
            <w:vAlign w:val="center"/>
          </w:tcPr>
          <w:p>
            <w:pPr>
              <w:jc w:val="left"/>
            </w:pPr>
            <w:r>
              <w:rPr>
                <w:b w:val="false"/>
                <w:bCs w:val="false"/>
                <w:sz w:val="18"/>
                <w:szCs w:val="18"/>
              </w:rPr>
              <w:t xml:space="preserve">PostgreSQL PHP extension (pg_* functions) with parameterised queries via pg_query_params; no PDO</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Database</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PostgreSQL</w:t>
            </w:r>
          </w:p>
        </w:tc>
      </w:tr>
      <w:tr>
        <w:tc>
          <w:tcPr>
            <w:tcW w:type="dxa" w:w="2600"/>
            <w:tcMar>
              <w:top w:type="dxa" w:w="60"/>
              <w:left w:type="dxa" w:w="100"/>
              <w:bottom w:type="dxa" w:w="60"/>
              <w:right w:type="dxa" w:w="100"/>
            </w:tcMar>
            <w:vAlign w:val="center"/>
          </w:tcPr>
          <w:p>
            <w:pPr>
              <w:jc w:val="left"/>
            </w:pPr>
            <w:r>
              <w:rPr>
                <w:b w:val="false"/>
                <w:bCs w:val="false"/>
                <w:sz w:val="18"/>
                <w:szCs w:val="18"/>
              </w:rPr>
              <w:t xml:space="preserve">File / Source Data Storage</w:t>
            </w:r>
          </w:p>
        </w:tc>
        <w:tc>
          <w:tcPr>
            <w:tcW w:type="dxa" w:w="7000"/>
            <w:tcMar>
              <w:top w:type="dxa" w:w="60"/>
              <w:left w:type="dxa" w:w="100"/>
              <w:bottom w:type="dxa" w:w="60"/>
              <w:right w:type="dxa" w:w="100"/>
            </w:tcMar>
            <w:vAlign w:val="center"/>
          </w:tcPr>
          <w:p>
            <w:pPr>
              <w:jc w:val="left"/>
            </w:pPr>
            <w:r>
              <w:rPr>
                <w:b w:val="false"/>
                <w:bCs w:val="false"/>
                <w:sz w:val="18"/>
                <w:szCs w:val="18"/>
              </w:rPr>
              <w:t xml:space="preserve">Server filesystem, tenant- and upload-scoped directory structure — Proposed</w:t>
            </w:r>
          </w:p>
        </w:tc>
      </w:tr>
      <w:tr>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AI Integration</w:t>
            </w:r>
          </w:p>
        </w:tc>
        <w:tc>
          <w:tcPr>
            <w:tcW w:type="dxa" w:w="7000"/>
            <w:shd w:fill="F2F2F2" w:color="auto" w:val="clear"/>
            <w:tcMar>
              <w:top w:type="dxa" w:w="60"/>
              <w:left w:type="dxa" w:w="100"/>
              <w:bottom w:type="dxa" w:w="60"/>
              <w:right w:type="dxa" w:w="100"/>
            </w:tcMar>
            <w:vAlign w:val="center"/>
          </w:tcPr>
          <w:p>
            <w:pPr>
              <w:jc w:val="left"/>
            </w:pPr>
            <w:r>
              <w:rPr>
                <w:b w:val="false"/>
                <w:bCs w:val="false"/>
                <w:sz w:val="18"/>
                <w:szCs w:val="18"/>
              </w:rPr>
              <w:t xml:space="preserve">External AI API call(s) from a dedicated AI Integration Layer (mapping suggestions, natural-language analytics, observations) — provider Proposed / To Be Confirmed; all AI outputs routed through human-review/approval per Section 43</w:t>
            </w:r>
          </w:p>
        </w:tc>
      </w:tr>
    </w:tbl>
    <w:p>
      <w:pPr>
        <w:pStyle w:val="Heading2"/>
        <w:spacing w:after="160" w:before="320"/>
      </w:pPr>
      <w:r>
        <w:rPr>
          <w:b/>
          <w:bCs/>
        </w:rPr>
        <w:t xml:space="preserve">2.7 Assumptions</w:t>
      </w:r>
    </w:p>
    <w:p>
      <w:pPr>
        <w:pStyle w:val="ListParagraph"/>
        <w:numPr>
          <w:ilvl w:val="0"/>
          <w:numId w:val="2"/>
        </w:numPr>
        <w:spacing w:after="80"/>
      </w:pPr>
      <w:r>
        <w:t xml:space="preserve">The academic deployment will run on a single application server and a single PostgreSQL instance — Proposed / To Be Confirmed</w:t>
      </w:r>
    </w:p>
    <w:p>
      <w:pPr>
        <w:pStyle w:val="ListParagraph"/>
        <w:numPr>
          <w:ilvl w:val="0"/>
          <w:numId w:val="2"/>
        </w:numPr>
        <w:spacing w:after="80"/>
      </w:pPr>
      <w:r>
        <w:t xml:space="preserve">Source data will be supplied primarily as Excel/CSV file uploads in the MVP; direct ERP API integration is Phase 2/3</w:t>
      </w:r>
    </w:p>
    <w:p>
      <w:pPr>
        <w:pStyle w:val="ListParagraph"/>
        <w:numPr>
          <w:ilvl w:val="0"/>
          <w:numId w:val="2"/>
        </w:numPr>
        <w:spacing w:after="80"/>
      </w:pPr>
      <w:r>
        <w:t xml:space="preserve">A small number of demonstration tenants (customers) will be used for academic evaluation — exact count To Be Confirmed</w:t>
      </w:r>
    </w:p>
    <w:p>
      <w:pPr>
        <w:pStyle w:val="ListParagraph"/>
        <w:numPr>
          <w:ilvl w:val="0"/>
          <w:numId w:val="2"/>
        </w:numPr>
        <w:spacing w:after="80"/>
      </w:pPr>
      <w:r>
        <w:t xml:space="preserve">English is the only UI language required for the MVP — Proposed</w:t>
      </w:r>
    </w:p>
    <w:p>
      <w:pPr>
        <w:pStyle w:val="Heading2"/>
        <w:spacing w:after="160" w:before="320"/>
      </w:pPr>
      <w:r>
        <w:rPr>
          <w:b/>
          <w:bCs/>
        </w:rPr>
        <w:t xml:space="preserve">2.8 Dependencies</w:t>
      </w:r>
    </w:p>
    <w:p>
      <w:pPr>
        <w:pStyle w:val="ListParagraph"/>
        <w:numPr>
          <w:ilvl w:val="0"/>
          <w:numId w:val="2"/>
        </w:numPr>
        <w:spacing w:after="80"/>
      </w:pPr>
      <w:r>
        <w:t xml:space="preserve">Availability of a PostgreSQL server compatible with the chosen PHP pg_* extension</w:t>
      </w:r>
    </w:p>
    <w:p>
      <w:pPr>
        <w:pStyle w:val="ListParagraph"/>
        <w:numPr>
          <w:ilvl w:val="0"/>
          <w:numId w:val="2"/>
        </w:numPr>
        <w:spacing w:after="80"/>
      </w:pPr>
      <w:r>
        <w:t xml:space="preserve">Availability of representative sample source files (trial balance, stock statement, BOM, standard cost, production data) to validate the canonical data model and engines — see Section 28 (Golden Reference Dataset), Part 4</w:t>
      </w:r>
    </w:p>
    <w:p>
      <w:pPr>
        <w:pStyle w:val="ListParagraph"/>
        <w:numPr>
          <w:ilvl w:val="0"/>
          <w:numId w:val="2"/>
        </w:numPr>
        <w:spacing w:after="80"/>
      </w:pPr>
      <w:r>
        <w:t xml:space="preserve">Access to an AI API/service if the AI layer is implemented in the MVP rather than stubbed — To Be Confirmed</w:t>
      </w:r>
    </w:p>
    <w:p>
      <w:pPr>
        <w:pStyle w:val="Heading2"/>
        <w:spacing w:after="160" w:before="320"/>
      </w:pPr>
      <w:r>
        <w:rPr>
          <w:b/>
          <w:bCs/>
        </w:rPr>
        <w:t xml:space="preserve">2.9 System Boundaries</w:t>
      </w:r>
    </w:p>
    <w:p>
      <w:pPr>
        <w:spacing w:after="160"/>
      </w:pPr>
      <w:r>
        <w:t xml:space="preserve">Cost360 owns everything from the point a source file is uploaded (or, in future, an API payload is received) through mapping, validation, calculation, reconciliation, audit and reporting. Cost360 does not own or modify the customer's source ERP/accounting system; it treats uploaded/ingested data as read-only evidence and never writes back to source systems in the MVP (see Data Lineage principles, Section 30, Part 3).</w:t>
      </w:r>
    </w:p>
    <w:p>
      <w:r>
        <w:br w:type="page"/>
      </w:r>
    </w:p>
    <w:p>
      <w:pPr>
        <w:pStyle w:val="Heading1"/>
        <w:spacing w:after="240" w:before="480"/>
      </w:pPr>
      <w:r>
        <w:rPr>
          <w:b/>
          <w:bCs/>
        </w:rPr>
        <w:t xml:space="preserve">3. System Context and Product Perspective</w:t>
      </w:r>
    </w:p>
    <w:p>
      <w:pPr>
        <w:pStyle w:val="Heading2"/>
        <w:spacing w:after="160" w:before="320"/>
      </w:pPr>
      <w:r>
        <w:rPr>
          <w:b/>
          <w:bCs/>
        </w:rPr>
        <w:t xml:space="preserve">3.1 Context Overview</w:t>
      </w:r>
    </w:p>
    <w:p>
      <w:pPr>
        <w:spacing w:after="160"/>
      </w:pPr>
      <w:r>
        <w:t xml:space="preserve">Cost360 is best understood as a pipeline that turns heterogeneous source data into governed, auditable costing results and analytics. The canonical processing pipeline, which underlies the module design, database design and process flows throughout this SRS, is:</w:t>
      </w:r>
    </w:p>
    <w:p>
      <w:pPr>
        <w:shd w:fill="F2F2F2"/>
        <w:spacing w:after="80"/>
      </w:pPr>
      <w:r>
        <w:rPr>
          <w:rFonts w:ascii="Consolas" w:cs="Consolas" w:eastAsia="Consolas" w:hAnsi="Consolas"/>
          <w:b/>
          <w:bCs/>
        </w:rPr>
        <w:t xml:space="preserve">ANY SOURCE</w:t>
      </w:r>
    </w:p>
    <w:p>
      <w:pPr>
        <w:spacing w:after="80"/>
      </w:pPr>
      <w:r>
        <w:rPr>
          <w:rFonts w:ascii="Consolas" w:cs="Consolas" w:eastAsia="Consolas" w:hAnsi="Consolas"/>
        </w:rPr>
        <w:t xml:space="preserve">↓</w:t>
      </w:r>
    </w:p>
    <w:p>
      <w:pPr>
        <w:shd w:fill="F2F2F2"/>
        <w:spacing w:after="80"/>
      </w:pPr>
      <w:r>
        <w:rPr>
          <w:rFonts w:ascii="Consolas" w:cs="Consolas" w:eastAsia="Consolas" w:hAnsi="Consolas"/>
        </w:rPr>
        <w:t xml:space="preserve">RAW DATA</w:t>
      </w:r>
    </w:p>
    <w:p>
      <w:pPr>
        <w:spacing w:after="80"/>
      </w:pPr>
      <w:r>
        <w:rPr>
          <w:rFonts w:ascii="Consolas" w:cs="Consolas" w:eastAsia="Consolas" w:hAnsi="Consolas"/>
        </w:rPr>
        <w:t xml:space="preserve">↓</w:t>
      </w:r>
    </w:p>
    <w:p>
      <w:pPr>
        <w:shd w:fill="F2F2F2"/>
        <w:spacing w:after="80"/>
      </w:pPr>
      <w:r>
        <w:rPr>
          <w:rFonts w:ascii="Consolas" w:cs="Consolas" w:eastAsia="Consolas" w:hAnsi="Consolas"/>
        </w:rPr>
        <w:t xml:space="preserve">MAPPING / AI</w:t>
      </w:r>
    </w:p>
    <w:p>
      <w:pPr>
        <w:spacing w:after="80"/>
      </w:pPr>
      <w:r>
        <w:rPr>
          <w:rFonts w:ascii="Consolas" w:cs="Consolas" w:eastAsia="Consolas" w:hAnsi="Consolas"/>
        </w:rPr>
        <w:t xml:space="preserve">↓</w:t>
      </w:r>
    </w:p>
    <w:p>
      <w:pPr>
        <w:shd w:fill="F2F2F2"/>
        <w:spacing w:after="80"/>
      </w:pPr>
      <w:r>
        <w:rPr>
          <w:rFonts w:ascii="Consolas" w:cs="Consolas" w:eastAsia="Consolas" w:hAnsi="Consolas"/>
        </w:rPr>
        <w:t xml:space="preserve">STANDARD DATA MODEL</w:t>
      </w:r>
    </w:p>
    <w:p>
      <w:pPr>
        <w:spacing w:after="80"/>
      </w:pPr>
      <w:r>
        <w:rPr>
          <w:rFonts w:ascii="Consolas" w:cs="Consolas" w:eastAsia="Consolas" w:hAnsi="Consolas"/>
        </w:rPr>
        <w:t xml:space="preserve">↓</w:t>
      </w:r>
    </w:p>
    <w:p>
      <w:pPr>
        <w:shd w:fill="F2F2F2"/>
        <w:spacing w:after="80"/>
      </w:pPr>
      <w:r>
        <w:rPr>
          <w:rFonts w:ascii="Consolas" w:cs="Consolas" w:eastAsia="Consolas" w:hAnsi="Consolas"/>
        </w:rPr>
        <w:t xml:space="preserve">VALIDATION</w:t>
      </w:r>
    </w:p>
    <w:p>
      <w:pPr>
        <w:spacing w:after="80"/>
      </w:pPr>
      <w:r>
        <w:rPr>
          <w:rFonts w:ascii="Consolas" w:cs="Consolas" w:eastAsia="Consolas" w:hAnsi="Consolas"/>
        </w:rPr>
        <w:t xml:space="preserve">↓</w:t>
      </w:r>
    </w:p>
    <w:p>
      <w:pPr>
        <w:shd w:fill="F2F2F2"/>
        <w:spacing w:after="80"/>
      </w:pPr>
      <w:r>
        <w:rPr>
          <w:rFonts w:ascii="Consolas" w:cs="Consolas" w:eastAsia="Consolas" w:hAnsi="Consolas"/>
        </w:rPr>
        <w:t xml:space="preserve">INVENTORY ENGINE / BOM ENGINE / COST ENGINE / ALLOCATION ENGINE / VARIANCE ENGINE / RECONCILIATION ENGINE</w:t>
      </w:r>
    </w:p>
    <w:p>
      <w:pPr>
        <w:spacing w:after="80"/>
      </w:pPr>
      <w:r>
        <w:rPr>
          <w:rFonts w:ascii="Consolas" w:cs="Consolas" w:eastAsia="Consolas" w:hAnsi="Consolas"/>
        </w:rPr>
        <w:t xml:space="preserve">↓</w:t>
      </w:r>
    </w:p>
    <w:p>
      <w:pPr>
        <w:shd w:fill="F2F2F2"/>
        <w:spacing w:after="80"/>
      </w:pPr>
      <w:r>
        <w:rPr>
          <w:rFonts w:ascii="Consolas" w:cs="Consolas" w:eastAsia="Consolas" w:hAnsi="Consolas"/>
        </w:rPr>
        <w:t xml:space="preserve">COSTING RESULTS</w:t>
      </w:r>
    </w:p>
    <w:p>
      <w:pPr>
        <w:spacing w:after="80"/>
      </w:pPr>
      <w:r>
        <w:rPr>
          <w:rFonts w:ascii="Consolas" w:cs="Consolas" w:eastAsia="Consolas" w:hAnsi="Consolas"/>
        </w:rPr>
        <w:t xml:space="preserve">↓</w:t>
      </w:r>
    </w:p>
    <w:p>
      <w:pPr>
        <w:shd w:fill="F2F2F2"/>
        <w:spacing w:after="80"/>
      </w:pPr>
      <w:r>
        <w:rPr>
          <w:rFonts w:ascii="Consolas" w:cs="Consolas" w:eastAsia="Consolas" w:hAnsi="Consolas"/>
        </w:rPr>
        <w:t xml:space="preserve">AUDIT / DATA LINEAGE</w:t>
      </w:r>
    </w:p>
    <w:p>
      <w:pPr>
        <w:spacing w:after="80"/>
      </w:pPr>
      <w:r>
        <w:rPr>
          <w:rFonts w:ascii="Consolas" w:cs="Consolas" w:eastAsia="Consolas" w:hAnsi="Consolas"/>
        </w:rPr>
        <w:t xml:space="preserve">↓</w:t>
      </w:r>
    </w:p>
    <w:p>
      <w:pPr>
        <w:shd w:fill="F2F2F2"/>
        <w:spacing w:after="80"/>
      </w:pPr>
      <w:r>
        <w:rPr>
          <w:rFonts w:ascii="Consolas" w:cs="Consolas" w:eastAsia="Consolas" w:hAnsi="Consolas"/>
        </w:rPr>
        <w:t xml:space="preserve">DASHBOARDS / REPORTS</w:t>
      </w:r>
    </w:p>
    <w:p>
      <w:pPr>
        <w:spacing w:after="80"/>
      </w:pPr>
      <w:r>
        <w:rPr>
          <w:rFonts w:ascii="Consolas" w:cs="Consolas" w:eastAsia="Consolas" w:hAnsi="Consolas"/>
        </w:rPr>
        <w:t xml:space="preserve">↓</w:t>
      </w:r>
    </w:p>
    <w:p>
      <w:pPr>
        <w:shd w:fill="F2F2F2"/>
        <w:spacing w:after="240"/>
      </w:pPr>
      <w:r>
        <w:rPr>
          <w:rFonts w:ascii="Consolas" w:cs="Consolas" w:eastAsia="Consolas" w:hAnsi="Consolas"/>
        </w:rPr>
        <w:t xml:space="preserve">AI / ANALYTICS / SIMULATION</w:t>
      </w:r>
    </w:p>
    <w:p>
      <w:pPr>
        <w:spacing w:after="160"/>
      </w:pPr>
      <w:r>
        <w:t xml:space="preserve">This pipeline is deliberately source-agnostic: Cost360 does not hard-code itself to any one customer's Excel layout. Instead, Source System Master and Mapping Configuration (Section 10, Part 2) describe how a given source's columns map onto the canonical Standard Data Model, so that onboarding a new source format is a configuration exercise, not a code change (Figure 3.2, external system context, provided in Part 3 as a Context/Data-Flow Diagram).</w:t>
      </w:r>
    </w:p>
    <w:p>
      <w:pPr>
        <w:pStyle w:val="Heading2"/>
        <w:spacing w:after="160" w:before="320"/>
      </w:pPr>
      <w:r>
        <w:rPr>
          <w:b/>
          <w:bCs/>
        </w:rPr>
        <w:t xml:space="preserve">3.2 External Interfaces (Summary)</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800"/>
        <w:gridCol w:w="1700"/>
        <w:gridCol w:w="2500"/>
        <w:gridCol w:w="2600"/>
      </w:tblGrid>
      <w:tr>
        <w:trPr>
          <w:tblHeader/>
        </w:trPr>
        <w:tc>
          <w:tcPr>
            <w:tcW w:type="dxa" w:w="2800"/>
            <w:shd w:fill="1F3864" w:color="auto" w:val="clear"/>
            <w:tcMar>
              <w:top w:type="dxa" w:w="60"/>
              <w:left w:type="dxa" w:w="100"/>
              <w:bottom w:type="dxa" w:w="60"/>
              <w:right w:type="dxa" w:w="100"/>
            </w:tcMar>
            <w:vAlign w:val="center"/>
          </w:tcPr>
          <w:p>
            <w:pPr>
              <w:jc w:val="left"/>
            </w:pPr>
            <w:r>
              <w:rPr>
                <w:b/>
                <w:bCs/>
                <w:color w:val="FFFFFF"/>
                <w:sz w:val="18"/>
                <w:szCs w:val="18"/>
              </w:rPr>
              <w:t xml:space="preserve">Interface</w:t>
            </w:r>
          </w:p>
        </w:tc>
        <w:tc>
          <w:tcPr>
            <w:tcW w:type="dxa" w:w="1700"/>
            <w:shd w:fill="1F3864" w:color="auto" w:val="clear"/>
            <w:tcMar>
              <w:top w:type="dxa" w:w="60"/>
              <w:left w:type="dxa" w:w="100"/>
              <w:bottom w:type="dxa" w:w="60"/>
              <w:right w:type="dxa" w:w="100"/>
            </w:tcMar>
            <w:vAlign w:val="center"/>
          </w:tcPr>
          <w:p>
            <w:pPr>
              <w:jc w:val="left"/>
            </w:pPr>
            <w:r>
              <w:rPr>
                <w:b/>
                <w:bCs/>
                <w:color w:val="FFFFFF"/>
                <w:sz w:val="18"/>
                <w:szCs w:val="18"/>
              </w:rPr>
              <w:t xml:space="preserve">Direction</w:t>
            </w:r>
          </w:p>
        </w:tc>
        <w:tc>
          <w:tcPr>
            <w:tcW w:type="dxa" w:w="2500"/>
            <w:shd w:fill="1F3864" w:color="auto" w:val="clear"/>
            <w:tcMar>
              <w:top w:type="dxa" w:w="60"/>
              <w:left w:type="dxa" w:w="100"/>
              <w:bottom w:type="dxa" w:w="60"/>
              <w:right w:type="dxa" w:w="100"/>
            </w:tcMar>
            <w:vAlign w:val="center"/>
          </w:tcPr>
          <w:p>
            <w:pPr>
              <w:jc w:val="left"/>
            </w:pPr>
            <w:r>
              <w:rPr>
                <w:b/>
                <w:bCs/>
                <w:color w:val="FFFFFF"/>
                <w:sz w:val="18"/>
                <w:szCs w:val="18"/>
              </w:rPr>
              <w:t xml:space="preserve">Nature in MVP</w:t>
            </w:r>
          </w:p>
        </w:tc>
        <w:tc>
          <w:tcPr>
            <w:tcW w:type="dxa" w:w="2600"/>
            <w:shd w:fill="1F3864" w:color="auto" w:val="clear"/>
            <w:tcMar>
              <w:top w:type="dxa" w:w="60"/>
              <w:left w:type="dxa" w:w="100"/>
              <w:bottom w:type="dxa" w:w="60"/>
              <w:right w:type="dxa" w:w="100"/>
            </w:tcMar>
            <w:vAlign w:val="center"/>
          </w:tcPr>
          <w:p>
            <w:pPr>
              <w:jc w:val="left"/>
            </w:pPr>
            <w:r>
              <w:rPr>
                <w:b/>
                <w:bCs/>
                <w:color w:val="FFFFFF"/>
                <w:sz w:val="18"/>
                <w:szCs w:val="18"/>
              </w:rPr>
              <w:t xml:space="preserve">Future</w:t>
            </w:r>
          </w:p>
        </w:tc>
      </w:tr>
      <w:tr>
        <w:tc>
          <w:tcPr>
            <w:tcW w:type="dxa" w:w="2800"/>
            <w:tcMar>
              <w:top w:type="dxa" w:w="60"/>
              <w:left w:type="dxa" w:w="100"/>
              <w:bottom w:type="dxa" w:w="60"/>
              <w:right w:type="dxa" w:w="100"/>
            </w:tcMar>
            <w:vAlign w:val="center"/>
          </w:tcPr>
          <w:p>
            <w:pPr>
              <w:jc w:val="left"/>
            </w:pPr>
            <w:r>
              <w:rPr>
                <w:b w:val="false"/>
                <w:bCs w:val="false"/>
                <w:sz w:val="18"/>
                <w:szCs w:val="18"/>
              </w:rPr>
              <w:t xml:space="preserve">Customer source files (TB, stock, BOM, standard cost, production data)</w:t>
            </w:r>
          </w:p>
        </w:tc>
        <w:tc>
          <w:tcPr>
            <w:tcW w:type="dxa" w:w="1700"/>
            <w:tcMar>
              <w:top w:type="dxa" w:w="60"/>
              <w:left w:type="dxa" w:w="100"/>
              <w:bottom w:type="dxa" w:w="60"/>
              <w:right w:type="dxa" w:w="100"/>
            </w:tcMar>
            <w:vAlign w:val="center"/>
          </w:tcPr>
          <w:p>
            <w:pPr>
              <w:jc w:val="left"/>
            </w:pPr>
            <w:r>
              <w:rPr>
                <w:b w:val="false"/>
                <w:bCs w:val="false"/>
                <w:sz w:val="18"/>
                <w:szCs w:val="18"/>
              </w:rPr>
              <w:t xml:space="preserve">Inbound</w:t>
            </w:r>
          </w:p>
        </w:tc>
        <w:tc>
          <w:tcPr>
            <w:tcW w:type="dxa" w:w="2500"/>
            <w:tcMar>
              <w:top w:type="dxa" w:w="60"/>
              <w:left w:type="dxa" w:w="100"/>
              <w:bottom w:type="dxa" w:w="60"/>
              <w:right w:type="dxa" w:w="100"/>
            </w:tcMar>
            <w:vAlign w:val="center"/>
          </w:tcPr>
          <w:p>
            <w:pPr>
              <w:jc w:val="left"/>
            </w:pPr>
            <w:r>
              <w:rPr>
                <w:b w:val="false"/>
                <w:bCs w:val="false"/>
                <w:sz w:val="18"/>
                <w:szCs w:val="18"/>
              </w:rPr>
              <w:t xml:space="preserve">Manual file upload (Excel/CSV) via Upload Centre</w:t>
            </w:r>
          </w:p>
        </w:tc>
        <w:tc>
          <w:tcPr>
            <w:tcW w:type="dxa" w:w="2600"/>
            <w:tcMar>
              <w:top w:type="dxa" w:w="60"/>
              <w:left w:type="dxa" w:w="100"/>
              <w:bottom w:type="dxa" w:w="60"/>
              <w:right w:type="dxa" w:w="100"/>
            </w:tcMar>
            <w:vAlign w:val="center"/>
          </w:tcPr>
          <w:p>
            <w:pPr>
              <w:jc w:val="left"/>
            </w:pPr>
            <w:r>
              <w:rPr>
                <w:b w:val="false"/>
                <w:bCs w:val="false"/>
                <w:sz w:val="18"/>
                <w:szCs w:val="18"/>
              </w:rPr>
              <w:t xml:space="preserve">Scheduled/API import from ERP — Phase 2/3</w:t>
            </w:r>
          </w:p>
        </w:tc>
      </w:tr>
      <w:tr>
        <w:tc>
          <w:tcPr>
            <w:tcW w:type="dxa" w:w="2800"/>
            <w:shd w:fill="F2F2F2" w:color="auto" w:val="clear"/>
            <w:tcMar>
              <w:top w:type="dxa" w:w="60"/>
              <w:left w:type="dxa" w:w="100"/>
              <w:bottom w:type="dxa" w:w="60"/>
              <w:right w:type="dxa" w:w="100"/>
            </w:tcMar>
            <w:vAlign w:val="center"/>
          </w:tcPr>
          <w:p>
            <w:pPr>
              <w:jc w:val="left"/>
            </w:pPr>
            <w:r>
              <w:rPr>
                <w:b w:val="false"/>
                <w:bCs w:val="false"/>
                <w:sz w:val="18"/>
                <w:szCs w:val="18"/>
              </w:rPr>
              <w:t xml:space="preserve">AI service</w:t>
            </w:r>
          </w:p>
        </w:tc>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Outbound/Inbound</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API call for mapping suggestions and analytics text — Proposed / To Be Confirmed provider</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Expanded AI Copilot, predictive costing — Phase 2/3</w:t>
            </w:r>
          </w:p>
        </w:tc>
      </w:tr>
      <w:tr>
        <w:tc>
          <w:tcPr>
            <w:tcW w:type="dxa" w:w="2800"/>
            <w:tcMar>
              <w:top w:type="dxa" w:w="60"/>
              <w:left w:type="dxa" w:w="100"/>
              <w:bottom w:type="dxa" w:w="60"/>
              <w:right w:type="dxa" w:w="100"/>
            </w:tcMar>
            <w:vAlign w:val="center"/>
          </w:tcPr>
          <w:p>
            <w:pPr>
              <w:jc w:val="left"/>
            </w:pPr>
            <w:r>
              <w:rPr>
                <w:b w:val="false"/>
                <w:bCs w:val="false"/>
                <w:sz w:val="18"/>
                <w:szCs w:val="18"/>
              </w:rPr>
              <w:t xml:space="preserve">Report/export consumers</w:t>
            </w:r>
          </w:p>
        </w:tc>
        <w:tc>
          <w:tcPr>
            <w:tcW w:type="dxa" w:w="1700"/>
            <w:tcMar>
              <w:top w:type="dxa" w:w="60"/>
              <w:left w:type="dxa" w:w="100"/>
              <w:bottom w:type="dxa" w:w="60"/>
              <w:right w:type="dxa" w:w="100"/>
            </w:tcMar>
            <w:vAlign w:val="center"/>
          </w:tcPr>
          <w:p>
            <w:pPr>
              <w:jc w:val="left"/>
            </w:pPr>
            <w:r>
              <w:rPr>
                <w:b w:val="false"/>
                <w:bCs w:val="false"/>
                <w:sz w:val="18"/>
                <w:szCs w:val="18"/>
              </w:rPr>
              <w:t xml:space="preserve">Outbound</w:t>
            </w:r>
          </w:p>
        </w:tc>
        <w:tc>
          <w:tcPr>
            <w:tcW w:type="dxa" w:w="2500"/>
            <w:tcMar>
              <w:top w:type="dxa" w:w="60"/>
              <w:left w:type="dxa" w:w="100"/>
              <w:bottom w:type="dxa" w:w="60"/>
              <w:right w:type="dxa" w:w="100"/>
            </w:tcMar>
            <w:vAlign w:val="center"/>
          </w:tcPr>
          <w:p>
            <w:pPr>
              <w:jc w:val="left"/>
            </w:pPr>
            <w:r>
              <w:rPr>
                <w:b w:val="false"/>
                <w:bCs w:val="false"/>
                <w:sz w:val="18"/>
                <w:szCs w:val="18"/>
              </w:rPr>
              <w:t xml:space="preserve">On-screen, CSV/PDF/Excel export — Proposed formats</w:t>
            </w:r>
          </w:p>
        </w:tc>
        <w:tc>
          <w:tcPr>
            <w:tcW w:type="dxa" w:w="2600"/>
            <w:tcMar>
              <w:top w:type="dxa" w:w="60"/>
              <w:left w:type="dxa" w:w="100"/>
              <w:bottom w:type="dxa" w:w="60"/>
              <w:right w:type="dxa" w:w="100"/>
            </w:tcMar>
            <w:vAlign w:val="center"/>
          </w:tcPr>
          <w:p>
            <w:pPr>
              <w:jc w:val="left"/>
            </w:pPr>
            <w:r>
              <w:rPr>
                <w:b w:val="false"/>
                <w:bCs w:val="false"/>
                <w:sz w:val="18"/>
                <w:szCs w:val="18"/>
              </w:rPr>
              <w:t xml:space="preserve">Scheduled report distribution, email — Phase 2</w:t>
            </w:r>
          </w:p>
        </w:tc>
      </w:tr>
      <w:tr>
        <w:tc>
          <w:tcPr>
            <w:tcW w:type="dxa" w:w="2800"/>
            <w:shd w:fill="F2F2F2" w:color="auto" w:val="clear"/>
            <w:tcMar>
              <w:top w:type="dxa" w:w="60"/>
              <w:left w:type="dxa" w:w="100"/>
              <w:bottom w:type="dxa" w:w="60"/>
              <w:right w:type="dxa" w:w="100"/>
            </w:tcMar>
            <w:vAlign w:val="center"/>
          </w:tcPr>
          <w:p>
            <w:pPr>
              <w:jc w:val="left"/>
            </w:pPr>
            <w:r>
              <w:rPr>
                <w:b w:val="false"/>
                <w:bCs w:val="false"/>
                <w:sz w:val="18"/>
                <w:szCs w:val="18"/>
              </w:rPr>
              <w:t xml:space="preserve">ERP / accounting systems</w:t>
            </w:r>
          </w:p>
        </w:tc>
        <w:tc>
          <w:tcPr>
            <w:tcW w:type="dxa" w:w="1700"/>
            <w:shd w:fill="F2F2F2" w:color="auto" w:val="clear"/>
            <w:tcMar>
              <w:top w:type="dxa" w:w="60"/>
              <w:left w:type="dxa" w:w="100"/>
              <w:bottom w:type="dxa" w:w="60"/>
              <w:right w:type="dxa" w:w="100"/>
            </w:tcMar>
            <w:vAlign w:val="center"/>
          </w:tcPr>
          <w:p>
            <w:pPr>
              <w:jc w:val="left"/>
            </w:pPr>
            <w:r>
              <w:rPr>
                <w:b w:val="false"/>
                <w:bCs w:val="false"/>
                <w:sz w:val="18"/>
                <w:szCs w:val="18"/>
              </w:rPr>
              <w:t xml:space="preserve">Bidirectional (future)</w:t>
            </w:r>
          </w:p>
        </w:tc>
        <w:tc>
          <w:tcPr>
            <w:tcW w:type="dxa" w:w="2500"/>
            <w:shd w:fill="F2F2F2" w:color="auto" w:val="clear"/>
            <w:tcMar>
              <w:top w:type="dxa" w:w="60"/>
              <w:left w:type="dxa" w:w="100"/>
              <w:bottom w:type="dxa" w:w="60"/>
              <w:right w:type="dxa" w:w="100"/>
            </w:tcMar>
            <w:vAlign w:val="center"/>
          </w:tcPr>
          <w:p>
            <w:pPr>
              <w:jc w:val="left"/>
            </w:pPr>
            <w:r>
              <w:rPr>
                <w:b w:val="false"/>
                <w:bCs w:val="false"/>
                <w:sz w:val="18"/>
                <w:szCs w:val="18"/>
              </w:rPr>
              <w:t xml:space="preserve">Not integrated in MVP (file-based only)</w:t>
            </w:r>
          </w:p>
        </w:tc>
        <w:tc>
          <w:tcPr>
            <w:tcW w:type="dxa" w:w="2600"/>
            <w:shd w:fill="F2F2F2" w:color="auto" w:val="clear"/>
            <w:tcMar>
              <w:top w:type="dxa" w:w="60"/>
              <w:left w:type="dxa" w:w="100"/>
              <w:bottom w:type="dxa" w:w="60"/>
              <w:right w:type="dxa" w:w="100"/>
            </w:tcMar>
            <w:vAlign w:val="center"/>
          </w:tcPr>
          <w:p>
            <w:pPr>
              <w:jc w:val="left"/>
            </w:pPr>
            <w:r>
              <w:rPr>
                <w:b w:val="false"/>
                <w:bCs w:val="false"/>
                <w:sz w:val="18"/>
                <w:szCs w:val="18"/>
              </w:rPr>
              <w:t xml:space="preserve">API-based ERP connectors — Phase 3 (Section 22, Part 3)</w:t>
            </w:r>
          </w:p>
        </w:tc>
      </w:tr>
    </w:tbl>
    <w:p>
      <w:pPr>
        <w:pStyle w:val="Heading2"/>
        <w:spacing w:after="160" w:before="320"/>
      </w:pPr>
      <w:r>
        <w:rPr>
          <w:b/>
          <w:bCs/>
        </w:rPr>
        <w:t xml:space="preserve">3.3 Product Perspective Diagram (Textual)</w:t>
      </w:r>
    </w:p>
    <w:p>
      <w:pPr>
        <w:spacing w:after="160"/>
      </w:pPr>
      <w:r>
        <w:t xml:space="preserve">A formal Context/Data-Flow Diagram (Figure numbering to follow document-wide figure numbering) will be provided in Part 3, Section 32 (UML Diagrams), showing Cost360 as the central system bounded by: Customer Source Systems (upstream), Platform Administrator and Customer Administrator (configuration), CMA/Cost Accountant and Auditor (primary operating users), Management users (consumers), and the AI Service (integration partner).</w:t>
      </w:r>
    </w:p>
    <w:p>
      <w:r>
        <w:br w:type="page"/>
      </w:r>
    </w:p>
    <w:p>
      <w:pPr>
        <w:pStyle w:val="Heading1"/>
        <w:spacing w:after="240" w:before="480"/>
      </w:pPr>
      <w:r>
        <w:rPr>
          <w:b/>
          <w:bCs/>
        </w:rPr>
        <w:t xml:space="preserve">4. Stakeholders and User Classes</w:t>
      </w:r>
    </w:p>
    <w:p>
      <w:pPr>
        <w:pStyle w:val="Heading2"/>
        <w:spacing w:after="160" w:before="320"/>
      </w:pPr>
      <w:r>
        <w:rPr>
          <w:b/>
          <w:bCs/>
        </w:rPr>
        <w:t xml:space="preserve">4.1 Role Summary Table</w:t>
      </w:r>
    </w:p>
    <w:tbl>
      <w:tblPr>
        <w:tblW w:type="dxa" w:w="12600"/>
        <w:tblBorders>
          <w:top w:val="single" w:color="BFBFBF" w:sz="2"/>
          <w:left w:val="single" w:color="BFBFBF" w:sz="2"/>
          <w:bottom w:val="single" w:color="BFBFBF" w:sz="2"/>
          <w:right w:val="single" w:color="BFBFBF" w:sz="2"/>
          <w:insideH w:val="single" w:color="D9D9D9" w:sz="2"/>
          <w:insideV w:val="single" w:color="D9D9D9" w:sz="2"/>
        </w:tblBorders>
      </w:tblPr>
      <w:tblGrid>
        <w:gridCol w:w="1500"/>
        <w:gridCol w:w="1600"/>
        <w:gridCol w:w="2400"/>
        <w:gridCol w:w="2200"/>
        <w:gridCol w:w="2000"/>
        <w:gridCol w:w="1300"/>
        <w:gridCol w:w="1600"/>
      </w:tblGrid>
      <w:tr>
        <w:trPr>
          <w:tblHeader/>
        </w:trPr>
        <w:tc>
          <w:tcPr>
            <w:tcW w:type="dxa" w:w="1500"/>
            <w:shd w:fill="1F3864" w:color="auto" w:val="clear"/>
            <w:tcMar>
              <w:top w:type="dxa" w:w="60"/>
              <w:left w:type="dxa" w:w="100"/>
              <w:bottom w:type="dxa" w:w="60"/>
              <w:right w:type="dxa" w:w="100"/>
            </w:tcMar>
            <w:vAlign w:val="center"/>
          </w:tcPr>
          <w:p>
            <w:pPr>
              <w:jc w:val="left"/>
            </w:pPr>
            <w:r>
              <w:rPr>
                <w:b/>
                <w:bCs/>
                <w:color w:val="FFFFFF"/>
                <w:sz w:val="18"/>
                <w:szCs w:val="18"/>
              </w:rPr>
              <w:t xml:space="preserve">Role</w:t>
            </w:r>
          </w:p>
        </w:tc>
        <w:tc>
          <w:tcPr>
            <w:tcW w:type="dxa" w:w="1600"/>
            <w:shd w:fill="1F3864" w:color="auto" w:val="clear"/>
            <w:tcMar>
              <w:top w:type="dxa" w:w="60"/>
              <w:left w:type="dxa" w:w="100"/>
              <w:bottom w:type="dxa" w:w="60"/>
              <w:right w:type="dxa" w:w="100"/>
            </w:tcMar>
            <w:vAlign w:val="center"/>
          </w:tcPr>
          <w:p>
            <w:pPr>
              <w:jc w:val="left"/>
            </w:pPr>
            <w:r>
              <w:rPr>
                <w:b/>
                <w:bCs/>
                <w:color w:val="FFFFFF"/>
                <w:sz w:val="18"/>
                <w:szCs w:val="18"/>
              </w:rPr>
              <w:t xml:space="preserve">Purpose</w:t>
            </w:r>
          </w:p>
        </w:tc>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Key Responsibilities</w:t>
            </w:r>
          </w:p>
        </w:tc>
        <w:tc>
          <w:tcPr>
            <w:tcW w:type="dxa" w:w="2200"/>
            <w:shd w:fill="1F3864" w:color="auto" w:val="clear"/>
            <w:tcMar>
              <w:top w:type="dxa" w:w="60"/>
              <w:left w:type="dxa" w:w="100"/>
              <w:bottom w:type="dxa" w:w="60"/>
              <w:right w:type="dxa" w:w="100"/>
            </w:tcMar>
            <w:vAlign w:val="center"/>
          </w:tcPr>
          <w:p>
            <w:pPr>
              <w:jc w:val="left"/>
            </w:pPr>
            <w:r>
              <w:rPr>
                <w:b/>
                <w:bCs/>
                <w:color w:val="FFFFFF"/>
                <w:sz w:val="18"/>
                <w:szCs w:val="18"/>
              </w:rPr>
              <w:t xml:space="preserve">Key Permissions</w:t>
            </w:r>
          </w:p>
        </w:tc>
        <w:tc>
          <w:tcPr>
            <w:tcW w:type="dxa" w:w="2000"/>
            <w:shd w:fill="1F3864" w:color="auto" w:val="clear"/>
            <w:tcMar>
              <w:top w:type="dxa" w:w="60"/>
              <w:left w:type="dxa" w:w="100"/>
              <w:bottom w:type="dxa" w:w="60"/>
              <w:right w:type="dxa" w:w="100"/>
            </w:tcMar>
            <w:vAlign w:val="center"/>
          </w:tcPr>
          <w:p>
            <w:pPr>
              <w:jc w:val="left"/>
            </w:pPr>
            <w:r>
              <w:rPr>
                <w:b/>
                <w:bCs/>
                <w:color w:val="FFFFFF"/>
                <w:sz w:val="18"/>
                <w:szCs w:val="18"/>
              </w:rPr>
              <w:t xml:space="preserve">Accessible Modules</w:t>
            </w:r>
          </w:p>
        </w:tc>
        <w:tc>
          <w:tcPr>
            <w:tcW w:type="dxa" w:w="1300"/>
            <w:shd w:fill="1F3864" w:color="auto" w:val="clear"/>
            <w:tcMar>
              <w:top w:type="dxa" w:w="60"/>
              <w:left w:type="dxa" w:w="100"/>
              <w:bottom w:type="dxa" w:w="60"/>
              <w:right w:type="dxa" w:w="100"/>
            </w:tcMar>
            <w:vAlign w:val="center"/>
          </w:tcPr>
          <w:p>
            <w:pPr>
              <w:jc w:val="left"/>
            </w:pPr>
            <w:r>
              <w:rPr>
                <w:b/>
                <w:bCs/>
                <w:color w:val="FFFFFF"/>
                <w:sz w:val="18"/>
                <w:szCs w:val="18"/>
              </w:rPr>
              <w:t xml:space="preserve">Dashboard</w:t>
            </w:r>
          </w:p>
        </w:tc>
        <w:tc>
          <w:tcPr>
            <w:tcW w:type="dxa" w:w="1600"/>
            <w:shd w:fill="1F3864" w:color="auto" w:val="clear"/>
            <w:tcMar>
              <w:top w:type="dxa" w:w="60"/>
              <w:left w:type="dxa" w:w="100"/>
              <w:bottom w:type="dxa" w:w="60"/>
              <w:right w:type="dxa" w:w="100"/>
            </w:tcMar>
            <w:vAlign w:val="center"/>
          </w:tcPr>
          <w:p>
            <w:pPr>
              <w:jc w:val="left"/>
            </w:pPr>
            <w:r>
              <w:rPr>
                <w:b/>
                <w:bCs/>
                <w:color w:val="FFFFFF"/>
                <w:sz w:val="18"/>
                <w:szCs w:val="18"/>
              </w:rPr>
              <w:t xml:space="preserve">Reports</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Platform Administrator</w:t>
            </w:r>
          </w:p>
        </w:tc>
        <w:tc>
          <w:tcPr>
            <w:tcW w:type="dxa" w:w="1600"/>
            <w:tcMar>
              <w:top w:type="dxa" w:w="60"/>
              <w:left w:type="dxa" w:w="100"/>
              <w:bottom w:type="dxa" w:w="60"/>
              <w:right w:type="dxa" w:w="100"/>
            </w:tcMar>
            <w:vAlign w:val="center"/>
          </w:tcPr>
          <w:p>
            <w:pPr>
              <w:jc w:val="left"/>
            </w:pPr>
            <w:r>
              <w:rPr>
                <w:b w:val="false"/>
                <w:bCs w:val="false"/>
                <w:sz w:val="18"/>
                <w:szCs w:val="18"/>
              </w:rPr>
              <w:t xml:space="preserve">Operates Cost360 itself across all tenants</w:t>
            </w:r>
          </w:p>
        </w:tc>
        <w:tc>
          <w:tcPr>
            <w:tcW w:type="dxa" w:w="2400"/>
            <w:tcMar>
              <w:top w:type="dxa" w:w="60"/>
              <w:left w:type="dxa" w:w="100"/>
              <w:bottom w:type="dxa" w:w="60"/>
              <w:right w:type="dxa" w:w="100"/>
            </w:tcMar>
            <w:vAlign w:val="center"/>
          </w:tcPr>
          <w:p>
            <w:pPr>
              <w:jc w:val="left"/>
            </w:pPr>
            <w:r>
              <w:rPr>
                <w:b w:val="false"/>
                <w:bCs w:val="false"/>
                <w:sz w:val="18"/>
                <w:szCs w:val="18"/>
              </w:rPr>
              <w:t xml:space="preserve">Tenant onboarding; subscription mgmt; platform config; cross-tenant support; system monitoring</w:t>
            </w:r>
          </w:p>
        </w:tc>
        <w:tc>
          <w:tcPr>
            <w:tcW w:type="dxa" w:w="2200"/>
            <w:tcMar>
              <w:top w:type="dxa" w:w="60"/>
              <w:left w:type="dxa" w:w="100"/>
              <w:bottom w:type="dxa" w:w="60"/>
              <w:right w:type="dxa" w:w="100"/>
            </w:tcMar>
            <w:vAlign w:val="center"/>
          </w:tcPr>
          <w:p>
            <w:pPr>
              <w:jc w:val="left"/>
            </w:pPr>
            <w:r>
              <w:rPr>
                <w:b w:val="false"/>
                <w:bCs w:val="false"/>
                <w:sz w:val="18"/>
                <w:szCs w:val="18"/>
              </w:rPr>
              <w:t xml:space="preserve">Full platform config; create/suspend tenants; no direct edit of a tenant's costing data</w:t>
            </w:r>
          </w:p>
        </w:tc>
        <w:tc>
          <w:tcPr>
            <w:tcW w:type="dxa" w:w="2000"/>
            <w:tcMar>
              <w:top w:type="dxa" w:w="60"/>
              <w:left w:type="dxa" w:w="100"/>
              <w:bottom w:type="dxa" w:w="60"/>
              <w:right w:type="dxa" w:w="100"/>
            </w:tcMar>
            <w:vAlign w:val="center"/>
          </w:tcPr>
          <w:p>
            <w:pPr>
              <w:jc w:val="left"/>
            </w:pPr>
            <w:r>
              <w:rPr>
                <w:b w:val="false"/>
                <w:bCs w:val="false"/>
                <w:sz w:val="18"/>
                <w:szCs w:val="18"/>
              </w:rPr>
              <w:t xml:space="preserve">Administration, Tenant Mgmt, System, Notifications, Background Jobs</w:t>
            </w:r>
          </w:p>
        </w:tc>
        <w:tc>
          <w:tcPr>
            <w:tcW w:type="dxa" w:w="1300"/>
            <w:tcMar>
              <w:top w:type="dxa" w:w="60"/>
              <w:left w:type="dxa" w:w="100"/>
              <w:bottom w:type="dxa" w:w="60"/>
              <w:right w:type="dxa" w:w="100"/>
            </w:tcMar>
            <w:vAlign w:val="center"/>
          </w:tcPr>
          <w:p>
            <w:pPr>
              <w:jc w:val="left"/>
            </w:pPr>
            <w:r>
              <w:rPr>
                <w:b w:val="false"/>
                <w:bCs w:val="false"/>
                <w:sz w:val="18"/>
                <w:szCs w:val="18"/>
              </w:rPr>
              <w:t xml:space="preserve">Platform Ops view (Proposed)</w:t>
            </w:r>
          </w:p>
        </w:tc>
        <w:tc>
          <w:tcPr>
            <w:tcW w:type="dxa" w:w="1600"/>
            <w:tcMar>
              <w:top w:type="dxa" w:w="60"/>
              <w:left w:type="dxa" w:w="100"/>
              <w:bottom w:type="dxa" w:w="60"/>
              <w:right w:type="dxa" w:w="100"/>
            </w:tcMar>
            <w:vAlign w:val="center"/>
          </w:tcPr>
          <w:p>
            <w:pPr>
              <w:jc w:val="left"/>
            </w:pPr>
            <w:r>
              <w:rPr>
                <w:b w:val="false"/>
                <w:bCs w:val="false"/>
                <w:sz w:val="18"/>
                <w:szCs w:val="18"/>
              </w:rPr>
              <w:t xml:space="preserve">System/Audit reports (platform-level)</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CMA / Cost Accountant</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Primary power user; owns costing process end-to-end</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Upload, map, validate data; run costing engines; review exceptions; reconcile; approve/finalise; period close</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Create/Edit/Validate/Run/Approve/Finalise/Lock/Reopen across Data Mgmt, Costing, Reconciliation, Audit</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Data Mgmt, Master Data, Costing, Reconciliation, Audit, Analytics, Reports</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CMA Dashboard</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All costing &amp; reconciliation reports</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Customer Administrator</w:t>
            </w:r>
          </w:p>
        </w:tc>
        <w:tc>
          <w:tcPr>
            <w:tcW w:type="dxa" w:w="1600"/>
            <w:tcMar>
              <w:top w:type="dxa" w:w="60"/>
              <w:left w:type="dxa" w:w="100"/>
              <w:bottom w:type="dxa" w:w="60"/>
              <w:right w:type="dxa" w:w="100"/>
            </w:tcMar>
            <w:vAlign w:val="center"/>
          </w:tcPr>
          <w:p>
            <w:pPr>
              <w:jc w:val="left"/>
            </w:pPr>
            <w:r>
              <w:rPr>
                <w:b w:val="false"/>
                <w:bCs w:val="false"/>
                <w:sz w:val="18"/>
                <w:szCs w:val="18"/>
              </w:rPr>
              <w:t xml:space="preserve">Manages own tenant's org structure and users</w:t>
            </w:r>
          </w:p>
        </w:tc>
        <w:tc>
          <w:tcPr>
            <w:tcW w:type="dxa" w:w="2400"/>
            <w:tcMar>
              <w:top w:type="dxa" w:w="60"/>
              <w:left w:type="dxa" w:w="100"/>
              <w:bottom w:type="dxa" w:w="60"/>
              <w:right w:type="dxa" w:w="100"/>
            </w:tcMar>
            <w:vAlign w:val="center"/>
          </w:tcPr>
          <w:p>
            <w:pPr>
              <w:jc w:val="left"/>
            </w:pPr>
            <w:r>
              <w:rPr>
                <w:b w:val="false"/>
                <w:bCs w:val="false"/>
                <w:sz w:val="18"/>
                <w:szCs w:val="18"/>
              </w:rPr>
              <w:t xml:space="preserve">Company/division/plant/warehouse setup; user &amp; role assignment within tenant; tenant-level config</w:t>
            </w:r>
          </w:p>
        </w:tc>
        <w:tc>
          <w:tcPr>
            <w:tcW w:type="dxa" w:w="2200"/>
            <w:tcMar>
              <w:top w:type="dxa" w:w="60"/>
              <w:left w:type="dxa" w:w="100"/>
              <w:bottom w:type="dxa" w:w="60"/>
              <w:right w:type="dxa" w:w="100"/>
            </w:tcMar>
            <w:vAlign w:val="center"/>
          </w:tcPr>
          <w:p>
            <w:pPr>
              <w:jc w:val="left"/>
            </w:pPr>
            <w:r>
              <w:rPr>
                <w:b w:val="false"/>
                <w:bCs w:val="false"/>
                <w:sz w:val="18"/>
                <w:szCs w:val="18"/>
              </w:rPr>
              <w:t xml:space="preserve">Create/Edit org &amp; user masters; cannot run costing or approve financial results</w:t>
            </w:r>
          </w:p>
        </w:tc>
        <w:tc>
          <w:tcPr>
            <w:tcW w:type="dxa" w:w="2000"/>
            <w:tcMar>
              <w:top w:type="dxa" w:w="60"/>
              <w:left w:type="dxa" w:w="100"/>
              <w:bottom w:type="dxa" w:w="60"/>
              <w:right w:type="dxa" w:w="100"/>
            </w:tcMar>
            <w:vAlign w:val="center"/>
          </w:tcPr>
          <w:p>
            <w:pPr>
              <w:jc w:val="left"/>
            </w:pPr>
            <w:r>
              <w:rPr>
                <w:b w:val="false"/>
                <w:bCs w:val="false"/>
                <w:sz w:val="18"/>
                <w:szCs w:val="18"/>
              </w:rPr>
              <w:t xml:space="preserve">Organisation, User Master (tenant-scoped), Role assignment, limited Master Data</w:t>
            </w:r>
          </w:p>
        </w:tc>
        <w:tc>
          <w:tcPr>
            <w:tcW w:type="dxa" w:w="1300"/>
            <w:tcMar>
              <w:top w:type="dxa" w:w="60"/>
              <w:left w:type="dxa" w:w="100"/>
              <w:bottom w:type="dxa" w:w="60"/>
              <w:right w:type="dxa" w:w="100"/>
            </w:tcMar>
            <w:vAlign w:val="center"/>
          </w:tcPr>
          <w:p>
            <w:pPr>
              <w:jc w:val="left"/>
            </w:pPr>
            <w:r>
              <w:rPr>
                <w:b w:val="false"/>
                <w:bCs w:val="false"/>
                <w:sz w:val="18"/>
                <w:szCs w:val="18"/>
              </w:rPr>
              <w:t xml:space="preserve">Admin summary (Proposed)</w:t>
            </w:r>
          </w:p>
        </w:tc>
        <w:tc>
          <w:tcPr>
            <w:tcW w:type="dxa" w:w="1600"/>
            <w:tcMar>
              <w:top w:type="dxa" w:w="60"/>
              <w:left w:type="dxa" w:w="100"/>
              <w:bottom w:type="dxa" w:w="60"/>
              <w:right w:type="dxa" w:w="100"/>
            </w:tcMar>
            <w:vAlign w:val="center"/>
          </w:tcPr>
          <w:p>
            <w:pPr>
              <w:jc w:val="left"/>
            </w:pPr>
            <w:r>
              <w:rPr>
                <w:b w:val="false"/>
                <w:bCs w:val="false"/>
                <w:sz w:val="18"/>
                <w:szCs w:val="18"/>
              </w:rPr>
              <w:t xml:space="preserve">User/access reports</w:t>
            </w:r>
          </w:p>
        </w:tc>
      </w:tr>
      <w:tr>
        <w:tc>
          <w:tcPr>
            <w:tcW w:type="dxa" w:w="1500"/>
            <w:shd w:fill="F2F2F2" w:color="auto" w:val="clear"/>
            <w:tcMar>
              <w:top w:type="dxa" w:w="60"/>
              <w:left w:type="dxa" w:w="100"/>
              <w:bottom w:type="dxa" w:w="60"/>
              <w:right w:type="dxa" w:w="100"/>
            </w:tcMar>
            <w:vAlign w:val="center"/>
          </w:tcPr>
          <w:p>
            <w:pPr>
              <w:jc w:val="left"/>
            </w:pPr>
            <w:r>
              <w:rPr>
                <w:b w:val="false"/>
                <w:bCs w:val="false"/>
                <w:sz w:val="18"/>
                <w:szCs w:val="18"/>
              </w:rPr>
              <w:t xml:space="preserve">Customer Management / Management User</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Consumes costing insight for decisions</w:t>
            </w:r>
          </w:p>
        </w:tc>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Review dashboards/reports; drill down; no data entry</w:t>
            </w:r>
          </w:p>
        </w:tc>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View, Export, Print only (read-mostly)</w:t>
            </w:r>
          </w:p>
        </w:tc>
        <w:tc>
          <w:tcPr>
            <w:tcW w:type="dxa" w:w="2000"/>
            <w:shd w:fill="F2F2F2" w:color="auto" w:val="clear"/>
            <w:tcMar>
              <w:top w:type="dxa" w:w="60"/>
              <w:left w:type="dxa" w:w="100"/>
              <w:bottom w:type="dxa" w:w="60"/>
              <w:right w:type="dxa" w:w="100"/>
            </w:tcMar>
            <w:vAlign w:val="center"/>
          </w:tcPr>
          <w:p>
            <w:pPr>
              <w:jc w:val="left"/>
            </w:pPr>
            <w:r>
              <w:rPr>
                <w:b w:val="false"/>
                <w:bCs w:val="false"/>
                <w:sz w:val="18"/>
                <w:szCs w:val="18"/>
              </w:rPr>
              <w:t xml:space="preserve">Management Dashboard, Product Dashboard, Analytics (read), Reports (read)</w:t>
            </w:r>
          </w:p>
        </w:tc>
        <w:tc>
          <w:tcPr>
            <w:tcW w:type="dxa" w:w="1300"/>
            <w:shd w:fill="F2F2F2" w:color="auto" w:val="clear"/>
            <w:tcMar>
              <w:top w:type="dxa" w:w="60"/>
              <w:left w:type="dxa" w:w="100"/>
              <w:bottom w:type="dxa" w:w="60"/>
              <w:right w:type="dxa" w:w="100"/>
            </w:tcMar>
            <w:vAlign w:val="center"/>
          </w:tcPr>
          <w:p>
            <w:pPr>
              <w:jc w:val="left"/>
            </w:pPr>
            <w:r>
              <w:rPr>
                <w:b w:val="false"/>
                <w:bCs w:val="false"/>
                <w:sz w:val="18"/>
                <w:szCs w:val="18"/>
              </w:rPr>
              <w:t xml:space="preserve">Management Dashboard</w:t>
            </w:r>
          </w:p>
        </w:tc>
        <w:tc>
          <w:tcPr>
            <w:tcW w:type="dxa" w:w="1600"/>
            <w:shd w:fill="F2F2F2" w:color="auto" w:val="clear"/>
            <w:tcMar>
              <w:top w:type="dxa" w:w="60"/>
              <w:left w:type="dxa" w:w="100"/>
              <w:bottom w:type="dxa" w:w="60"/>
              <w:right w:type="dxa" w:w="100"/>
            </w:tcMar>
            <w:vAlign w:val="center"/>
          </w:tcPr>
          <w:p>
            <w:pPr>
              <w:jc w:val="left"/>
            </w:pPr>
            <w:r>
              <w:rPr>
                <w:b w:val="false"/>
                <w:bCs w:val="false"/>
                <w:sz w:val="18"/>
                <w:szCs w:val="18"/>
              </w:rPr>
              <w:t xml:space="preserve">Profitability, cost trend, plant comparison reports</w:t>
            </w:r>
          </w:p>
        </w:tc>
      </w:tr>
      <w:tr>
        <w:tc>
          <w:tcPr>
            <w:tcW w:type="dxa" w:w="1500"/>
            <w:tcMar>
              <w:top w:type="dxa" w:w="60"/>
              <w:left w:type="dxa" w:w="100"/>
              <w:bottom w:type="dxa" w:w="60"/>
              <w:right w:type="dxa" w:w="100"/>
            </w:tcMar>
            <w:vAlign w:val="center"/>
          </w:tcPr>
          <w:p>
            <w:pPr>
              <w:jc w:val="left"/>
            </w:pPr>
            <w:r>
              <w:rPr>
                <w:b w:val="false"/>
                <w:bCs w:val="false"/>
                <w:sz w:val="18"/>
                <w:szCs w:val="18"/>
              </w:rPr>
              <w:t xml:space="preserve">Auditor / Reviewer</w:t>
            </w:r>
          </w:p>
        </w:tc>
        <w:tc>
          <w:tcPr>
            <w:tcW w:type="dxa" w:w="1600"/>
            <w:tcMar>
              <w:top w:type="dxa" w:w="60"/>
              <w:left w:type="dxa" w:w="100"/>
              <w:bottom w:type="dxa" w:w="60"/>
              <w:right w:type="dxa" w:w="100"/>
            </w:tcMar>
            <w:vAlign w:val="center"/>
          </w:tcPr>
          <w:p>
            <w:pPr>
              <w:jc w:val="left"/>
            </w:pPr>
            <w:r>
              <w:rPr>
                <w:b w:val="false"/>
                <w:bCs w:val="false"/>
                <w:sz w:val="18"/>
                <w:szCs w:val="18"/>
              </w:rPr>
              <w:t xml:space="preserve">Independent review and sign-off of costing integrity</w:t>
            </w:r>
          </w:p>
        </w:tc>
        <w:tc>
          <w:tcPr>
            <w:tcW w:type="dxa" w:w="2400"/>
            <w:tcMar>
              <w:top w:type="dxa" w:w="60"/>
              <w:left w:type="dxa" w:w="100"/>
              <w:bottom w:type="dxa" w:w="60"/>
              <w:right w:type="dxa" w:w="100"/>
            </w:tcMar>
            <w:vAlign w:val="center"/>
          </w:tcPr>
          <w:p>
            <w:pPr>
              <w:jc w:val="left"/>
            </w:pPr>
            <w:r>
              <w:rPr>
                <w:b w:val="false"/>
                <w:bCs w:val="false"/>
                <w:sz w:val="18"/>
                <w:szCs w:val="18"/>
              </w:rPr>
              <w:t xml:space="preserve">Review Audit Desk, exceptions, lineage; annotate; sign-off/approve at audit checkpoints</w:t>
            </w:r>
          </w:p>
        </w:tc>
        <w:tc>
          <w:tcPr>
            <w:tcW w:type="dxa" w:w="2200"/>
            <w:tcMar>
              <w:top w:type="dxa" w:w="60"/>
              <w:left w:type="dxa" w:w="100"/>
              <w:bottom w:type="dxa" w:w="60"/>
              <w:right w:type="dxa" w:w="100"/>
            </w:tcMar>
            <w:vAlign w:val="center"/>
          </w:tcPr>
          <w:p>
            <w:pPr>
              <w:jc w:val="left"/>
            </w:pPr>
            <w:r>
              <w:rPr>
                <w:b w:val="false"/>
                <w:bCs w:val="false"/>
                <w:sz w:val="18"/>
                <w:szCs w:val="18"/>
              </w:rPr>
              <w:t xml:space="preserve">View, Audit, Approve/Reject (audit checkpoints only); no edit of source data</w:t>
            </w:r>
          </w:p>
        </w:tc>
        <w:tc>
          <w:tcPr>
            <w:tcW w:type="dxa" w:w="2000"/>
            <w:tcMar>
              <w:top w:type="dxa" w:w="60"/>
              <w:left w:type="dxa" w:w="100"/>
              <w:bottom w:type="dxa" w:w="60"/>
              <w:right w:type="dxa" w:w="100"/>
            </w:tcMar>
            <w:vAlign w:val="center"/>
          </w:tcPr>
          <w:p>
            <w:pPr>
              <w:jc w:val="left"/>
            </w:pPr>
            <w:r>
              <w:rPr>
                <w:b w:val="false"/>
                <w:bCs w:val="false"/>
                <w:sz w:val="18"/>
                <w:szCs w:val="18"/>
              </w:rPr>
              <w:t xml:space="preserve">Audit Desk, Audit Trail, Data Lineage, Reconciliation (read), Reports (read)</w:t>
            </w:r>
          </w:p>
        </w:tc>
        <w:tc>
          <w:tcPr>
            <w:tcW w:type="dxa" w:w="1300"/>
            <w:tcMar>
              <w:top w:type="dxa" w:w="60"/>
              <w:left w:type="dxa" w:w="100"/>
              <w:bottom w:type="dxa" w:w="60"/>
              <w:right w:type="dxa" w:w="100"/>
            </w:tcMar>
            <w:vAlign w:val="center"/>
          </w:tcPr>
          <w:p>
            <w:pPr>
              <w:jc w:val="left"/>
            </w:pPr>
            <w:r>
              <w:rPr>
                <w:b w:val="false"/>
                <w:bCs w:val="false"/>
                <w:sz w:val="18"/>
                <w:szCs w:val="18"/>
              </w:rPr>
              <w:t xml:space="preserve">Audit summary (Proposed)</w:t>
            </w:r>
          </w:p>
        </w:tc>
        <w:tc>
          <w:tcPr>
            <w:tcW w:type="dxa" w:w="1600"/>
            <w:tcMar>
              <w:top w:type="dxa" w:w="60"/>
              <w:left w:type="dxa" w:w="100"/>
              <w:bottom w:type="dxa" w:w="60"/>
              <w:right w:type="dxa" w:w="100"/>
            </w:tcMar>
            <w:vAlign w:val="center"/>
          </w:tcPr>
          <w:p>
            <w:pPr>
              <w:jc w:val="left"/>
            </w:pPr>
            <w:r>
              <w:rPr>
                <w:b w:val="false"/>
                <w:bCs w:val="false"/>
                <w:sz w:val="18"/>
                <w:szCs w:val="18"/>
              </w:rPr>
              <w:t xml:space="preserve">Audit trail report, exception report, reconciliation report</w:t>
            </w:r>
          </w:p>
        </w:tc>
      </w:tr>
    </w:tbl>
    <w:p>
      <w:pPr>
        <w:spacing w:after="160"/>
      </w:pPr>
      <w:r>
        <w:t xml:space="preserve">Note: cell contents above are summarised; full role narratives follow in Sections 4.2–4.6. The complete permission-by-module matrix is provided in Section 4.7 (RBAC Matrix).</w:t>
      </w:r>
    </w:p>
    <w:p>
      <w:pPr>
        <w:pStyle w:val="Heading3"/>
        <w:spacing w:after="120" w:before="240"/>
      </w:pPr>
      <w:r>
        <w:rPr>
          <w:b/>
          <w:bCs/>
        </w:rPr>
        <w:t xml:space="preserve">4.2 Platform Administrator</w:t>
      </w:r>
    </w:p>
    <w:p>
      <w:pPr>
        <w:spacing w:after="160"/>
      </w:pPr>
      <w:r>
        <w:t xml:space="preserve">The Platform Administrator is Cost360's own operations role (not a customer employee). Responsibilities: onboarding new customer tenants; configuring subscription/plan parameters; managing platform-wide configuration (e.g. AI provider settings, global lookups); monitoring system health, background jobs and logs; providing cross-tenant support without altering a tenant's financial results directly. This role does not participate in a tenant's costing workflow and has no permission to approve or finalise a tenant's costing results — Proposed / To Be Confirmed whether emergency “break-glass” access is permitted, and if so, under what audit controls.</w:t>
      </w:r>
    </w:p>
    <w:p>
      <w:pPr>
        <w:pStyle w:val="Heading3"/>
        <w:spacing w:after="120" w:before="240"/>
      </w:pPr>
      <w:r>
        <w:rPr>
          <w:b/>
          <w:bCs/>
        </w:rPr>
        <w:t xml:space="preserve">4.3 CMA / Cost Accountant</w:t>
      </w:r>
    </w:p>
    <w:p>
      <w:pPr>
        <w:spacing w:after="160"/>
      </w:pPr>
      <w:r>
        <w:t xml:space="preserve">The CMA is the primary operating role and the intended “brain” of the system: uploading and mapping source data, reviewing data-quality and validation results, running the costing engines, investigating variances and exceptions, performing reconciliation, and approving/finalising/locking costing periods. The CMA Dashboard (Section 13, Part 3) is built specifically around this role's day-to-day workflow: upload status, mapping status, data quality, reconciliation status, costing status, exceptions, period-close status and AI observations awaiting review.</w:t>
      </w:r>
    </w:p>
    <w:p>
      <w:pPr>
        <w:pStyle w:val="Heading3"/>
        <w:spacing w:after="120" w:before="240"/>
      </w:pPr>
      <w:r>
        <w:rPr>
          <w:b/>
          <w:bCs/>
        </w:rPr>
        <w:t xml:space="preserve">4.4 Customer Administrator</w:t>
      </w:r>
    </w:p>
    <w:p>
      <w:pPr>
        <w:spacing w:after="160"/>
      </w:pPr>
      <w:r>
        <w:t xml:space="preserve">A customer-side administrative role scoped to their own tenant. Responsible for setting up the company/division/plant/warehouse hierarchy, creating and managing users within the tenant, and assigning roles. Does not perform costing operations and cannot approve or finalise financial results — this separation of duties is a deliberate control (see BR-SEC-001, Part 3).</w:t>
      </w:r>
    </w:p>
    <w:p>
      <w:pPr>
        <w:pStyle w:val="Heading3"/>
        <w:spacing w:after="120" w:before="240"/>
      </w:pPr>
      <w:r>
        <w:rPr>
          <w:b/>
          <w:bCs/>
        </w:rPr>
        <w:t xml:space="preserve">4.5 Customer Management / Management User</w:t>
      </w:r>
    </w:p>
    <w:p>
      <w:pPr>
        <w:spacing w:after="160"/>
      </w:pPr>
      <w:r>
        <w:t xml:space="preserve">A largely read-only role for business decision-makers (e.g. plant heads, finance leadership) who consume Cost360's output — dashboards, product profitability, cost trends, plant/period comparisons — without performing data entry or approvals. Access is scoped to the companies/divisions/plants the user is authorised for.</w:t>
      </w:r>
    </w:p>
    <w:p>
      <w:pPr>
        <w:pStyle w:val="Heading3"/>
        <w:spacing w:after="120" w:before="240"/>
      </w:pPr>
      <w:r>
        <w:rPr>
          <w:b/>
          <w:bCs/>
        </w:rPr>
        <w:t xml:space="preserve">4.6 Auditor / Reviewer</w:t>
      </w:r>
    </w:p>
    <w:p>
      <w:pPr>
        <w:spacing w:after="160"/>
      </w:pPr>
      <w:r>
        <w:t xml:space="preserve">An independent role focused on reviewing the integrity of the costing process rather than performing it. The Auditor operates primarily through the Audit Desk, Audit Trail and Data Lineage screens, can annotate and flag items, and performs sign-off at defined audit checkpoints (e.g. before period lock) without being able to alter source data, mappings, or costing calculations directly.</w:t>
      </w:r>
    </w:p>
    <w:p>
      <w:pPr>
        <w:pStyle w:val="Heading2"/>
        <w:spacing w:after="160" w:before="320"/>
      </w:pPr>
      <w:r>
        <w:rPr>
          <w:b/>
          <w:bCs/>
        </w:rPr>
        <w:t xml:space="preserve">4.7 Role-Based Access Control (RBAC) Matrix</w:t>
      </w:r>
    </w:p>
    <w:p>
      <w:pPr>
        <w:spacing w:after="160"/>
      </w:pPr>
      <w:r>
        <w:t xml:space="preserve">Permission codes used below: V = View, C = Create, E = Edit, D = Delete, U = Upload/Import, Val = Validate, A = Approve, R = Reject, Run = Run/Execute, F = Finalise, L = Lock, Ro = Reopen, Ex = Export/Print, Cfg = Configure, Aud = Audit. A dash (–) indicates no access. This is a proposed baseline reconciled against the functional note; module names correspond to the Menu Specification in Section 9.</w:t>
      </w:r>
    </w:p>
    <w:tbl>
      <w:tblPr>
        <w:tblW w:type="dxa" w:w="1000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650"/>
        <w:gridCol w:w="1650"/>
        <w:gridCol w:w="1650"/>
        <w:gridCol w:w="1400"/>
        <w:gridCol w:w="1250"/>
      </w:tblGrid>
      <w:tr>
        <w:trPr>
          <w:tblHeader/>
        </w:trPr>
        <w:tc>
          <w:tcPr>
            <w:tcW w:type="dxa" w:w="2400"/>
            <w:shd w:fill="1F3864" w:color="auto" w:val="clear"/>
            <w:tcMar>
              <w:top w:type="dxa" w:w="60"/>
              <w:left w:type="dxa" w:w="100"/>
              <w:bottom w:type="dxa" w:w="60"/>
              <w:right w:type="dxa" w:w="100"/>
            </w:tcMar>
            <w:vAlign w:val="center"/>
          </w:tcPr>
          <w:p>
            <w:pPr>
              <w:jc w:val="left"/>
            </w:pPr>
            <w:r>
              <w:rPr>
                <w:b/>
                <w:bCs/>
                <w:color w:val="FFFFFF"/>
                <w:sz w:val="18"/>
                <w:szCs w:val="18"/>
              </w:rPr>
              <w:t xml:space="preserve">Module / Function</w:t>
            </w:r>
          </w:p>
        </w:tc>
        <w:tc>
          <w:tcPr>
            <w:tcW w:type="dxa" w:w="1650"/>
            <w:shd w:fill="1F3864" w:color="auto" w:val="clear"/>
            <w:tcMar>
              <w:top w:type="dxa" w:w="60"/>
              <w:left w:type="dxa" w:w="100"/>
              <w:bottom w:type="dxa" w:w="60"/>
              <w:right w:type="dxa" w:w="100"/>
            </w:tcMar>
            <w:vAlign w:val="center"/>
          </w:tcPr>
          <w:p>
            <w:pPr>
              <w:jc w:val="left"/>
            </w:pPr>
            <w:r>
              <w:rPr>
                <w:b/>
                <w:bCs/>
                <w:color w:val="FFFFFF"/>
                <w:sz w:val="18"/>
                <w:szCs w:val="18"/>
              </w:rPr>
              <w:t xml:space="preserve">Platform Admin</w:t>
            </w:r>
          </w:p>
        </w:tc>
        <w:tc>
          <w:tcPr>
            <w:tcW w:type="dxa" w:w="1650"/>
            <w:shd w:fill="1F3864" w:color="auto" w:val="clear"/>
            <w:tcMar>
              <w:top w:type="dxa" w:w="60"/>
              <w:left w:type="dxa" w:w="100"/>
              <w:bottom w:type="dxa" w:w="60"/>
              <w:right w:type="dxa" w:w="100"/>
            </w:tcMar>
            <w:vAlign w:val="center"/>
          </w:tcPr>
          <w:p>
            <w:pPr>
              <w:jc w:val="left"/>
            </w:pPr>
            <w:r>
              <w:rPr>
                <w:b/>
                <w:bCs/>
                <w:color w:val="FFFFFF"/>
                <w:sz w:val="18"/>
                <w:szCs w:val="18"/>
              </w:rPr>
              <w:t xml:space="preserve">CMA</w:t>
            </w:r>
          </w:p>
        </w:tc>
        <w:tc>
          <w:tcPr>
            <w:tcW w:type="dxa" w:w="1650"/>
            <w:shd w:fill="1F3864" w:color="auto" w:val="clear"/>
            <w:tcMar>
              <w:top w:type="dxa" w:w="60"/>
              <w:left w:type="dxa" w:w="100"/>
              <w:bottom w:type="dxa" w:w="60"/>
              <w:right w:type="dxa" w:w="100"/>
            </w:tcMar>
            <w:vAlign w:val="center"/>
          </w:tcPr>
          <w:p>
            <w:pPr>
              <w:jc w:val="left"/>
            </w:pPr>
            <w:r>
              <w:rPr>
                <w:b/>
                <w:bCs/>
                <w:color w:val="FFFFFF"/>
                <w:sz w:val="18"/>
                <w:szCs w:val="18"/>
              </w:rPr>
              <w:t xml:space="preserve">Customer Admin</w:t>
            </w:r>
          </w:p>
        </w:tc>
        <w:tc>
          <w:tcPr>
            <w:tcW w:type="dxa" w:w="1400"/>
            <w:shd w:fill="1F3864" w:color="auto" w:val="clear"/>
            <w:tcMar>
              <w:top w:type="dxa" w:w="60"/>
              <w:left w:type="dxa" w:w="100"/>
              <w:bottom w:type="dxa" w:w="60"/>
              <w:right w:type="dxa" w:w="100"/>
            </w:tcMar>
            <w:vAlign w:val="center"/>
          </w:tcPr>
          <w:p>
            <w:pPr>
              <w:jc w:val="left"/>
            </w:pPr>
            <w:r>
              <w:rPr>
                <w:b/>
                <w:bCs/>
                <w:color w:val="FFFFFF"/>
                <w:sz w:val="18"/>
                <w:szCs w:val="18"/>
              </w:rPr>
              <w:t xml:space="preserve">Management</w:t>
            </w:r>
          </w:p>
        </w:tc>
        <w:tc>
          <w:tcPr>
            <w:tcW w:type="dxa" w:w="1250"/>
            <w:shd w:fill="1F3864" w:color="auto" w:val="clear"/>
            <w:tcMar>
              <w:top w:type="dxa" w:w="60"/>
              <w:left w:type="dxa" w:w="100"/>
              <w:bottom w:type="dxa" w:w="60"/>
              <w:right w:type="dxa" w:w="100"/>
            </w:tcMar>
            <w:vAlign w:val="center"/>
          </w:tcPr>
          <w:p>
            <w:pPr>
              <w:jc w:val="left"/>
            </w:pPr>
            <w:r>
              <w:rPr>
                <w:b/>
                <w:bCs/>
                <w:color w:val="FFFFFF"/>
                <w:sz w:val="18"/>
                <w:szCs w:val="18"/>
              </w:rPr>
              <w:t xml:space="preserve">Auditor</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Tenant / Subscription Mgmt</w:t>
            </w:r>
          </w:p>
        </w:tc>
        <w:tc>
          <w:tcPr>
            <w:tcW w:type="dxa" w:w="1650"/>
            <w:tcMar>
              <w:top w:type="dxa" w:w="60"/>
              <w:left w:type="dxa" w:w="100"/>
              <w:bottom w:type="dxa" w:w="60"/>
              <w:right w:type="dxa" w:w="100"/>
            </w:tcMar>
            <w:vAlign w:val="center"/>
          </w:tcPr>
          <w:p>
            <w:pPr>
              <w:jc w:val="left"/>
            </w:pPr>
            <w:r>
              <w:rPr>
                <w:b w:val="false"/>
                <w:bCs w:val="false"/>
                <w:sz w:val="18"/>
                <w:szCs w:val="18"/>
              </w:rPr>
              <w:t xml:space="preserve">V,C,E,D,Cfg</w:t>
            </w:r>
          </w:p>
        </w:tc>
        <w:tc>
          <w:tcPr>
            <w:tcW w:type="dxa" w:w="1650"/>
            <w:tcMar>
              <w:top w:type="dxa" w:w="60"/>
              <w:left w:type="dxa" w:w="100"/>
              <w:bottom w:type="dxa" w:w="60"/>
              <w:right w:type="dxa" w:w="100"/>
            </w:tcMar>
            <w:vAlign w:val="center"/>
          </w:tcPr>
          <w:p>
            <w:pPr>
              <w:jc w:val="left"/>
            </w:pPr>
            <w:r>
              <w:rPr>
                <w:b w:val="false"/>
                <w:bCs w:val="false"/>
                <w:sz w:val="18"/>
                <w:szCs w:val="18"/>
              </w:rPr>
              <w:t xml:space="preserve">–</w:t>
            </w:r>
          </w:p>
        </w:tc>
        <w:tc>
          <w:tcPr>
            <w:tcW w:type="dxa" w:w="1650"/>
            <w:tcMar>
              <w:top w:type="dxa" w:w="60"/>
              <w:left w:type="dxa" w:w="100"/>
              <w:bottom w:type="dxa" w:w="60"/>
              <w:right w:type="dxa" w:w="100"/>
            </w:tcMar>
            <w:vAlign w:val="center"/>
          </w:tcPr>
          <w:p>
            <w:pPr>
              <w:jc w:val="left"/>
            </w:pPr>
            <w:r>
              <w:rPr>
                <w:b w:val="false"/>
                <w:bCs w:val="false"/>
                <w:sz w:val="18"/>
                <w:szCs w:val="18"/>
              </w:rPr>
              <w:t xml:space="preserve">–</w:t>
            </w:r>
          </w:p>
        </w:tc>
        <w:tc>
          <w:tcPr>
            <w:tcW w:type="dxa" w:w="1400"/>
            <w:tcMar>
              <w:top w:type="dxa" w:w="60"/>
              <w:left w:type="dxa" w:w="100"/>
              <w:bottom w:type="dxa" w:w="60"/>
              <w:right w:type="dxa" w:w="100"/>
            </w:tcMar>
            <w:vAlign w:val="center"/>
          </w:tcPr>
          <w:p>
            <w:pPr>
              <w:jc w:val="left"/>
            </w:pPr>
            <w:r>
              <w:rPr>
                <w:b w:val="false"/>
                <w:bCs w:val="false"/>
                <w:sz w:val="18"/>
                <w:szCs w:val="18"/>
              </w:rPr>
              <w:t xml:space="preserve">–</w:t>
            </w:r>
          </w:p>
        </w:tc>
        <w:tc>
          <w:tcPr>
            <w:tcW w:type="dxa" w:w="1250"/>
            <w:tcMar>
              <w:top w:type="dxa" w:w="60"/>
              <w:left w:type="dxa" w:w="100"/>
              <w:bottom w:type="dxa" w:w="60"/>
              <w:right w:type="dxa" w:w="100"/>
            </w:tcMar>
            <w:vAlign w:val="center"/>
          </w:tcPr>
          <w:p>
            <w:pPr>
              <w:jc w:val="left"/>
            </w:pPr>
            <w:r>
              <w:rPr>
                <w:b w:val="false"/>
                <w:bCs w:val="false"/>
                <w:sz w:val="18"/>
                <w:szCs w:val="18"/>
              </w:rPr>
              <w:t xml:space="preserve">–</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Organisation (Company/Division/Plant/Warehouse)</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V,C,E,D</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V</w:t>
            </w:r>
          </w:p>
        </w:tc>
        <w:tc>
          <w:tcPr>
            <w:tcW w:type="dxa" w:w="1250"/>
            <w:shd w:fill="F2F2F2" w:color="auto" w:val="clear"/>
            <w:tcMar>
              <w:top w:type="dxa" w:w="60"/>
              <w:left w:type="dxa" w:w="100"/>
              <w:bottom w:type="dxa" w:w="60"/>
              <w:right w:type="dxa" w:w="100"/>
            </w:tcMar>
            <w:vAlign w:val="center"/>
          </w:tcPr>
          <w:p>
            <w:pPr>
              <w:jc w:val="left"/>
            </w:pPr>
            <w:r>
              <w:rPr>
                <w:b w:val="false"/>
                <w:bCs w:val="false"/>
                <w:sz w:val="18"/>
                <w:szCs w:val="18"/>
              </w:rPr>
              <w:t xml:space="preserve">V</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User Master / Role Assignment</w:t>
            </w:r>
          </w:p>
        </w:tc>
        <w:tc>
          <w:tcPr>
            <w:tcW w:type="dxa" w:w="1650"/>
            <w:tcMar>
              <w:top w:type="dxa" w:w="60"/>
              <w:left w:type="dxa" w:w="100"/>
              <w:bottom w:type="dxa" w:w="60"/>
              <w:right w:type="dxa" w:w="100"/>
            </w:tcMar>
            <w:vAlign w:val="center"/>
          </w:tcPr>
          <w:p>
            <w:pPr>
              <w:jc w:val="left"/>
            </w:pPr>
            <w:r>
              <w:rPr>
                <w:b w:val="false"/>
                <w:bCs w:val="false"/>
                <w:sz w:val="18"/>
                <w:szCs w:val="18"/>
              </w:rPr>
              <w:t xml:space="preserve">V,C,E,D (platform-level)</w:t>
            </w:r>
          </w:p>
        </w:tc>
        <w:tc>
          <w:tcPr>
            <w:tcW w:type="dxa" w:w="1650"/>
            <w:tcMar>
              <w:top w:type="dxa" w:w="60"/>
              <w:left w:type="dxa" w:w="100"/>
              <w:bottom w:type="dxa" w:w="60"/>
              <w:right w:type="dxa" w:w="100"/>
            </w:tcMar>
            <w:vAlign w:val="center"/>
          </w:tcPr>
          <w:p>
            <w:pPr>
              <w:jc w:val="left"/>
            </w:pPr>
            <w:r>
              <w:rPr>
                <w:b w:val="false"/>
                <w:bCs w:val="false"/>
                <w:sz w:val="18"/>
                <w:szCs w:val="18"/>
              </w:rPr>
              <w:t xml:space="preserve">V</w:t>
            </w:r>
          </w:p>
        </w:tc>
        <w:tc>
          <w:tcPr>
            <w:tcW w:type="dxa" w:w="1650"/>
            <w:tcMar>
              <w:top w:type="dxa" w:w="60"/>
              <w:left w:type="dxa" w:w="100"/>
              <w:bottom w:type="dxa" w:w="60"/>
              <w:right w:type="dxa" w:w="100"/>
            </w:tcMar>
            <w:vAlign w:val="center"/>
          </w:tcPr>
          <w:p>
            <w:pPr>
              <w:jc w:val="left"/>
            </w:pPr>
            <w:r>
              <w:rPr>
                <w:b w:val="false"/>
                <w:bCs w:val="false"/>
                <w:sz w:val="18"/>
                <w:szCs w:val="18"/>
              </w:rPr>
              <w:t xml:space="preserve">V,C,E,D (tenant-scoped)</w:t>
            </w:r>
          </w:p>
        </w:tc>
        <w:tc>
          <w:tcPr>
            <w:tcW w:type="dxa" w:w="1400"/>
            <w:tcMar>
              <w:top w:type="dxa" w:w="60"/>
              <w:left w:type="dxa" w:w="100"/>
              <w:bottom w:type="dxa" w:w="60"/>
              <w:right w:type="dxa" w:w="100"/>
            </w:tcMar>
            <w:vAlign w:val="center"/>
          </w:tcPr>
          <w:p>
            <w:pPr>
              <w:jc w:val="left"/>
            </w:pPr>
            <w:r>
              <w:rPr>
                <w:b w:val="false"/>
                <w:bCs w:val="false"/>
                <w:sz w:val="18"/>
                <w:szCs w:val="18"/>
              </w:rPr>
              <w:t xml:space="preserve">–</w:t>
            </w:r>
          </w:p>
        </w:tc>
        <w:tc>
          <w:tcPr>
            <w:tcW w:type="dxa" w:w="1250"/>
            <w:tcMar>
              <w:top w:type="dxa" w:w="60"/>
              <w:left w:type="dxa" w:w="100"/>
              <w:bottom w:type="dxa" w:w="60"/>
              <w:right w:type="dxa" w:w="100"/>
            </w:tcMar>
            <w:vAlign w:val="center"/>
          </w:tcPr>
          <w:p>
            <w:pPr>
              <w:jc w:val="left"/>
            </w:pPr>
            <w:r>
              <w:rPr>
                <w:b w:val="false"/>
                <w:bCs w:val="false"/>
                <w:sz w:val="18"/>
                <w:szCs w:val="18"/>
              </w:rPr>
              <w:t xml:space="preserve">V</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Menu / Permission Master</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V,C,E,Cfg</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25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Master Data (Item, BOM, Std Cost, UOM, Cost Centre, Rates)</w:t>
            </w:r>
          </w:p>
        </w:tc>
        <w:tc>
          <w:tcPr>
            <w:tcW w:type="dxa" w:w="1650"/>
            <w:tcMar>
              <w:top w:type="dxa" w:w="60"/>
              <w:left w:type="dxa" w:w="100"/>
              <w:bottom w:type="dxa" w:w="60"/>
              <w:right w:type="dxa" w:w="100"/>
            </w:tcMar>
            <w:vAlign w:val="center"/>
          </w:tcPr>
          <w:p>
            <w:pPr>
              <w:jc w:val="left"/>
            </w:pPr>
            <w:r>
              <w:rPr>
                <w:b w:val="false"/>
                <w:bCs w:val="false"/>
                <w:sz w:val="18"/>
                <w:szCs w:val="18"/>
              </w:rPr>
              <w:t xml:space="preserve">V</w:t>
            </w:r>
          </w:p>
        </w:tc>
        <w:tc>
          <w:tcPr>
            <w:tcW w:type="dxa" w:w="1650"/>
            <w:tcMar>
              <w:top w:type="dxa" w:w="60"/>
              <w:left w:type="dxa" w:w="100"/>
              <w:bottom w:type="dxa" w:w="60"/>
              <w:right w:type="dxa" w:w="100"/>
            </w:tcMar>
            <w:vAlign w:val="center"/>
          </w:tcPr>
          <w:p>
            <w:pPr>
              <w:jc w:val="left"/>
            </w:pPr>
            <w:r>
              <w:rPr>
                <w:b w:val="false"/>
                <w:bCs w:val="false"/>
                <w:sz w:val="18"/>
                <w:szCs w:val="18"/>
              </w:rPr>
              <w:t xml:space="preserve">V,C,E,D,A</w:t>
            </w:r>
          </w:p>
        </w:tc>
        <w:tc>
          <w:tcPr>
            <w:tcW w:type="dxa" w:w="1650"/>
            <w:tcMar>
              <w:top w:type="dxa" w:w="60"/>
              <w:left w:type="dxa" w:w="100"/>
              <w:bottom w:type="dxa" w:w="60"/>
              <w:right w:type="dxa" w:w="100"/>
            </w:tcMar>
            <w:vAlign w:val="center"/>
          </w:tcPr>
          <w:p>
            <w:pPr>
              <w:jc w:val="left"/>
            </w:pPr>
            <w:r>
              <w:rPr>
                <w:b w:val="false"/>
                <w:bCs w:val="false"/>
                <w:sz w:val="18"/>
                <w:szCs w:val="18"/>
              </w:rPr>
              <w:t xml:space="preserve">V,C,E (limited)</w:t>
            </w:r>
          </w:p>
        </w:tc>
        <w:tc>
          <w:tcPr>
            <w:tcW w:type="dxa" w:w="1400"/>
            <w:tcMar>
              <w:top w:type="dxa" w:w="60"/>
              <w:left w:type="dxa" w:w="100"/>
              <w:bottom w:type="dxa" w:w="60"/>
              <w:right w:type="dxa" w:w="100"/>
            </w:tcMar>
            <w:vAlign w:val="center"/>
          </w:tcPr>
          <w:p>
            <w:pPr>
              <w:jc w:val="left"/>
            </w:pPr>
            <w:r>
              <w:rPr>
                <w:b w:val="false"/>
                <w:bCs w:val="false"/>
                <w:sz w:val="18"/>
                <w:szCs w:val="18"/>
              </w:rPr>
              <w:t xml:space="preserve">V</w:t>
            </w:r>
          </w:p>
        </w:tc>
        <w:tc>
          <w:tcPr>
            <w:tcW w:type="dxa" w:w="1250"/>
            <w:tcMar>
              <w:top w:type="dxa" w:w="60"/>
              <w:left w:type="dxa" w:w="100"/>
              <w:bottom w:type="dxa" w:w="60"/>
              <w:right w:type="dxa" w:w="100"/>
            </w:tcMar>
            <w:vAlign w:val="center"/>
          </w:tcPr>
          <w:p>
            <w:pPr>
              <w:jc w:val="left"/>
            </w:pPr>
            <w:r>
              <w:rPr>
                <w:b w:val="false"/>
                <w:bCs w:val="false"/>
                <w:sz w:val="18"/>
                <w:szCs w:val="18"/>
              </w:rPr>
              <w:t xml:space="preserve">V</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Upload Centre / Upload History</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V,C,U</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V,U (limited)</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250"/>
            <w:shd w:fill="F2F2F2" w:color="auto" w:val="clear"/>
            <w:tcMar>
              <w:top w:type="dxa" w:w="60"/>
              <w:left w:type="dxa" w:w="100"/>
              <w:bottom w:type="dxa" w:w="60"/>
              <w:right w:type="dxa" w:w="100"/>
            </w:tcMar>
            <w:vAlign w:val="center"/>
          </w:tcPr>
          <w:p>
            <w:pPr>
              <w:jc w:val="left"/>
            </w:pPr>
            <w:r>
              <w:rPr>
                <w:b w:val="false"/>
                <w:bCs w:val="false"/>
                <w:sz w:val="18"/>
                <w:szCs w:val="18"/>
              </w:rPr>
              <w:t xml:space="preserve">V</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Mapping Configuration / Dictionary</w:t>
            </w:r>
          </w:p>
        </w:tc>
        <w:tc>
          <w:tcPr>
            <w:tcW w:type="dxa" w:w="1650"/>
            <w:tcMar>
              <w:top w:type="dxa" w:w="60"/>
              <w:left w:type="dxa" w:w="100"/>
              <w:bottom w:type="dxa" w:w="60"/>
              <w:right w:type="dxa" w:w="100"/>
            </w:tcMar>
            <w:vAlign w:val="center"/>
          </w:tcPr>
          <w:p>
            <w:pPr>
              <w:jc w:val="left"/>
            </w:pPr>
            <w:r>
              <w:rPr>
                <w:b w:val="false"/>
                <w:bCs w:val="false"/>
                <w:sz w:val="18"/>
                <w:szCs w:val="18"/>
              </w:rPr>
              <w:t xml:space="preserve">V</w:t>
            </w:r>
          </w:p>
        </w:tc>
        <w:tc>
          <w:tcPr>
            <w:tcW w:type="dxa" w:w="1650"/>
            <w:tcMar>
              <w:top w:type="dxa" w:w="60"/>
              <w:left w:type="dxa" w:w="100"/>
              <w:bottom w:type="dxa" w:w="60"/>
              <w:right w:type="dxa" w:w="100"/>
            </w:tcMar>
            <w:vAlign w:val="center"/>
          </w:tcPr>
          <w:p>
            <w:pPr>
              <w:jc w:val="left"/>
            </w:pPr>
            <w:r>
              <w:rPr>
                <w:b w:val="false"/>
                <w:bCs w:val="false"/>
                <w:sz w:val="18"/>
                <w:szCs w:val="18"/>
              </w:rPr>
              <w:t xml:space="preserve">V,C,E,Run</w:t>
            </w:r>
          </w:p>
        </w:tc>
        <w:tc>
          <w:tcPr>
            <w:tcW w:type="dxa" w:w="1650"/>
            <w:tcMar>
              <w:top w:type="dxa" w:w="60"/>
              <w:left w:type="dxa" w:w="100"/>
              <w:bottom w:type="dxa" w:w="60"/>
              <w:right w:type="dxa" w:w="100"/>
            </w:tcMar>
            <w:vAlign w:val="center"/>
          </w:tcPr>
          <w:p>
            <w:pPr>
              <w:jc w:val="left"/>
            </w:pPr>
            <w:r>
              <w:rPr>
                <w:b w:val="false"/>
                <w:bCs w:val="false"/>
                <w:sz w:val="18"/>
                <w:szCs w:val="18"/>
              </w:rPr>
              <w:t xml:space="preserve">–</w:t>
            </w:r>
          </w:p>
        </w:tc>
        <w:tc>
          <w:tcPr>
            <w:tcW w:type="dxa" w:w="1400"/>
            <w:tcMar>
              <w:top w:type="dxa" w:w="60"/>
              <w:left w:type="dxa" w:w="100"/>
              <w:bottom w:type="dxa" w:w="60"/>
              <w:right w:type="dxa" w:w="100"/>
            </w:tcMar>
            <w:vAlign w:val="center"/>
          </w:tcPr>
          <w:p>
            <w:pPr>
              <w:jc w:val="left"/>
            </w:pPr>
            <w:r>
              <w:rPr>
                <w:b w:val="false"/>
                <w:bCs w:val="false"/>
                <w:sz w:val="18"/>
                <w:szCs w:val="18"/>
              </w:rPr>
              <w:t xml:space="preserve">–</w:t>
            </w:r>
          </w:p>
        </w:tc>
        <w:tc>
          <w:tcPr>
            <w:tcW w:type="dxa" w:w="1250"/>
            <w:tcMar>
              <w:top w:type="dxa" w:w="60"/>
              <w:left w:type="dxa" w:w="100"/>
              <w:bottom w:type="dxa" w:w="60"/>
              <w:right w:type="dxa" w:w="100"/>
            </w:tcMar>
            <w:vAlign w:val="center"/>
          </w:tcPr>
          <w:p>
            <w:pPr>
              <w:jc w:val="left"/>
            </w:pPr>
            <w:r>
              <w:rPr>
                <w:b w:val="false"/>
                <w:bCs w:val="false"/>
                <w:sz w:val="18"/>
                <w:szCs w:val="18"/>
              </w:rPr>
              <w:t xml:space="preserve">V</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Validation Centre / Data Quality</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V,Val,Run</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250"/>
            <w:shd w:fill="F2F2F2" w:color="auto" w:val="clear"/>
            <w:tcMar>
              <w:top w:type="dxa" w:w="60"/>
              <w:left w:type="dxa" w:w="100"/>
              <w:bottom w:type="dxa" w:w="60"/>
              <w:right w:type="dxa" w:w="100"/>
            </w:tcMar>
            <w:vAlign w:val="center"/>
          </w:tcPr>
          <w:p>
            <w:pPr>
              <w:jc w:val="left"/>
            </w:pPr>
            <w:r>
              <w:rPr>
                <w:b w:val="false"/>
                <w:bCs w:val="false"/>
                <w:sz w:val="18"/>
                <w:szCs w:val="18"/>
              </w:rPr>
              <w:t xml:space="preserve">V</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Trial Balance</w:t>
            </w:r>
          </w:p>
        </w:tc>
        <w:tc>
          <w:tcPr>
            <w:tcW w:type="dxa" w:w="1650"/>
            <w:tcMar>
              <w:top w:type="dxa" w:w="60"/>
              <w:left w:type="dxa" w:w="100"/>
              <w:bottom w:type="dxa" w:w="60"/>
              <w:right w:type="dxa" w:w="100"/>
            </w:tcMar>
            <w:vAlign w:val="center"/>
          </w:tcPr>
          <w:p>
            <w:pPr>
              <w:jc w:val="left"/>
            </w:pPr>
            <w:r>
              <w:rPr>
                <w:b w:val="false"/>
                <w:bCs w:val="false"/>
                <w:sz w:val="18"/>
                <w:szCs w:val="18"/>
              </w:rPr>
              <w:t xml:space="preserve">–</w:t>
            </w:r>
          </w:p>
        </w:tc>
        <w:tc>
          <w:tcPr>
            <w:tcW w:type="dxa" w:w="1650"/>
            <w:tcMar>
              <w:top w:type="dxa" w:w="60"/>
              <w:left w:type="dxa" w:w="100"/>
              <w:bottom w:type="dxa" w:w="60"/>
              <w:right w:type="dxa" w:w="100"/>
            </w:tcMar>
            <w:vAlign w:val="center"/>
          </w:tcPr>
          <w:p>
            <w:pPr>
              <w:jc w:val="left"/>
            </w:pPr>
            <w:r>
              <w:rPr>
                <w:b w:val="false"/>
                <w:bCs w:val="false"/>
                <w:sz w:val="18"/>
                <w:szCs w:val="18"/>
              </w:rPr>
              <w:t xml:space="preserve">V,C,U,Val</w:t>
            </w:r>
          </w:p>
        </w:tc>
        <w:tc>
          <w:tcPr>
            <w:tcW w:type="dxa" w:w="1650"/>
            <w:tcMar>
              <w:top w:type="dxa" w:w="60"/>
              <w:left w:type="dxa" w:w="100"/>
              <w:bottom w:type="dxa" w:w="60"/>
              <w:right w:type="dxa" w:w="100"/>
            </w:tcMar>
            <w:vAlign w:val="center"/>
          </w:tcPr>
          <w:p>
            <w:pPr>
              <w:jc w:val="left"/>
            </w:pPr>
            <w:r>
              <w:rPr>
                <w:b w:val="false"/>
                <w:bCs w:val="false"/>
                <w:sz w:val="18"/>
                <w:szCs w:val="18"/>
              </w:rPr>
              <w:t xml:space="preserve">–</w:t>
            </w:r>
          </w:p>
        </w:tc>
        <w:tc>
          <w:tcPr>
            <w:tcW w:type="dxa" w:w="1400"/>
            <w:tcMar>
              <w:top w:type="dxa" w:w="60"/>
              <w:left w:type="dxa" w:w="100"/>
              <w:bottom w:type="dxa" w:w="60"/>
              <w:right w:type="dxa" w:w="100"/>
            </w:tcMar>
            <w:vAlign w:val="center"/>
          </w:tcPr>
          <w:p>
            <w:pPr>
              <w:jc w:val="left"/>
            </w:pPr>
            <w:r>
              <w:rPr>
                <w:b w:val="false"/>
                <w:bCs w:val="false"/>
                <w:sz w:val="18"/>
                <w:szCs w:val="18"/>
              </w:rPr>
              <w:t xml:space="preserve">V (summary)</w:t>
            </w:r>
          </w:p>
        </w:tc>
        <w:tc>
          <w:tcPr>
            <w:tcW w:type="dxa" w:w="1250"/>
            <w:tcMar>
              <w:top w:type="dxa" w:w="60"/>
              <w:left w:type="dxa" w:w="100"/>
              <w:bottom w:type="dxa" w:w="60"/>
              <w:right w:type="dxa" w:w="100"/>
            </w:tcMar>
            <w:vAlign w:val="center"/>
          </w:tcPr>
          <w:p>
            <w:pPr>
              <w:jc w:val="left"/>
            </w:pPr>
            <w:r>
              <w:rPr>
                <w:b w:val="false"/>
                <w:bCs w:val="false"/>
                <w:sz w:val="18"/>
                <w:szCs w:val="18"/>
              </w:rPr>
              <w:t xml:space="preserve">V</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Inventory / Inventory Valuation</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V,Run,A</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V</w:t>
            </w:r>
          </w:p>
        </w:tc>
        <w:tc>
          <w:tcPr>
            <w:tcW w:type="dxa" w:w="1250"/>
            <w:shd w:fill="F2F2F2" w:color="auto" w:val="clear"/>
            <w:tcMar>
              <w:top w:type="dxa" w:w="60"/>
              <w:left w:type="dxa" w:w="100"/>
              <w:bottom w:type="dxa" w:w="60"/>
              <w:right w:type="dxa" w:w="100"/>
            </w:tcMar>
            <w:vAlign w:val="center"/>
          </w:tcPr>
          <w:p>
            <w:pPr>
              <w:jc w:val="left"/>
            </w:pPr>
            <w:r>
              <w:rPr>
                <w:b w:val="false"/>
                <w:bCs w:val="false"/>
                <w:sz w:val="18"/>
                <w:szCs w:val="18"/>
              </w:rPr>
              <w:t xml:space="preserve">V</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BOM / BOM Explosion / Cost Roll-up</w:t>
            </w:r>
          </w:p>
        </w:tc>
        <w:tc>
          <w:tcPr>
            <w:tcW w:type="dxa" w:w="1650"/>
            <w:tcMar>
              <w:top w:type="dxa" w:w="60"/>
              <w:left w:type="dxa" w:w="100"/>
              <w:bottom w:type="dxa" w:w="60"/>
              <w:right w:type="dxa" w:w="100"/>
            </w:tcMar>
            <w:vAlign w:val="center"/>
          </w:tcPr>
          <w:p>
            <w:pPr>
              <w:jc w:val="left"/>
            </w:pPr>
            <w:r>
              <w:rPr>
                <w:b w:val="false"/>
                <w:bCs w:val="false"/>
                <w:sz w:val="18"/>
                <w:szCs w:val="18"/>
              </w:rPr>
              <w:t xml:space="preserve">–</w:t>
            </w:r>
          </w:p>
        </w:tc>
        <w:tc>
          <w:tcPr>
            <w:tcW w:type="dxa" w:w="1650"/>
            <w:tcMar>
              <w:top w:type="dxa" w:w="60"/>
              <w:left w:type="dxa" w:w="100"/>
              <w:bottom w:type="dxa" w:w="60"/>
              <w:right w:type="dxa" w:w="100"/>
            </w:tcMar>
            <w:vAlign w:val="center"/>
          </w:tcPr>
          <w:p>
            <w:pPr>
              <w:jc w:val="left"/>
            </w:pPr>
            <w:r>
              <w:rPr>
                <w:b w:val="false"/>
                <w:bCs w:val="false"/>
                <w:sz w:val="18"/>
                <w:szCs w:val="18"/>
              </w:rPr>
              <w:t xml:space="preserve">V,C,E,Run,A</w:t>
            </w:r>
          </w:p>
        </w:tc>
        <w:tc>
          <w:tcPr>
            <w:tcW w:type="dxa" w:w="1650"/>
            <w:tcMar>
              <w:top w:type="dxa" w:w="60"/>
              <w:left w:type="dxa" w:w="100"/>
              <w:bottom w:type="dxa" w:w="60"/>
              <w:right w:type="dxa" w:w="100"/>
            </w:tcMar>
            <w:vAlign w:val="center"/>
          </w:tcPr>
          <w:p>
            <w:pPr>
              <w:jc w:val="left"/>
            </w:pPr>
            <w:r>
              <w:rPr>
                <w:b w:val="false"/>
                <w:bCs w:val="false"/>
                <w:sz w:val="18"/>
                <w:szCs w:val="18"/>
              </w:rPr>
              <w:t xml:space="preserve">–</w:t>
            </w:r>
          </w:p>
        </w:tc>
        <w:tc>
          <w:tcPr>
            <w:tcW w:type="dxa" w:w="1400"/>
            <w:tcMar>
              <w:top w:type="dxa" w:w="60"/>
              <w:left w:type="dxa" w:w="100"/>
              <w:bottom w:type="dxa" w:w="60"/>
              <w:right w:type="dxa" w:w="100"/>
            </w:tcMar>
            <w:vAlign w:val="center"/>
          </w:tcPr>
          <w:p>
            <w:pPr>
              <w:jc w:val="left"/>
            </w:pPr>
            <w:r>
              <w:rPr>
                <w:b w:val="false"/>
                <w:bCs w:val="false"/>
                <w:sz w:val="18"/>
                <w:szCs w:val="18"/>
              </w:rPr>
              <w:t xml:space="preserve">V</w:t>
            </w:r>
          </w:p>
        </w:tc>
        <w:tc>
          <w:tcPr>
            <w:tcW w:type="dxa" w:w="1250"/>
            <w:tcMar>
              <w:top w:type="dxa" w:w="60"/>
              <w:left w:type="dxa" w:w="100"/>
              <w:bottom w:type="dxa" w:w="60"/>
              <w:right w:type="dxa" w:w="100"/>
            </w:tcMar>
            <w:vAlign w:val="center"/>
          </w:tcPr>
          <w:p>
            <w:pPr>
              <w:jc w:val="left"/>
            </w:pPr>
            <w:r>
              <w:rPr>
                <w:b w:val="false"/>
                <w:bCs w:val="false"/>
                <w:sz w:val="18"/>
                <w:szCs w:val="18"/>
              </w:rPr>
              <w:t xml:space="preserve">V</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Product Costing / Overhead Allocation</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V,Run,A,F</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V</w:t>
            </w:r>
          </w:p>
        </w:tc>
        <w:tc>
          <w:tcPr>
            <w:tcW w:type="dxa" w:w="1250"/>
            <w:shd w:fill="F2F2F2" w:color="auto" w:val="clear"/>
            <w:tcMar>
              <w:top w:type="dxa" w:w="60"/>
              <w:left w:type="dxa" w:w="100"/>
              <w:bottom w:type="dxa" w:w="60"/>
              <w:right w:type="dxa" w:w="100"/>
            </w:tcMar>
            <w:vAlign w:val="center"/>
          </w:tcPr>
          <w:p>
            <w:pPr>
              <w:jc w:val="left"/>
            </w:pPr>
            <w:r>
              <w:rPr>
                <w:b w:val="false"/>
                <w:bCs w:val="false"/>
                <w:sz w:val="18"/>
                <w:szCs w:val="18"/>
              </w:rPr>
              <w:t xml:space="preserve">V</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Standard vs Actual / Variance / Yield / Cost Bridge</w:t>
            </w:r>
          </w:p>
        </w:tc>
        <w:tc>
          <w:tcPr>
            <w:tcW w:type="dxa" w:w="1650"/>
            <w:tcMar>
              <w:top w:type="dxa" w:w="60"/>
              <w:left w:type="dxa" w:w="100"/>
              <w:bottom w:type="dxa" w:w="60"/>
              <w:right w:type="dxa" w:w="100"/>
            </w:tcMar>
            <w:vAlign w:val="center"/>
          </w:tcPr>
          <w:p>
            <w:pPr>
              <w:jc w:val="left"/>
            </w:pPr>
            <w:r>
              <w:rPr>
                <w:b w:val="false"/>
                <w:bCs w:val="false"/>
                <w:sz w:val="18"/>
                <w:szCs w:val="18"/>
              </w:rPr>
              <w:t xml:space="preserve">–</w:t>
            </w:r>
          </w:p>
        </w:tc>
        <w:tc>
          <w:tcPr>
            <w:tcW w:type="dxa" w:w="1650"/>
            <w:tcMar>
              <w:top w:type="dxa" w:w="60"/>
              <w:left w:type="dxa" w:w="100"/>
              <w:bottom w:type="dxa" w:w="60"/>
              <w:right w:type="dxa" w:w="100"/>
            </w:tcMar>
            <w:vAlign w:val="center"/>
          </w:tcPr>
          <w:p>
            <w:pPr>
              <w:jc w:val="left"/>
            </w:pPr>
            <w:r>
              <w:rPr>
                <w:b w:val="false"/>
                <w:bCs w:val="false"/>
                <w:sz w:val="18"/>
                <w:szCs w:val="18"/>
              </w:rPr>
              <w:t xml:space="preserve">V,Run,A</w:t>
            </w:r>
          </w:p>
        </w:tc>
        <w:tc>
          <w:tcPr>
            <w:tcW w:type="dxa" w:w="1650"/>
            <w:tcMar>
              <w:top w:type="dxa" w:w="60"/>
              <w:left w:type="dxa" w:w="100"/>
              <w:bottom w:type="dxa" w:w="60"/>
              <w:right w:type="dxa" w:w="100"/>
            </w:tcMar>
            <w:vAlign w:val="center"/>
          </w:tcPr>
          <w:p>
            <w:pPr>
              <w:jc w:val="left"/>
            </w:pPr>
            <w:r>
              <w:rPr>
                <w:b w:val="false"/>
                <w:bCs w:val="false"/>
                <w:sz w:val="18"/>
                <w:szCs w:val="18"/>
              </w:rPr>
              <w:t xml:space="preserve">–</w:t>
            </w:r>
          </w:p>
        </w:tc>
        <w:tc>
          <w:tcPr>
            <w:tcW w:type="dxa" w:w="1400"/>
            <w:tcMar>
              <w:top w:type="dxa" w:w="60"/>
              <w:left w:type="dxa" w:w="100"/>
              <w:bottom w:type="dxa" w:w="60"/>
              <w:right w:type="dxa" w:w="100"/>
            </w:tcMar>
            <w:vAlign w:val="center"/>
          </w:tcPr>
          <w:p>
            <w:pPr>
              <w:jc w:val="left"/>
            </w:pPr>
            <w:r>
              <w:rPr>
                <w:b w:val="false"/>
                <w:bCs w:val="false"/>
                <w:sz w:val="18"/>
                <w:szCs w:val="18"/>
              </w:rPr>
              <w:t xml:space="preserve">V</w:t>
            </w:r>
          </w:p>
        </w:tc>
        <w:tc>
          <w:tcPr>
            <w:tcW w:type="dxa" w:w="1250"/>
            <w:tcMar>
              <w:top w:type="dxa" w:w="60"/>
              <w:left w:type="dxa" w:w="100"/>
              <w:bottom w:type="dxa" w:w="60"/>
              <w:right w:type="dxa" w:w="100"/>
            </w:tcMar>
            <w:vAlign w:val="center"/>
          </w:tcPr>
          <w:p>
            <w:pPr>
              <w:jc w:val="left"/>
            </w:pPr>
            <w:r>
              <w:rPr>
                <w:b w:val="false"/>
                <w:bCs w:val="false"/>
                <w:sz w:val="18"/>
                <w:szCs w:val="18"/>
              </w:rPr>
              <w:t xml:space="preserve">V</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Cost Simulation (Phase 2)</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V,Run</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V</w:t>
            </w:r>
          </w:p>
        </w:tc>
        <w:tc>
          <w:tcPr>
            <w:tcW w:type="dxa" w:w="125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Reconciliation (TB/Inventory/Production/Costing)</w:t>
            </w:r>
          </w:p>
        </w:tc>
        <w:tc>
          <w:tcPr>
            <w:tcW w:type="dxa" w:w="1650"/>
            <w:tcMar>
              <w:top w:type="dxa" w:w="60"/>
              <w:left w:type="dxa" w:w="100"/>
              <w:bottom w:type="dxa" w:w="60"/>
              <w:right w:type="dxa" w:w="100"/>
            </w:tcMar>
            <w:vAlign w:val="center"/>
          </w:tcPr>
          <w:p>
            <w:pPr>
              <w:jc w:val="left"/>
            </w:pPr>
            <w:r>
              <w:rPr>
                <w:b w:val="false"/>
                <w:bCs w:val="false"/>
                <w:sz w:val="18"/>
                <w:szCs w:val="18"/>
              </w:rPr>
              <w:t xml:space="preserve">–</w:t>
            </w:r>
          </w:p>
        </w:tc>
        <w:tc>
          <w:tcPr>
            <w:tcW w:type="dxa" w:w="1650"/>
            <w:tcMar>
              <w:top w:type="dxa" w:w="60"/>
              <w:left w:type="dxa" w:w="100"/>
              <w:bottom w:type="dxa" w:w="60"/>
              <w:right w:type="dxa" w:w="100"/>
            </w:tcMar>
            <w:vAlign w:val="center"/>
          </w:tcPr>
          <w:p>
            <w:pPr>
              <w:jc w:val="left"/>
            </w:pPr>
            <w:r>
              <w:rPr>
                <w:b w:val="false"/>
                <w:bCs w:val="false"/>
                <w:sz w:val="18"/>
                <w:szCs w:val="18"/>
              </w:rPr>
              <w:t xml:space="preserve">V,Run,A</w:t>
            </w:r>
          </w:p>
        </w:tc>
        <w:tc>
          <w:tcPr>
            <w:tcW w:type="dxa" w:w="1650"/>
            <w:tcMar>
              <w:top w:type="dxa" w:w="60"/>
              <w:left w:type="dxa" w:w="100"/>
              <w:bottom w:type="dxa" w:w="60"/>
              <w:right w:type="dxa" w:w="100"/>
            </w:tcMar>
            <w:vAlign w:val="center"/>
          </w:tcPr>
          <w:p>
            <w:pPr>
              <w:jc w:val="left"/>
            </w:pPr>
            <w:r>
              <w:rPr>
                <w:b w:val="false"/>
                <w:bCs w:val="false"/>
                <w:sz w:val="18"/>
                <w:szCs w:val="18"/>
              </w:rPr>
              <w:t xml:space="preserve">–</w:t>
            </w:r>
          </w:p>
        </w:tc>
        <w:tc>
          <w:tcPr>
            <w:tcW w:type="dxa" w:w="1400"/>
            <w:tcMar>
              <w:top w:type="dxa" w:w="60"/>
              <w:left w:type="dxa" w:w="100"/>
              <w:bottom w:type="dxa" w:w="60"/>
              <w:right w:type="dxa" w:w="100"/>
            </w:tcMar>
            <w:vAlign w:val="center"/>
          </w:tcPr>
          <w:p>
            <w:pPr>
              <w:jc w:val="left"/>
            </w:pPr>
            <w:r>
              <w:rPr>
                <w:b w:val="false"/>
                <w:bCs w:val="false"/>
                <w:sz w:val="18"/>
                <w:szCs w:val="18"/>
              </w:rPr>
              <w:t xml:space="preserve">V (summary)</w:t>
            </w:r>
          </w:p>
        </w:tc>
        <w:tc>
          <w:tcPr>
            <w:tcW w:type="dxa" w:w="1250"/>
            <w:tcMar>
              <w:top w:type="dxa" w:w="60"/>
              <w:left w:type="dxa" w:w="100"/>
              <w:bottom w:type="dxa" w:w="60"/>
              <w:right w:type="dxa" w:w="100"/>
            </w:tcMar>
            <w:vAlign w:val="center"/>
          </w:tcPr>
          <w:p>
            <w:pPr>
              <w:jc w:val="left"/>
            </w:pPr>
            <w:r>
              <w:rPr>
                <w:b w:val="false"/>
                <w:bCs w:val="false"/>
                <w:sz w:val="18"/>
                <w:szCs w:val="18"/>
              </w:rPr>
              <w:t xml:space="preserve">V,Aud</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Audit Desk / Exception Mgmt</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V,E,A,R</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250"/>
            <w:shd w:fill="F2F2F2" w:color="auto" w:val="clear"/>
            <w:tcMar>
              <w:top w:type="dxa" w:w="60"/>
              <w:left w:type="dxa" w:w="100"/>
              <w:bottom w:type="dxa" w:w="60"/>
              <w:right w:type="dxa" w:w="100"/>
            </w:tcMar>
            <w:vAlign w:val="center"/>
          </w:tcPr>
          <w:p>
            <w:pPr>
              <w:jc w:val="left"/>
            </w:pPr>
            <w:r>
              <w:rPr>
                <w:b w:val="false"/>
                <w:bCs w:val="false"/>
                <w:sz w:val="18"/>
                <w:szCs w:val="18"/>
              </w:rPr>
              <w:t xml:space="preserve">V,Aud,A,R</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Audit Trail / Data Lineage</w:t>
            </w:r>
          </w:p>
        </w:tc>
        <w:tc>
          <w:tcPr>
            <w:tcW w:type="dxa" w:w="1650"/>
            <w:tcMar>
              <w:top w:type="dxa" w:w="60"/>
              <w:left w:type="dxa" w:w="100"/>
              <w:bottom w:type="dxa" w:w="60"/>
              <w:right w:type="dxa" w:w="100"/>
            </w:tcMar>
            <w:vAlign w:val="center"/>
          </w:tcPr>
          <w:p>
            <w:pPr>
              <w:jc w:val="left"/>
            </w:pPr>
            <w:r>
              <w:rPr>
                <w:b w:val="false"/>
                <w:bCs w:val="false"/>
                <w:sz w:val="18"/>
                <w:szCs w:val="18"/>
              </w:rPr>
              <w:t xml:space="preserve">V (platform)</w:t>
            </w:r>
          </w:p>
        </w:tc>
        <w:tc>
          <w:tcPr>
            <w:tcW w:type="dxa" w:w="1650"/>
            <w:tcMar>
              <w:top w:type="dxa" w:w="60"/>
              <w:left w:type="dxa" w:w="100"/>
              <w:bottom w:type="dxa" w:w="60"/>
              <w:right w:type="dxa" w:w="100"/>
            </w:tcMar>
            <w:vAlign w:val="center"/>
          </w:tcPr>
          <w:p>
            <w:pPr>
              <w:jc w:val="left"/>
            </w:pPr>
            <w:r>
              <w:rPr>
                <w:b w:val="false"/>
                <w:bCs w:val="false"/>
                <w:sz w:val="18"/>
                <w:szCs w:val="18"/>
              </w:rPr>
              <w:t xml:space="preserve">V</w:t>
            </w:r>
          </w:p>
        </w:tc>
        <w:tc>
          <w:tcPr>
            <w:tcW w:type="dxa" w:w="1650"/>
            <w:tcMar>
              <w:top w:type="dxa" w:w="60"/>
              <w:left w:type="dxa" w:w="100"/>
              <w:bottom w:type="dxa" w:w="60"/>
              <w:right w:type="dxa" w:w="100"/>
            </w:tcMar>
            <w:vAlign w:val="center"/>
          </w:tcPr>
          <w:p>
            <w:pPr>
              <w:jc w:val="left"/>
            </w:pPr>
            <w:r>
              <w:rPr>
                <w:b w:val="false"/>
                <w:bCs w:val="false"/>
                <w:sz w:val="18"/>
                <w:szCs w:val="18"/>
              </w:rPr>
              <w:t xml:space="preserve">–</w:t>
            </w:r>
          </w:p>
        </w:tc>
        <w:tc>
          <w:tcPr>
            <w:tcW w:type="dxa" w:w="1400"/>
            <w:tcMar>
              <w:top w:type="dxa" w:w="60"/>
              <w:left w:type="dxa" w:w="100"/>
              <w:bottom w:type="dxa" w:w="60"/>
              <w:right w:type="dxa" w:w="100"/>
            </w:tcMar>
            <w:vAlign w:val="center"/>
          </w:tcPr>
          <w:p>
            <w:pPr>
              <w:jc w:val="left"/>
            </w:pPr>
            <w:r>
              <w:rPr>
                <w:b w:val="false"/>
                <w:bCs w:val="false"/>
                <w:sz w:val="18"/>
                <w:szCs w:val="18"/>
              </w:rPr>
              <w:t xml:space="preserve">–</w:t>
            </w:r>
          </w:p>
        </w:tc>
        <w:tc>
          <w:tcPr>
            <w:tcW w:type="dxa" w:w="1250"/>
            <w:tcMar>
              <w:top w:type="dxa" w:w="60"/>
              <w:left w:type="dxa" w:w="100"/>
              <w:bottom w:type="dxa" w:w="60"/>
              <w:right w:type="dxa" w:w="100"/>
            </w:tcMar>
            <w:vAlign w:val="center"/>
          </w:tcPr>
          <w:p>
            <w:pPr>
              <w:jc w:val="left"/>
            </w:pPr>
            <w:r>
              <w:rPr>
                <w:b w:val="false"/>
                <w:bCs w:val="false"/>
                <w:sz w:val="18"/>
                <w:szCs w:val="18"/>
              </w:rPr>
              <w:t xml:space="preserve">V,Aud</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Period Close / Costing Versioning</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V,Run,L,Ro</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250"/>
            <w:shd w:fill="F2F2F2" w:color="auto" w:val="clear"/>
            <w:tcMar>
              <w:top w:type="dxa" w:w="60"/>
              <w:left w:type="dxa" w:w="100"/>
              <w:bottom w:type="dxa" w:w="60"/>
              <w:right w:type="dxa" w:w="100"/>
            </w:tcMar>
            <w:vAlign w:val="center"/>
          </w:tcPr>
          <w:p>
            <w:pPr>
              <w:jc w:val="left"/>
            </w:pPr>
            <w:r>
              <w:rPr>
                <w:b w:val="false"/>
                <w:bCs w:val="false"/>
                <w:sz w:val="18"/>
                <w:szCs w:val="18"/>
              </w:rPr>
              <w:t xml:space="preserve">V,A</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Dashboards (Mgmt/CMA/Product)</w:t>
            </w:r>
          </w:p>
        </w:tc>
        <w:tc>
          <w:tcPr>
            <w:tcW w:type="dxa" w:w="1650"/>
            <w:tcMar>
              <w:top w:type="dxa" w:w="60"/>
              <w:left w:type="dxa" w:w="100"/>
              <w:bottom w:type="dxa" w:w="60"/>
              <w:right w:type="dxa" w:w="100"/>
            </w:tcMar>
            <w:vAlign w:val="center"/>
          </w:tcPr>
          <w:p>
            <w:pPr>
              <w:jc w:val="left"/>
            </w:pPr>
            <w:r>
              <w:rPr>
                <w:b w:val="false"/>
                <w:bCs w:val="false"/>
                <w:sz w:val="18"/>
                <w:szCs w:val="18"/>
              </w:rPr>
              <w:t xml:space="preserve">–</w:t>
            </w:r>
          </w:p>
        </w:tc>
        <w:tc>
          <w:tcPr>
            <w:tcW w:type="dxa" w:w="1650"/>
            <w:tcMar>
              <w:top w:type="dxa" w:w="60"/>
              <w:left w:type="dxa" w:w="100"/>
              <w:bottom w:type="dxa" w:w="60"/>
              <w:right w:type="dxa" w:w="100"/>
            </w:tcMar>
            <w:vAlign w:val="center"/>
          </w:tcPr>
          <w:p>
            <w:pPr>
              <w:jc w:val="left"/>
            </w:pPr>
            <w:r>
              <w:rPr>
                <w:b w:val="false"/>
                <w:bCs w:val="false"/>
                <w:sz w:val="18"/>
                <w:szCs w:val="18"/>
              </w:rPr>
              <w:t xml:space="preserve">V</w:t>
            </w:r>
          </w:p>
        </w:tc>
        <w:tc>
          <w:tcPr>
            <w:tcW w:type="dxa" w:w="1650"/>
            <w:tcMar>
              <w:top w:type="dxa" w:w="60"/>
              <w:left w:type="dxa" w:w="100"/>
              <w:bottom w:type="dxa" w:w="60"/>
              <w:right w:type="dxa" w:w="100"/>
            </w:tcMar>
            <w:vAlign w:val="center"/>
          </w:tcPr>
          <w:p>
            <w:pPr>
              <w:jc w:val="left"/>
            </w:pPr>
            <w:r>
              <w:rPr>
                <w:b w:val="false"/>
                <w:bCs w:val="false"/>
                <w:sz w:val="18"/>
                <w:szCs w:val="18"/>
              </w:rPr>
              <w:t xml:space="preserve">–</w:t>
            </w:r>
          </w:p>
        </w:tc>
        <w:tc>
          <w:tcPr>
            <w:tcW w:type="dxa" w:w="1400"/>
            <w:tcMar>
              <w:top w:type="dxa" w:w="60"/>
              <w:left w:type="dxa" w:w="100"/>
              <w:bottom w:type="dxa" w:w="60"/>
              <w:right w:type="dxa" w:w="100"/>
            </w:tcMar>
            <w:vAlign w:val="center"/>
          </w:tcPr>
          <w:p>
            <w:pPr>
              <w:jc w:val="left"/>
            </w:pPr>
            <w:r>
              <w:rPr>
                <w:b w:val="false"/>
                <w:bCs w:val="false"/>
                <w:sz w:val="18"/>
                <w:szCs w:val="18"/>
              </w:rPr>
              <w:t xml:space="preserve">V</w:t>
            </w:r>
          </w:p>
        </w:tc>
        <w:tc>
          <w:tcPr>
            <w:tcW w:type="dxa" w:w="1250"/>
            <w:tcMar>
              <w:top w:type="dxa" w:w="60"/>
              <w:left w:type="dxa" w:w="100"/>
              <w:bottom w:type="dxa" w:w="60"/>
              <w:right w:type="dxa" w:w="100"/>
            </w:tcMar>
            <w:vAlign w:val="center"/>
          </w:tcPr>
          <w:p>
            <w:pPr>
              <w:jc w:val="left"/>
            </w:pPr>
            <w:r>
              <w:rPr>
                <w:b w:val="false"/>
                <w:bCs w:val="false"/>
                <w:sz w:val="18"/>
                <w:szCs w:val="18"/>
              </w:rPr>
              <w:t xml:space="preserve">V</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Reports</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 (system reports)</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V,Ex</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V,Ex (limited)</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V,Ex</w:t>
            </w:r>
          </w:p>
        </w:tc>
        <w:tc>
          <w:tcPr>
            <w:tcW w:type="dxa" w:w="1250"/>
            <w:shd w:fill="F2F2F2" w:color="auto" w:val="clear"/>
            <w:tcMar>
              <w:top w:type="dxa" w:w="60"/>
              <w:left w:type="dxa" w:w="100"/>
              <w:bottom w:type="dxa" w:w="60"/>
              <w:right w:type="dxa" w:w="100"/>
            </w:tcMar>
            <w:vAlign w:val="center"/>
          </w:tcPr>
          <w:p>
            <w:pPr>
              <w:jc w:val="left"/>
            </w:pPr>
            <w:r>
              <w:rPr>
                <w:b w:val="false"/>
                <w:bCs w:val="false"/>
                <w:sz w:val="18"/>
                <w:szCs w:val="18"/>
              </w:rPr>
              <w:t xml:space="preserve">V,Ex</w:t>
            </w:r>
          </w:p>
        </w:tc>
      </w:tr>
      <w:tr>
        <w:tc>
          <w:tcPr>
            <w:tcW w:type="dxa" w:w="2400"/>
            <w:tcMar>
              <w:top w:type="dxa" w:w="60"/>
              <w:left w:type="dxa" w:w="100"/>
              <w:bottom w:type="dxa" w:w="60"/>
              <w:right w:type="dxa" w:w="100"/>
            </w:tcMar>
            <w:vAlign w:val="center"/>
          </w:tcPr>
          <w:p>
            <w:pPr>
              <w:jc w:val="left"/>
            </w:pPr>
            <w:r>
              <w:rPr>
                <w:b w:val="false"/>
                <w:bCs w:val="false"/>
                <w:sz w:val="18"/>
                <w:szCs w:val="18"/>
              </w:rPr>
              <w:t xml:space="preserve">AI Insights / AI Copilot</w:t>
            </w:r>
          </w:p>
        </w:tc>
        <w:tc>
          <w:tcPr>
            <w:tcW w:type="dxa" w:w="1650"/>
            <w:tcMar>
              <w:top w:type="dxa" w:w="60"/>
              <w:left w:type="dxa" w:w="100"/>
              <w:bottom w:type="dxa" w:w="60"/>
              <w:right w:type="dxa" w:w="100"/>
            </w:tcMar>
            <w:vAlign w:val="center"/>
          </w:tcPr>
          <w:p>
            <w:pPr>
              <w:jc w:val="left"/>
            </w:pPr>
            <w:r>
              <w:rPr>
                <w:b w:val="false"/>
                <w:bCs w:val="false"/>
                <w:sz w:val="18"/>
                <w:szCs w:val="18"/>
              </w:rPr>
              <w:t xml:space="preserve">Cfg (provider)</w:t>
            </w:r>
          </w:p>
        </w:tc>
        <w:tc>
          <w:tcPr>
            <w:tcW w:type="dxa" w:w="1650"/>
            <w:tcMar>
              <w:top w:type="dxa" w:w="60"/>
              <w:left w:type="dxa" w:w="100"/>
              <w:bottom w:type="dxa" w:w="60"/>
              <w:right w:type="dxa" w:w="100"/>
            </w:tcMar>
            <w:vAlign w:val="center"/>
          </w:tcPr>
          <w:p>
            <w:pPr>
              <w:jc w:val="left"/>
            </w:pPr>
            <w:r>
              <w:rPr>
                <w:b w:val="false"/>
                <w:bCs w:val="false"/>
                <w:sz w:val="18"/>
                <w:szCs w:val="18"/>
              </w:rPr>
              <w:t xml:space="preserve">V,A,R</w:t>
            </w:r>
          </w:p>
        </w:tc>
        <w:tc>
          <w:tcPr>
            <w:tcW w:type="dxa" w:w="1650"/>
            <w:tcMar>
              <w:top w:type="dxa" w:w="60"/>
              <w:left w:type="dxa" w:w="100"/>
              <w:bottom w:type="dxa" w:w="60"/>
              <w:right w:type="dxa" w:w="100"/>
            </w:tcMar>
            <w:vAlign w:val="center"/>
          </w:tcPr>
          <w:p>
            <w:pPr>
              <w:jc w:val="left"/>
            </w:pPr>
            <w:r>
              <w:rPr>
                <w:b w:val="false"/>
                <w:bCs w:val="false"/>
                <w:sz w:val="18"/>
                <w:szCs w:val="18"/>
              </w:rPr>
              <w:t xml:space="preserve">–</w:t>
            </w:r>
          </w:p>
        </w:tc>
        <w:tc>
          <w:tcPr>
            <w:tcW w:type="dxa" w:w="1400"/>
            <w:tcMar>
              <w:top w:type="dxa" w:w="60"/>
              <w:left w:type="dxa" w:w="100"/>
              <w:bottom w:type="dxa" w:w="60"/>
              <w:right w:type="dxa" w:w="100"/>
            </w:tcMar>
            <w:vAlign w:val="center"/>
          </w:tcPr>
          <w:p>
            <w:pPr>
              <w:jc w:val="left"/>
            </w:pPr>
            <w:r>
              <w:rPr>
                <w:b w:val="false"/>
                <w:bCs w:val="false"/>
                <w:sz w:val="18"/>
                <w:szCs w:val="18"/>
              </w:rPr>
              <w:t xml:space="preserve">V</w:t>
            </w:r>
          </w:p>
        </w:tc>
        <w:tc>
          <w:tcPr>
            <w:tcW w:type="dxa" w:w="1250"/>
            <w:tcMar>
              <w:top w:type="dxa" w:w="60"/>
              <w:left w:type="dxa" w:w="100"/>
              <w:bottom w:type="dxa" w:w="60"/>
              <w:right w:type="dxa" w:w="100"/>
            </w:tcMar>
            <w:vAlign w:val="center"/>
          </w:tcPr>
          <w:p>
            <w:pPr>
              <w:jc w:val="left"/>
            </w:pPr>
            <w:r>
              <w:rPr>
                <w:b w:val="false"/>
                <w:bCs w:val="false"/>
                <w:sz w:val="18"/>
                <w:szCs w:val="18"/>
              </w:rPr>
              <w:t xml:space="preserve">V</w:t>
            </w:r>
          </w:p>
        </w:tc>
      </w:tr>
      <w:tr>
        <w:tc>
          <w:tcPr>
            <w:tcW w:type="dxa" w:w="2400"/>
            <w:shd w:fill="F2F2F2" w:color="auto" w:val="clear"/>
            <w:tcMar>
              <w:top w:type="dxa" w:w="60"/>
              <w:left w:type="dxa" w:w="100"/>
              <w:bottom w:type="dxa" w:w="60"/>
              <w:right w:type="dxa" w:w="100"/>
            </w:tcMar>
            <w:vAlign w:val="center"/>
          </w:tcPr>
          <w:p>
            <w:pPr>
              <w:jc w:val="left"/>
            </w:pPr>
            <w:r>
              <w:rPr>
                <w:b w:val="false"/>
                <w:bCs w:val="false"/>
                <w:sz w:val="18"/>
                <w:szCs w:val="18"/>
              </w:rPr>
              <w:t xml:space="preserve">Notifications / Background Jobs / System Logs</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V,Cfg</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V (own jobs)</w:t>
            </w:r>
          </w:p>
        </w:tc>
        <w:tc>
          <w:tcPr>
            <w:tcW w:type="dxa" w:w="165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400"/>
            <w:shd w:fill="F2F2F2" w:color="auto" w:val="clear"/>
            <w:tcMar>
              <w:top w:type="dxa" w:w="60"/>
              <w:left w:type="dxa" w:w="100"/>
              <w:bottom w:type="dxa" w:w="60"/>
              <w:right w:type="dxa" w:w="100"/>
            </w:tcMar>
            <w:vAlign w:val="center"/>
          </w:tcPr>
          <w:p>
            <w:pPr>
              <w:jc w:val="left"/>
            </w:pPr>
            <w:r>
              <w:rPr>
                <w:b w:val="false"/>
                <w:bCs w:val="false"/>
                <w:sz w:val="18"/>
                <w:szCs w:val="18"/>
              </w:rPr>
              <w:t xml:space="preserve">–</w:t>
            </w:r>
          </w:p>
        </w:tc>
        <w:tc>
          <w:tcPr>
            <w:tcW w:type="dxa" w:w="1250"/>
            <w:shd w:fill="F2F2F2" w:color="auto" w:val="clear"/>
            <w:tcMar>
              <w:top w:type="dxa" w:w="60"/>
              <w:left w:type="dxa" w:w="100"/>
              <w:bottom w:type="dxa" w:w="60"/>
              <w:right w:type="dxa" w:w="100"/>
            </w:tcMar>
            <w:vAlign w:val="center"/>
          </w:tcPr>
          <w:p>
            <w:pPr>
              <w:jc w:val="left"/>
            </w:pPr>
            <w:r>
              <w:rPr>
                <w:b w:val="false"/>
                <w:bCs w:val="false"/>
                <w:sz w:val="18"/>
                <w:szCs w:val="18"/>
              </w:rPr>
              <w:t xml:space="preserve">V</w:t>
            </w:r>
          </w:p>
        </w:tc>
      </w:tr>
    </w:tbl>
    <w:p>
      <w:pPr>
        <w:spacing w:after="160"/>
      </w:pPr>
      <w:r>
        <w:t xml:space="preserve">Row-level and field-level access are additionally scoped by tenant, and within a tenant by company/division/plant/warehouse assignment — see BR-SEC-002 and Section 20 (Security Requirements), Part 3, for tenant-isolation and scoping rules. All Delete operations on transactional and financial data are Proposed to be soft-delete only, governed by audit trail requirements (Section 21, Part 3).</w:t>
      </w:r>
    </w:p>
    <w:p>
      <w:r>
        <w:br w:type="page"/>
      </w:r>
    </w:p>
    <w:p>
      <w:pPr>
        <w:pStyle w:val="Heading1"/>
        <w:spacing w:after="240" w:before="480"/>
      </w:pPr>
      <w:r>
        <w:rPr>
          <w:b/>
          <w:bCs/>
        </w:rPr>
        <w:t xml:space="preserve">7. System Architecture</w:t>
      </w:r>
    </w:p>
    <w:p>
      <w:pPr>
        <w:pStyle w:val="Heading2"/>
        <w:spacing w:after="160" w:before="320"/>
      </w:pPr>
      <w:r>
        <w:rPr>
          <w:b/>
          <w:bCs/>
        </w:rPr>
        <w:t xml:space="preserve">7.1 Architectural Style</w:t>
      </w:r>
    </w:p>
    <w:p>
      <w:pPr>
        <w:spacing w:after="160"/>
      </w:pPr>
      <w:r>
        <w:t xml:space="preserve">Cost360 uses a modular layered architecture. Microservices are explicitly not used for the academic MVP; instead, the codebase is organised into clearly separated layers and modules within a single PHP application, so that the design principles of separation of concerns and testability are preserved without the operational overhead of a distributed system. This keeps the architecture appropriate for a final-year engineering project while remaining a defensible baseline for later decomposition (Phase 2/3) if desired.</w:t>
      </w:r>
    </w:p>
    <w:p>
      <w:pPr>
        <w:pStyle w:val="Heading2"/>
        <w:spacing w:after="160" w:before="320"/>
      </w:pPr>
      <w:r>
        <w:rPr>
          <w:b/>
          <w:bCs/>
        </w:rPr>
        <w:t xml:space="preserve">7.2 Layered Architecture</w:t>
      </w:r>
    </w:p>
    <w:tbl>
      <w:tblPr>
        <w:tblW w:type="dxa" w:w="9600"/>
        <w:tblBorders>
          <w:top w:val="single" w:color="BFBFBF" w:sz="2"/>
          <w:left w:val="single" w:color="BFBFBF" w:sz="2"/>
          <w:bottom w:val="single" w:color="BFBFBF" w:sz="2"/>
          <w:right w:val="single" w:color="BFBFBF" w:sz="2"/>
          <w:insideH w:val="single" w:color="D9D9D9" w:sz="2"/>
          <w:insideV w:val="single" w:color="D9D9D9" w:sz="2"/>
        </w:tblBorders>
      </w:tblPr>
      <w:tblGrid>
        <w:gridCol w:w="2200"/>
        <w:gridCol w:w="5100"/>
        <w:gridCol w:w="2300"/>
      </w:tblGrid>
      <w:tr>
        <w:trPr>
          <w:tblHeader/>
        </w:trPr>
        <w:tc>
          <w:tcPr>
            <w:tcW w:type="dxa" w:w="2200"/>
            <w:shd w:fill="1F3864" w:color="auto"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5100"/>
            <w:shd w:fill="1F3864" w:color="auto" w:val="clear"/>
            <w:tcMar>
              <w:top w:type="dxa" w:w="60"/>
              <w:left w:type="dxa" w:w="100"/>
              <w:bottom w:type="dxa" w:w="60"/>
              <w:right w:type="dxa" w:w="100"/>
            </w:tcMar>
            <w:vAlign w:val="center"/>
          </w:tcPr>
          <w:p>
            <w:pPr>
              <w:jc w:val="left"/>
            </w:pPr>
            <w:r>
              <w:rPr>
                <w:b/>
                <w:bCs/>
                <w:color w:val="FFFFFF"/>
                <w:sz w:val="18"/>
                <w:szCs w:val="18"/>
              </w:rPr>
              <w:t xml:space="preserve">Responsibility</w:t>
            </w:r>
          </w:p>
        </w:tc>
        <w:tc>
          <w:tcPr>
            <w:tcW w:type="dxa" w:w="2300"/>
            <w:shd w:fill="1F3864" w:color="auto" w:val="clear"/>
            <w:tcMar>
              <w:top w:type="dxa" w:w="60"/>
              <w:left w:type="dxa" w:w="100"/>
              <w:bottom w:type="dxa" w:w="60"/>
              <w:right w:type="dxa" w:w="100"/>
            </w:tcMar>
            <w:vAlign w:val="center"/>
          </w:tcPr>
          <w:p>
            <w:pPr>
              <w:jc w:val="left"/>
            </w:pPr>
            <w:r>
              <w:rPr>
                <w:b/>
                <w:bCs/>
                <w:color w:val="FFFFFF"/>
                <w:sz w:val="18"/>
                <w:szCs w:val="18"/>
              </w:rPr>
              <w:t xml:space="preserve">Technology</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Presentation / UI Layer</w:t>
            </w:r>
          </w:p>
        </w:tc>
        <w:tc>
          <w:tcPr>
            <w:tcW w:type="dxa" w:w="5100"/>
            <w:tcMar>
              <w:top w:type="dxa" w:w="60"/>
              <w:left w:type="dxa" w:w="100"/>
              <w:bottom w:type="dxa" w:w="60"/>
              <w:right w:type="dxa" w:w="100"/>
            </w:tcMar>
            <w:vAlign w:val="center"/>
          </w:tcPr>
          <w:p>
            <w:pPr>
              <w:jc w:val="left"/>
            </w:pPr>
            <w:r>
              <w:rPr>
                <w:b w:val="false"/>
                <w:bCs w:val="false"/>
                <w:sz w:val="18"/>
                <w:szCs w:val="18"/>
              </w:rPr>
              <w:t xml:space="preserve">Renders screens, forms, dashboards, tables; captures user input; client-side validation and AJAX interactions</w:t>
            </w:r>
          </w:p>
        </w:tc>
        <w:tc>
          <w:tcPr>
            <w:tcW w:type="dxa" w:w="2300"/>
            <w:tcMar>
              <w:top w:type="dxa" w:w="60"/>
              <w:left w:type="dxa" w:w="100"/>
              <w:bottom w:type="dxa" w:w="60"/>
              <w:right w:type="dxa" w:w="100"/>
            </w:tcMar>
            <w:vAlign w:val="center"/>
          </w:tcPr>
          <w:p>
            <w:pPr>
              <w:jc w:val="left"/>
            </w:pPr>
            <w:r>
              <w:rPr>
                <w:b w:val="false"/>
                <w:bCs w:val="false"/>
                <w:sz w:val="18"/>
                <w:szCs w:val="18"/>
              </w:rPr>
              <w:t xml:space="preserve">HTML5, CSS3, JavaScript, AJAX; PHP server-rendered views</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Application / Controller Layer</w:t>
            </w:r>
          </w:p>
        </w:tc>
        <w:tc>
          <w:tcPr>
            <w:tcW w:type="dxa" w:w="5100"/>
            <w:shd w:fill="F2F2F2" w:color="auto" w:val="clear"/>
            <w:tcMar>
              <w:top w:type="dxa" w:w="60"/>
              <w:left w:type="dxa" w:w="100"/>
              <w:bottom w:type="dxa" w:w="60"/>
              <w:right w:type="dxa" w:w="100"/>
            </w:tcMar>
            <w:vAlign w:val="center"/>
          </w:tcPr>
          <w:p>
            <w:pPr>
              <w:jc w:val="left"/>
            </w:pPr>
            <w:r>
              <w:rPr>
                <w:b w:val="false"/>
                <w:bCs w:val="false"/>
                <w:sz w:val="18"/>
                <w:szCs w:val="18"/>
              </w:rPr>
              <w:t xml:space="preserve">Receives requests, enforces authentication/authorisation (RBAC), orchestrates calls into the Business Logic Layer, returns responses/views</w:t>
            </w:r>
          </w:p>
        </w:tc>
        <w:tc>
          <w:tcPr>
            <w:tcW w:type="dxa" w:w="2300"/>
            <w:shd w:fill="F2F2F2" w:color="auto" w:val="clear"/>
            <w:tcMar>
              <w:top w:type="dxa" w:w="60"/>
              <w:left w:type="dxa" w:w="100"/>
              <w:bottom w:type="dxa" w:w="60"/>
              <w:right w:type="dxa" w:w="100"/>
            </w:tcMar>
            <w:vAlign w:val="center"/>
          </w:tcPr>
          <w:p>
            <w:pPr>
              <w:jc w:val="left"/>
            </w:pPr>
            <w:r>
              <w:rPr>
                <w:b w:val="false"/>
                <w:bCs w:val="false"/>
                <w:sz w:val="18"/>
                <w:szCs w:val="18"/>
              </w:rPr>
              <w:t xml:space="preserve">PHP controllers (front-controller / MVC-style — Proposed)</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Business Logic Layer</w:t>
            </w:r>
          </w:p>
        </w:tc>
        <w:tc>
          <w:tcPr>
            <w:tcW w:type="dxa" w:w="5100"/>
            <w:tcMar>
              <w:top w:type="dxa" w:w="60"/>
              <w:left w:type="dxa" w:w="100"/>
              <w:bottom w:type="dxa" w:w="60"/>
              <w:right w:type="dxa" w:w="100"/>
            </w:tcMar>
            <w:vAlign w:val="center"/>
          </w:tcPr>
          <w:p>
            <w:pPr>
              <w:jc w:val="left"/>
            </w:pPr>
            <w:r>
              <w:rPr>
                <w:b w:val="false"/>
                <w:bCs w:val="false"/>
                <w:sz w:val="18"/>
                <w:szCs w:val="18"/>
              </w:rPr>
              <w:t xml:space="preserve">Encapsulates domain rules that are not pure calculation — workflow states, approvals, master-data governance, validation rule evaluation</w:t>
            </w:r>
          </w:p>
        </w:tc>
        <w:tc>
          <w:tcPr>
            <w:tcW w:type="dxa" w:w="2300"/>
            <w:tcMar>
              <w:top w:type="dxa" w:w="60"/>
              <w:left w:type="dxa" w:w="100"/>
              <w:bottom w:type="dxa" w:w="60"/>
              <w:right w:type="dxa" w:w="100"/>
            </w:tcMar>
            <w:vAlign w:val="center"/>
          </w:tcPr>
          <w:p>
            <w:pPr>
              <w:jc w:val="left"/>
            </w:pPr>
            <w:r>
              <w:rPr>
                <w:b w:val="false"/>
                <w:bCs w:val="false"/>
                <w:sz w:val="18"/>
                <w:szCs w:val="18"/>
              </w:rPr>
              <w:t xml:space="preserve">PHP service/domain classes</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Costing / Calculation Engines</w:t>
            </w:r>
          </w:p>
        </w:tc>
        <w:tc>
          <w:tcPr>
            <w:tcW w:type="dxa" w:w="5100"/>
            <w:shd w:fill="F2F2F2" w:color="auto" w:val="clear"/>
            <w:tcMar>
              <w:top w:type="dxa" w:w="60"/>
              <w:left w:type="dxa" w:w="100"/>
              <w:bottom w:type="dxa" w:w="60"/>
              <w:right w:type="dxa" w:w="100"/>
            </w:tcMar>
            <w:vAlign w:val="center"/>
          </w:tcPr>
          <w:p>
            <w:pPr>
              <w:jc w:val="left"/>
            </w:pPr>
            <w:r>
              <w:rPr>
                <w:b w:val="false"/>
                <w:bCs w:val="false"/>
                <w:sz w:val="18"/>
                <w:szCs w:val="18"/>
              </w:rPr>
              <w:t xml:space="preserve">Inventory Valuation Engine, BOM Engine, Cost Engine, Allocation Engine, Variance Engine, Reconciliation Engine — isolated, independently testable calculation modules</w:t>
            </w:r>
          </w:p>
        </w:tc>
        <w:tc>
          <w:tcPr>
            <w:tcW w:type="dxa" w:w="2300"/>
            <w:shd w:fill="F2F2F2" w:color="auto" w:val="clear"/>
            <w:tcMar>
              <w:top w:type="dxa" w:w="60"/>
              <w:left w:type="dxa" w:w="100"/>
              <w:bottom w:type="dxa" w:w="60"/>
              <w:right w:type="dxa" w:w="100"/>
            </w:tcMar>
            <w:vAlign w:val="center"/>
          </w:tcPr>
          <w:p>
            <w:pPr>
              <w:jc w:val="left"/>
            </w:pPr>
            <w:r>
              <w:rPr>
                <w:b w:val="false"/>
                <w:bCs w:val="false"/>
                <w:sz w:val="18"/>
                <w:szCs w:val="18"/>
              </w:rPr>
              <w:t xml:space="preserve">PHP engine classes, pure-function style where practical for testability</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Data Processing / Import Layer</w:t>
            </w:r>
          </w:p>
        </w:tc>
        <w:tc>
          <w:tcPr>
            <w:tcW w:type="dxa" w:w="5100"/>
            <w:tcMar>
              <w:top w:type="dxa" w:w="60"/>
              <w:left w:type="dxa" w:w="100"/>
              <w:bottom w:type="dxa" w:w="60"/>
              <w:right w:type="dxa" w:w="100"/>
            </w:tcMar>
            <w:vAlign w:val="center"/>
          </w:tcPr>
          <w:p>
            <w:pPr>
              <w:jc w:val="left"/>
            </w:pPr>
            <w:r>
              <w:rPr>
                <w:b w:val="false"/>
                <w:bCs w:val="false"/>
                <w:sz w:val="18"/>
                <w:szCs w:val="18"/>
              </w:rPr>
              <w:t xml:space="preserve">Parses uploaded files, applies mapping, produces standard-model records for validation</w:t>
            </w:r>
          </w:p>
        </w:tc>
        <w:tc>
          <w:tcPr>
            <w:tcW w:type="dxa" w:w="2300"/>
            <w:tcMar>
              <w:top w:type="dxa" w:w="60"/>
              <w:left w:type="dxa" w:w="100"/>
              <w:bottom w:type="dxa" w:w="60"/>
              <w:right w:type="dxa" w:w="100"/>
            </w:tcMar>
            <w:vAlign w:val="center"/>
          </w:tcPr>
          <w:p>
            <w:pPr>
              <w:jc w:val="left"/>
            </w:pPr>
            <w:r>
              <w:rPr>
                <w:b w:val="false"/>
                <w:bCs w:val="false"/>
                <w:sz w:val="18"/>
                <w:szCs w:val="18"/>
              </w:rPr>
              <w:t xml:space="preserve">PHP import/parsing classes</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Reporting Layer</w:t>
            </w:r>
          </w:p>
        </w:tc>
        <w:tc>
          <w:tcPr>
            <w:tcW w:type="dxa" w:w="5100"/>
            <w:shd w:fill="F2F2F2" w:color="auto" w:val="clear"/>
            <w:tcMar>
              <w:top w:type="dxa" w:w="60"/>
              <w:left w:type="dxa" w:w="100"/>
              <w:bottom w:type="dxa" w:w="60"/>
              <w:right w:type="dxa" w:w="100"/>
            </w:tcMar>
            <w:vAlign w:val="center"/>
          </w:tcPr>
          <w:p>
            <w:pPr>
              <w:jc w:val="left"/>
            </w:pPr>
            <w:r>
              <w:rPr>
                <w:b w:val="false"/>
                <w:bCs w:val="false"/>
                <w:sz w:val="18"/>
                <w:szCs w:val="18"/>
              </w:rPr>
              <w:t xml:space="preserve">Assembles report/dashboard data sets, applies filters/grouping/sorting, prepares exports</w:t>
            </w:r>
          </w:p>
        </w:tc>
        <w:tc>
          <w:tcPr>
            <w:tcW w:type="dxa" w:w="2300"/>
            <w:shd w:fill="F2F2F2" w:color="auto" w:val="clear"/>
            <w:tcMar>
              <w:top w:type="dxa" w:w="60"/>
              <w:left w:type="dxa" w:w="100"/>
              <w:bottom w:type="dxa" w:w="60"/>
              <w:right w:type="dxa" w:w="100"/>
            </w:tcMar>
            <w:vAlign w:val="center"/>
          </w:tcPr>
          <w:p>
            <w:pPr>
              <w:jc w:val="left"/>
            </w:pPr>
            <w:r>
              <w:rPr>
                <w:b w:val="false"/>
                <w:bCs w:val="false"/>
                <w:sz w:val="18"/>
                <w:szCs w:val="18"/>
              </w:rPr>
              <w:t xml:space="preserve">PHP reporting classes</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Database Access Layer</w:t>
            </w:r>
          </w:p>
        </w:tc>
        <w:tc>
          <w:tcPr>
            <w:tcW w:type="dxa" w:w="5100"/>
            <w:tcMar>
              <w:top w:type="dxa" w:w="60"/>
              <w:left w:type="dxa" w:w="100"/>
              <w:bottom w:type="dxa" w:w="60"/>
              <w:right w:type="dxa" w:w="100"/>
            </w:tcMar>
            <w:vAlign w:val="center"/>
          </w:tcPr>
          <w:p>
            <w:pPr>
              <w:jc w:val="left"/>
            </w:pPr>
            <w:r>
              <w:rPr>
                <w:b w:val="false"/>
                <w:bCs w:val="false"/>
                <w:sz w:val="18"/>
                <w:szCs w:val="18"/>
              </w:rPr>
              <w:t xml:space="preserve">All SQL execution, parameterised queries, transaction management</w:t>
            </w:r>
          </w:p>
        </w:tc>
        <w:tc>
          <w:tcPr>
            <w:tcW w:type="dxa" w:w="2300"/>
            <w:tcMar>
              <w:top w:type="dxa" w:w="60"/>
              <w:left w:type="dxa" w:w="100"/>
              <w:bottom w:type="dxa" w:w="60"/>
              <w:right w:type="dxa" w:w="100"/>
            </w:tcMar>
            <w:vAlign w:val="center"/>
          </w:tcPr>
          <w:p>
            <w:pPr>
              <w:jc w:val="left"/>
            </w:pPr>
            <w:r>
              <w:rPr>
                <w:b w:val="false"/>
                <w:bCs w:val="false"/>
                <w:sz w:val="18"/>
                <w:szCs w:val="18"/>
              </w:rPr>
              <w:t xml:space="preserve">PHP pg_* functions (no PDO) — see Section 17 (Part 2)</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PostgreSQL Database</w:t>
            </w:r>
          </w:p>
        </w:tc>
        <w:tc>
          <w:tcPr>
            <w:tcW w:type="dxa" w:w="5100"/>
            <w:shd w:fill="F2F2F2" w:color="auto" w:val="clear"/>
            <w:tcMar>
              <w:top w:type="dxa" w:w="60"/>
              <w:left w:type="dxa" w:w="100"/>
              <w:bottom w:type="dxa" w:w="60"/>
              <w:right w:type="dxa" w:w="100"/>
            </w:tcMar>
            <w:vAlign w:val="center"/>
          </w:tcPr>
          <w:p>
            <w:pPr>
              <w:jc w:val="left"/>
            </w:pPr>
            <w:r>
              <w:rPr>
                <w:b w:val="false"/>
                <w:bCs w:val="false"/>
                <w:sz w:val="18"/>
                <w:szCs w:val="18"/>
              </w:rPr>
              <w:t xml:space="preserve">System of record for all master data, transactions, costing results, audit and lineage</w:t>
            </w:r>
          </w:p>
        </w:tc>
        <w:tc>
          <w:tcPr>
            <w:tcW w:type="dxa" w:w="2300"/>
            <w:shd w:fill="F2F2F2" w:color="auto" w:val="clear"/>
            <w:tcMar>
              <w:top w:type="dxa" w:w="60"/>
              <w:left w:type="dxa" w:w="100"/>
              <w:bottom w:type="dxa" w:w="60"/>
              <w:right w:type="dxa" w:w="100"/>
            </w:tcMar>
            <w:vAlign w:val="center"/>
          </w:tcPr>
          <w:p>
            <w:pPr>
              <w:jc w:val="left"/>
            </w:pPr>
            <w:r>
              <w:rPr>
                <w:b w:val="false"/>
                <w:bCs w:val="false"/>
                <w:sz w:val="18"/>
                <w:szCs w:val="18"/>
              </w:rPr>
              <w:t xml:space="preserve">PostgreSQL</w:t>
            </w:r>
          </w:p>
        </w:tc>
      </w:tr>
      <w:tr>
        <w:tc>
          <w:tcPr>
            <w:tcW w:type="dxa" w:w="2200"/>
            <w:tcMar>
              <w:top w:type="dxa" w:w="60"/>
              <w:left w:type="dxa" w:w="100"/>
              <w:bottom w:type="dxa" w:w="60"/>
              <w:right w:type="dxa" w:w="100"/>
            </w:tcMar>
            <w:vAlign w:val="center"/>
          </w:tcPr>
          <w:p>
            <w:pPr>
              <w:jc w:val="left"/>
            </w:pPr>
            <w:r>
              <w:rPr>
                <w:b w:val="false"/>
                <w:bCs w:val="false"/>
                <w:sz w:val="18"/>
                <w:szCs w:val="18"/>
              </w:rPr>
              <w:t xml:space="preserve">File / Source Data Storage</w:t>
            </w:r>
          </w:p>
        </w:tc>
        <w:tc>
          <w:tcPr>
            <w:tcW w:type="dxa" w:w="5100"/>
            <w:tcMar>
              <w:top w:type="dxa" w:w="60"/>
              <w:left w:type="dxa" w:w="100"/>
              <w:bottom w:type="dxa" w:w="60"/>
              <w:right w:type="dxa" w:w="100"/>
            </w:tcMar>
            <w:vAlign w:val="center"/>
          </w:tcPr>
          <w:p>
            <w:pPr>
              <w:jc w:val="left"/>
            </w:pPr>
            <w:r>
              <w:rPr>
                <w:b w:val="false"/>
                <w:bCs w:val="false"/>
                <w:sz w:val="18"/>
                <w:szCs w:val="18"/>
              </w:rPr>
              <w:t xml:space="preserve">Stores original uploaded files immutably for lineage/evidence</w:t>
            </w:r>
          </w:p>
        </w:tc>
        <w:tc>
          <w:tcPr>
            <w:tcW w:type="dxa" w:w="2300"/>
            <w:tcMar>
              <w:top w:type="dxa" w:w="60"/>
              <w:left w:type="dxa" w:w="100"/>
              <w:bottom w:type="dxa" w:w="60"/>
              <w:right w:type="dxa" w:w="100"/>
            </w:tcMar>
            <w:vAlign w:val="center"/>
          </w:tcPr>
          <w:p>
            <w:pPr>
              <w:jc w:val="left"/>
            </w:pPr>
            <w:r>
              <w:rPr>
                <w:b w:val="false"/>
                <w:bCs w:val="false"/>
                <w:sz w:val="18"/>
                <w:szCs w:val="18"/>
              </w:rPr>
              <w:t xml:space="preserve">Server filesystem (MVP) — Proposed</w:t>
            </w:r>
          </w:p>
        </w:tc>
      </w:tr>
      <w:tr>
        <w:tc>
          <w:tcPr>
            <w:tcW w:type="dxa" w:w="2200"/>
            <w:shd w:fill="F2F2F2" w:color="auto" w:val="clear"/>
            <w:tcMar>
              <w:top w:type="dxa" w:w="60"/>
              <w:left w:type="dxa" w:w="100"/>
              <w:bottom w:type="dxa" w:w="60"/>
              <w:right w:type="dxa" w:w="100"/>
            </w:tcMar>
            <w:vAlign w:val="center"/>
          </w:tcPr>
          <w:p>
            <w:pPr>
              <w:jc w:val="left"/>
            </w:pPr>
            <w:r>
              <w:rPr>
                <w:b w:val="false"/>
                <w:bCs w:val="false"/>
                <w:sz w:val="18"/>
                <w:szCs w:val="18"/>
              </w:rPr>
              <w:t xml:space="preserve">AI Integration Layer</w:t>
            </w:r>
          </w:p>
        </w:tc>
        <w:tc>
          <w:tcPr>
            <w:tcW w:type="dxa" w:w="5100"/>
            <w:shd w:fill="F2F2F2" w:color="auto" w:val="clear"/>
            <w:tcMar>
              <w:top w:type="dxa" w:w="60"/>
              <w:left w:type="dxa" w:w="100"/>
              <w:bottom w:type="dxa" w:w="60"/>
              <w:right w:type="dxa" w:w="100"/>
            </w:tcMar>
            <w:vAlign w:val="center"/>
          </w:tcPr>
          <w:p>
            <w:pPr>
              <w:jc w:val="left"/>
            </w:pPr>
            <w:r>
              <w:rPr>
                <w:b w:val="false"/>
                <w:bCs w:val="false"/>
                <w:sz w:val="18"/>
                <w:szCs w:val="18"/>
              </w:rPr>
              <w:t xml:space="preserve">Wraps calls to the external AI service for mapping suggestions, natural-language analytics and observations; enforces AI governance (Section 23, Part 3)</w:t>
            </w:r>
          </w:p>
        </w:tc>
        <w:tc>
          <w:tcPr>
            <w:tcW w:type="dxa" w:w="2300"/>
            <w:shd w:fill="F2F2F2" w:color="auto" w:val="clear"/>
            <w:tcMar>
              <w:top w:type="dxa" w:w="60"/>
              <w:left w:type="dxa" w:w="100"/>
              <w:bottom w:type="dxa" w:w="60"/>
              <w:right w:type="dxa" w:w="100"/>
            </w:tcMar>
            <w:vAlign w:val="center"/>
          </w:tcPr>
          <w:p>
            <w:pPr>
              <w:jc w:val="left"/>
            </w:pPr>
            <w:r>
              <w:rPr>
                <w:b w:val="false"/>
                <w:bCs w:val="false"/>
                <w:sz w:val="18"/>
                <w:szCs w:val="18"/>
              </w:rPr>
              <w:t xml:space="preserve">PHP integration class(es); provider Proposed / To Be Confirmed</w:t>
            </w:r>
          </w:p>
        </w:tc>
      </w:tr>
    </w:tbl>
    <w:p>
      <w:pPr>
        <w:pStyle w:val="Heading2"/>
        <w:spacing w:after="160" w:before="320"/>
      </w:pPr>
      <w:r>
        <w:rPr>
          <w:b/>
          <w:bCs/>
        </w:rPr>
        <w:t xml:space="preserve">7.3 Layer Interaction Principle</w:t>
      </w:r>
    </w:p>
    <w:p>
      <w:pPr>
        <w:spacing w:after="160"/>
      </w:pPr>
      <w:r>
        <w:t xml:space="preserve">Requests flow strictly downward: Presentation → Controller → Business Logic → (Engines / Data Processing as applicable) → Database Access → PostgreSQL, with the Reporting Layer and AI Integration Layer consumed by the Controller layer as peer services. The Presentation Layer never calls the Database Access Layer directly, and the Costing/Calculation Engines never perform their own authorisation checks — access control is enforced once, at the Controller layer, per BR-SEC-003 (Part 3).</w:t>
      </w:r>
    </w:p>
    <w:p>
      <w:pPr>
        <w:pStyle w:val="Heading2"/>
        <w:spacing w:after="160" w:before="320"/>
      </w:pPr>
      <w:r>
        <w:rPr>
          <w:b/>
          <w:bCs/>
        </w:rPr>
        <w:t xml:space="preserve">7.4 Canonical Data Model Principle</w:t>
      </w:r>
    </w:p>
    <w:p>
      <w:pPr>
        <w:spacing w:after="160"/>
      </w:pPr>
      <w:r>
        <w:t xml:space="preserve">All engines operate exclusively on the Standard Data Model (the canonical schema described in the Data Dictionary, Section 16, Part 2), never on raw uploaded data directly. This is what allows Cost360 to support “any source”: the Mapping Engine is the only component responsible for translating a given customer's source layout into the standard model; everything downstream (validation, engines, reporting) is source-format-agnostic.</w:t>
      </w:r>
    </w:p>
    <w:p>
      <w:pPr>
        <w:pStyle w:val="Heading2"/>
        <w:spacing w:after="160" w:before="320"/>
      </w:pPr>
      <w:r>
        <w:rPr>
          <w:b/>
          <w:bCs/>
        </w:rPr>
        <w:t xml:space="preserve">7.5 High-Level Component Diagram (Textual)</w:t>
      </w:r>
    </w:p>
    <w:p>
      <w:pPr>
        <w:spacing w:after="160"/>
      </w:pPr>
      <w:r>
        <w:t xml:space="preserve">A formal Component Diagram (UML) is provided in Part 3, Section 32. At a high level: [Browser/UI] → [PHP Controllers] → [Business Logic Services] → {Import/Mapping Layer, Costing Engines, Reporting Layer} → [Database Access Layer] → [PostgreSQL]; with [File Storage] attached to the Import/Mapping Layer and [AI Integration Layer] attached to Business Logic Services and consumed by Mapping and Analytics/AI Copilot features.</w:t>
      </w:r>
    </w:p>
    <w:p>
      <w:pPr>
        <w:pStyle w:val="Heading2"/>
        <w:spacing w:after="160" w:before="320"/>
      </w:pPr>
      <w:r>
        <w:rPr>
          <w:b/>
          <w:bCs/>
        </w:rPr>
        <w:t xml:space="preserve">7.6 Deployment Overview (Summary)</w:t>
      </w:r>
    </w:p>
    <w:p>
      <w:pPr>
        <w:spacing w:after="160"/>
      </w:pPr>
      <w:r>
        <w:t xml:space="preserve">A full Deployment Architecture diagram and discussion is provided in Part 4, Section 33. In summary: User Browser → Web Server → PHP Application → Business Logic/Services → PostgreSQL, with File Storage, background job processing, logging/monitoring and (future) AI service access as supporting components on the same or an adjacent server for the academic deployment — Proposed / To Be Confirmed exact topology.</w:t>
      </w:r>
    </w:p>
    <w:p>
      <w:r>
        <w:br w:type="page"/>
      </w:r>
    </w:p>
    <w:p>
      <w:pPr>
        <w:pStyle w:val="Heading1"/>
        <w:spacing w:after="240" w:before="480"/>
      </w:pPr>
      <w:r>
        <w:rPr>
          <w:b/>
          <w:bCs/>
        </w:rPr>
        <w:t xml:space="preserve">9. Menu and Interface Specification</w:t>
      </w:r>
    </w:p>
    <w:p>
      <w:pPr>
        <w:spacing w:after="160"/>
      </w:pPr>
      <w:r>
        <w:t xml:space="preserve">The menu hierarchy below is the proposed baseline navigation for Cost360, reconciled with the modules named in the source functional note. Items not explicitly named in the source but required to support a documented requirement (e.g. a supporting master or configuration screen) are marked Proposed Supporting Interface. Actual menu visibility per role is governed by the RBAC Matrix (Section 4.7).</w:t>
      </w:r>
    </w:p>
    <w:p>
      <w:pPr>
        <w:pStyle w:val="Heading3"/>
        <w:spacing w:after="120" w:before="240"/>
      </w:pPr>
      <w:r>
        <w:rPr>
          <w:b/>
          <w:bCs/>
        </w:rPr>
        <w:t xml:space="preserve">9.1 Dashboard</w:t>
      </w:r>
    </w:p>
    <w:p>
      <w:pPr>
        <w:pStyle w:val="ListParagraph"/>
        <w:numPr>
          <w:ilvl w:val="0"/>
          <w:numId w:val="2"/>
        </w:numPr>
        <w:spacing w:after="80"/>
      </w:pPr>
      <w:r>
        <w:t xml:space="preserve">Dashboard (role-specific landing page — routes to Management / CMA / Product / Admin view based on role)</w:t>
      </w:r>
    </w:p>
    <w:p>
      <w:pPr>
        <w:pStyle w:val="Heading3"/>
        <w:spacing w:after="120" w:before="240"/>
      </w:pPr>
      <w:r>
        <w:rPr>
          <w:b/>
          <w:bCs/>
        </w:rPr>
        <w:t xml:space="preserve">9.2 Administration</w:t>
      </w:r>
    </w:p>
    <w:p>
      <w:pPr>
        <w:pStyle w:val="ListParagraph"/>
        <w:numPr>
          <w:ilvl w:val="0"/>
          <w:numId w:val="2"/>
        </w:numPr>
        <w:spacing w:after="80"/>
      </w:pPr>
      <w:r>
        <w:t xml:space="preserve">Platform Configuration [Proposed Supporting Interface]</w:t>
      </w:r>
    </w:p>
    <w:p>
      <w:pPr>
        <w:pStyle w:val="ListParagraph"/>
        <w:numPr>
          <w:ilvl w:val="0"/>
          <w:numId w:val="2"/>
        </w:numPr>
        <w:spacing w:after="80"/>
      </w:pPr>
      <w:r>
        <w:t xml:space="preserve">Customer Master</w:t>
      </w:r>
    </w:p>
    <w:p>
      <w:pPr>
        <w:pStyle w:val="ListParagraph"/>
        <w:numPr>
          <w:ilvl w:val="0"/>
          <w:numId w:val="2"/>
        </w:numPr>
        <w:spacing w:after="80"/>
      </w:pPr>
      <w:r>
        <w:t xml:space="preserve">Subscription Management</w:t>
      </w:r>
    </w:p>
    <w:p>
      <w:pPr>
        <w:pStyle w:val="ListParagraph"/>
        <w:numPr>
          <w:ilvl w:val="0"/>
          <w:numId w:val="2"/>
        </w:numPr>
        <w:spacing w:after="80"/>
      </w:pPr>
      <w:r>
        <w:t xml:space="preserve">Tenant Management</w:t>
      </w:r>
    </w:p>
    <w:p>
      <w:pPr>
        <w:pStyle w:val="ListParagraph"/>
        <w:numPr>
          <w:ilvl w:val="0"/>
          <w:numId w:val="2"/>
        </w:numPr>
        <w:spacing w:after="80"/>
      </w:pPr>
      <w:r>
        <w:t xml:space="preserve">User Master</w:t>
      </w:r>
    </w:p>
    <w:p>
      <w:pPr>
        <w:pStyle w:val="ListParagraph"/>
        <w:numPr>
          <w:ilvl w:val="0"/>
          <w:numId w:val="2"/>
        </w:numPr>
        <w:spacing w:after="80"/>
      </w:pPr>
      <w:r>
        <w:t xml:space="preserve">Role Master</w:t>
      </w:r>
    </w:p>
    <w:p>
      <w:pPr>
        <w:pStyle w:val="ListParagraph"/>
        <w:numPr>
          <w:ilvl w:val="0"/>
          <w:numId w:val="2"/>
        </w:numPr>
        <w:spacing w:after="80"/>
      </w:pPr>
      <w:r>
        <w:t xml:space="preserve">Menu Master [Proposed Supporting Interface]</w:t>
      </w:r>
    </w:p>
    <w:p>
      <w:pPr>
        <w:pStyle w:val="ListParagraph"/>
        <w:numPr>
          <w:ilvl w:val="0"/>
          <w:numId w:val="2"/>
        </w:numPr>
        <w:spacing w:after="80"/>
      </w:pPr>
      <w:r>
        <w:t xml:space="preserve">Permission Master [Proposed Supporting Interface]</w:t>
      </w:r>
    </w:p>
    <w:p>
      <w:pPr>
        <w:pStyle w:val="Heading3"/>
        <w:spacing w:after="120" w:before="240"/>
      </w:pPr>
      <w:r>
        <w:rPr>
          <w:b/>
          <w:bCs/>
        </w:rPr>
        <w:t xml:space="preserve">9.3 Organisation</w:t>
      </w:r>
    </w:p>
    <w:p>
      <w:pPr>
        <w:pStyle w:val="ListParagraph"/>
        <w:numPr>
          <w:ilvl w:val="0"/>
          <w:numId w:val="2"/>
        </w:numPr>
        <w:spacing w:after="80"/>
      </w:pPr>
      <w:r>
        <w:t xml:space="preserve">Company Master</w:t>
      </w:r>
    </w:p>
    <w:p>
      <w:pPr>
        <w:pStyle w:val="ListParagraph"/>
        <w:numPr>
          <w:ilvl w:val="0"/>
          <w:numId w:val="2"/>
        </w:numPr>
        <w:spacing w:after="80"/>
      </w:pPr>
      <w:r>
        <w:t xml:space="preserve">Division Master</w:t>
      </w:r>
    </w:p>
    <w:p>
      <w:pPr>
        <w:pStyle w:val="ListParagraph"/>
        <w:numPr>
          <w:ilvl w:val="0"/>
          <w:numId w:val="2"/>
        </w:numPr>
        <w:spacing w:after="80"/>
      </w:pPr>
      <w:r>
        <w:t xml:space="preserve">Plant Master</w:t>
      </w:r>
    </w:p>
    <w:p>
      <w:pPr>
        <w:pStyle w:val="ListParagraph"/>
        <w:numPr>
          <w:ilvl w:val="0"/>
          <w:numId w:val="2"/>
        </w:numPr>
        <w:spacing w:after="80"/>
      </w:pPr>
      <w:r>
        <w:t xml:space="preserve">Warehouse Master</w:t>
      </w:r>
    </w:p>
    <w:p>
      <w:pPr>
        <w:pStyle w:val="ListParagraph"/>
        <w:numPr>
          <w:ilvl w:val="0"/>
          <w:numId w:val="2"/>
        </w:numPr>
        <w:spacing w:after="80"/>
      </w:pPr>
      <w:r>
        <w:t xml:space="preserve">Financial Period Master</w:t>
      </w:r>
    </w:p>
    <w:p>
      <w:pPr>
        <w:pStyle w:val="ListParagraph"/>
        <w:numPr>
          <w:ilvl w:val="0"/>
          <w:numId w:val="2"/>
        </w:numPr>
        <w:spacing w:after="80"/>
      </w:pPr>
      <w:r>
        <w:t xml:space="preserve">Currency Master</w:t>
      </w:r>
    </w:p>
    <w:p>
      <w:pPr>
        <w:pStyle w:val="Heading3"/>
        <w:spacing w:after="120" w:before="240"/>
      </w:pPr>
      <w:r>
        <w:rPr>
          <w:b/>
          <w:bCs/>
        </w:rPr>
        <w:t xml:space="preserve">9.4 Master Data</w:t>
      </w:r>
    </w:p>
    <w:p>
      <w:pPr>
        <w:pStyle w:val="ListParagraph"/>
        <w:numPr>
          <w:ilvl w:val="0"/>
          <w:numId w:val="2"/>
        </w:numPr>
        <w:spacing w:after="80"/>
      </w:pPr>
      <w:r>
        <w:t xml:space="preserve">Item Master</w:t>
      </w:r>
    </w:p>
    <w:p>
      <w:pPr>
        <w:pStyle w:val="ListParagraph"/>
        <w:numPr>
          <w:ilvl w:val="0"/>
          <w:numId w:val="2"/>
        </w:numPr>
        <w:spacing w:after="80"/>
      </w:pPr>
      <w:r>
        <w:t xml:space="preserve">Product Master</w:t>
      </w:r>
    </w:p>
    <w:p>
      <w:pPr>
        <w:pStyle w:val="ListParagraph"/>
        <w:numPr>
          <w:ilvl w:val="0"/>
          <w:numId w:val="2"/>
        </w:numPr>
        <w:spacing w:after="80"/>
      </w:pPr>
      <w:r>
        <w:t xml:space="preserve">Item Category</w:t>
      </w:r>
    </w:p>
    <w:p>
      <w:pPr>
        <w:pStyle w:val="ListParagraph"/>
        <w:numPr>
          <w:ilvl w:val="0"/>
          <w:numId w:val="2"/>
        </w:numPr>
        <w:spacing w:after="80"/>
      </w:pPr>
      <w:r>
        <w:t xml:space="preserve">UOM Master</w:t>
      </w:r>
    </w:p>
    <w:p>
      <w:pPr>
        <w:pStyle w:val="ListParagraph"/>
        <w:numPr>
          <w:ilvl w:val="0"/>
          <w:numId w:val="2"/>
        </w:numPr>
        <w:spacing w:after="80"/>
      </w:pPr>
      <w:r>
        <w:t xml:space="preserve">UOM Conversion</w:t>
      </w:r>
    </w:p>
    <w:p>
      <w:pPr>
        <w:pStyle w:val="ListParagraph"/>
        <w:numPr>
          <w:ilvl w:val="0"/>
          <w:numId w:val="2"/>
        </w:numPr>
        <w:spacing w:after="80"/>
      </w:pPr>
      <w:r>
        <w:t xml:space="preserve">Vendor Master</w:t>
      </w:r>
    </w:p>
    <w:p>
      <w:pPr>
        <w:pStyle w:val="ListParagraph"/>
        <w:numPr>
          <w:ilvl w:val="0"/>
          <w:numId w:val="2"/>
        </w:numPr>
        <w:spacing w:after="80"/>
      </w:pPr>
      <w:r>
        <w:t xml:space="preserve">Customer Master</w:t>
      </w:r>
    </w:p>
    <w:p>
      <w:pPr>
        <w:pStyle w:val="ListParagraph"/>
        <w:numPr>
          <w:ilvl w:val="0"/>
          <w:numId w:val="2"/>
        </w:numPr>
        <w:spacing w:after="80"/>
      </w:pPr>
      <w:r>
        <w:t xml:space="preserve">Account Master</w:t>
      </w:r>
    </w:p>
    <w:p>
      <w:pPr>
        <w:pStyle w:val="ListParagraph"/>
        <w:numPr>
          <w:ilvl w:val="0"/>
          <w:numId w:val="2"/>
        </w:numPr>
        <w:spacing w:after="80"/>
      </w:pPr>
      <w:r>
        <w:t xml:space="preserve">Cost Centre Master</w:t>
      </w:r>
    </w:p>
    <w:p>
      <w:pPr>
        <w:pStyle w:val="ListParagraph"/>
        <w:numPr>
          <w:ilvl w:val="0"/>
          <w:numId w:val="2"/>
        </w:numPr>
        <w:spacing w:after="80"/>
      </w:pPr>
      <w:r>
        <w:t xml:space="preserve">Profit Centre Master</w:t>
      </w:r>
    </w:p>
    <w:p>
      <w:pPr>
        <w:pStyle w:val="ListParagraph"/>
        <w:numPr>
          <w:ilvl w:val="0"/>
          <w:numId w:val="2"/>
        </w:numPr>
        <w:spacing w:after="80"/>
      </w:pPr>
      <w:r>
        <w:t xml:space="preserve">GL Classification</w:t>
      </w:r>
    </w:p>
    <w:p>
      <w:pPr>
        <w:pStyle w:val="ListParagraph"/>
        <w:numPr>
          <w:ilvl w:val="0"/>
          <w:numId w:val="2"/>
        </w:numPr>
        <w:spacing w:after="80"/>
      </w:pPr>
      <w:r>
        <w:t xml:space="preserve">Cost Component Master</w:t>
      </w:r>
    </w:p>
    <w:p>
      <w:pPr>
        <w:pStyle w:val="ListParagraph"/>
        <w:numPr>
          <w:ilvl w:val="0"/>
          <w:numId w:val="2"/>
        </w:numPr>
        <w:spacing w:after="80"/>
      </w:pPr>
      <w:r>
        <w:t xml:space="preserve">Labour Rate Master</w:t>
      </w:r>
    </w:p>
    <w:p>
      <w:pPr>
        <w:pStyle w:val="ListParagraph"/>
        <w:numPr>
          <w:ilvl w:val="0"/>
          <w:numId w:val="2"/>
        </w:numPr>
        <w:spacing w:after="80"/>
      </w:pPr>
      <w:r>
        <w:t xml:space="preserve">Machine Rate Master</w:t>
      </w:r>
    </w:p>
    <w:p>
      <w:pPr>
        <w:pStyle w:val="ListParagraph"/>
        <w:numPr>
          <w:ilvl w:val="0"/>
          <w:numId w:val="2"/>
        </w:numPr>
        <w:spacing w:after="80"/>
      </w:pPr>
      <w:r>
        <w:t xml:space="preserve">BOM Master</w:t>
      </w:r>
    </w:p>
    <w:p>
      <w:pPr>
        <w:pStyle w:val="ListParagraph"/>
        <w:numPr>
          <w:ilvl w:val="0"/>
          <w:numId w:val="2"/>
        </w:numPr>
        <w:spacing w:after="80"/>
      </w:pPr>
      <w:r>
        <w:t xml:space="preserve">Standard Cost Master</w:t>
      </w:r>
    </w:p>
    <w:p>
      <w:pPr>
        <w:pStyle w:val="ListParagraph"/>
        <w:numPr>
          <w:ilvl w:val="0"/>
          <w:numId w:val="2"/>
        </w:numPr>
        <w:spacing w:after="80"/>
      </w:pPr>
      <w:r>
        <w:t xml:space="preserve">Allocation Rule Master</w:t>
      </w:r>
    </w:p>
    <w:p>
      <w:pPr>
        <w:pStyle w:val="Heading3"/>
        <w:spacing w:after="120" w:before="240"/>
      </w:pPr>
      <w:r>
        <w:rPr>
          <w:b/>
          <w:bCs/>
        </w:rPr>
        <w:t xml:space="preserve">9.5 Data Management</w:t>
      </w:r>
    </w:p>
    <w:p>
      <w:pPr>
        <w:pStyle w:val="ListParagraph"/>
        <w:numPr>
          <w:ilvl w:val="0"/>
          <w:numId w:val="2"/>
        </w:numPr>
        <w:spacing w:after="80"/>
      </w:pPr>
      <w:r>
        <w:t xml:space="preserve">Upload Centre</w:t>
      </w:r>
    </w:p>
    <w:p>
      <w:pPr>
        <w:pStyle w:val="ListParagraph"/>
        <w:numPr>
          <w:ilvl w:val="0"/>
          <w:numId w:val="2"/>
        </w:numPr>
        <w:spacing w:after="80"/>
      </w:pPr>
      <w:r>
        <w:t xml:space="preserve">Upload History</w:t>
      </w:r>
    </w:p>
    <w:p>
      <w:pPr>
        <w:pStyle w:val="ListParagraph"/>
        <w:numPr>
          <w:ilvl w:val="0"/>
          <w:numId w:val="2"/>
        </w:numPr>
        <w:spacing w:after="80"/>
      </w:pPr>
      <w:r>
        <w:t xml:space="preserve">Source System Master</w:t>
      </w:r>
    </w:p>
    <w:p>
      <w:pPr>
        <w:pStyle w:val="ListParagraph"/>
        <w:numPr>
          <w:ilvl w:val="0"/>
          <w:numId w:val="2"/>
        </w:numPr>
        <w:spacing w:after="80"/>
      </w:pPr>
      <w:r>
        <w:t xml:space="preserve">Mapping Configuration</w:t>
      </w:r>
    </w:p>
    <w:p>
      <w:pPr>
        <w:pStyle w:val="ListParagraph"/>
        <w:numPr>
          <w:ilvl w:val="0"/>
          <w:numId w:val="2"/>
        </w:numPr>
        <w:spacing w:after="80"/>
      </w:pPr>
      <w:r>
        <w:t xml:space="preserve">Mapping Dictionary</w:t>
      </w:r>
    </w:p>
    <w:p>
      <w:pPr>
        <w:pStyle w:val="ListParagraph"/>
        <w:numPr>
          <w:ilvl w:val="0"/>
          <w:numId w:val="2"/>
        </w:numPr>
        <w:spacing w:after="80"/>
      </w:pPr>
      <w:r>
        <w:t xml:space="preserve">Validation Centre</w:t>
      </w:r>
    </w:p>
    <w:p>
      <w:pPr>
        <w:pStyle w:val="ListParagraph"/>
        <w:numPr>
          <w:ilvl w:val="0"/>
          <w:numId w:val="2"/>
        </w:numPr>
        <w:spacing w:after="80"/>
      </w:pPr>
      <w:r>
        <w:t xml:space="preserve">Data Quality</w:t>
      </w:r>
    </w:p>
    <w:p>
      <w:pPr>
        <w:pStyle w:val="Heading3"/>
        <w:spacing w:after="120" w:before="240"/>
      </w:pPr>
      <w:r>
        <w:rPr>
          <w:b/>
          <w:bCs/>
        </w:rPr>
        <w:t xml:space="preserve">9.6 Costing</w:t>
      </w:r>
    </w:p>
    <w:p>
      <w:pPr>
        <w:pStyle w:val="ListParagraph"/>
        <w:numPr>
          <w:ilvl w:val="0"/>
          <w:numId w:val="2"/>
        </w:numPr>
        <w:spacing w:after="80"/>
      </w:pPr>
      <w:r>
        <w:t xml:space="preserve">Costing Workbench [Proposed Supporting Interface — orchestration screen]</w:t>
      </w:r>
    </w:p>
    <w:p>
      <w:pPr>
        <w:pStyle w:val="ListParagraph"/>
        <w:numPr>
          <w:ilvl w:val="0"/>
          <w:numId w:val="2"/>
        </w:numPr>
        <w:spacing w:after="80"/>
      </w:pPr>
      <w:r>
        <w:t xml:space="preserve">Inventory Valuation</w:t>
      </w:r>
    </w:p>
    <w:p>
      <w:pPr>
        <w:pStyle w:val="ListParagraph"/>
        <w:numPr>
          <w:ilvl w:val="0"/>
          <w:numId w:val="2"/>
        </w:numPr>
        <w:spacing w:after="80"/>
      </w:pPr>
      <w:r>
        <w:t xml:space="preserve">BOM Explosion</w:t>
      </w:r>
    </w:p>
    <w:p>
      <w:pPr>
        <w:pStyle w:val="ListParagraph"/>
        <w:numPr>
          <w:ilvl w:val="0"/>
          <w:numId w:val="2"/>
        </w:numPr>
        <w:spacing w:after="80"/>
      </w:pPr>
      <w:r>
        <w:t xml:space="preserve">Cost Roll-up</w:t>
      </w:r>
    </w:p>
    <w:p>
      <w:pPr>
        <w:pStyle w:val="ListParagraph"/>
        <w:numPr>
          <w:ilvl w:val="0"/>
          <w:numId w:val="2"/>
        </w:numPr>
        <w:spacing w:after="80"/>
      </w:pPr>
      <w:r>
        <w:t xml:space="preserve">Overhead Allocation</w:t>
      </w:r>
    </w:p>
    <w:p>
      <w:pPr>
        <w:pStyle w:val="ListParagraph"/>
        <w:numPr>
          <w:ilvl w:val="0"/>
          <w:numId w:val="2"/>
        </w:numPr>
        <w:spacing w:after="80"/>
      </w:pPr>
      <w:r>
        <w:t xml:space="preserve">Product Costing</w:t>
      </w:r>
    </w:p>
    <w:p>
      <w:pPr>
        <w:pStyle w:val="ListParagraph"/>
        <w:numPr>
          <w:ilvl w:val="0"/>
          <w:numId w:val="2"/>
        </w:numPr>
        <w:spacing w:after="80"/>
      </w:pPr>
      <w:r>
        <w:t xml:space="preserve">Standard vs Actual</w:t>
      </w:r>
    </w:p>
    <w:p>
      <w:pPr>
        <w:pStyle w:val="ListParagraph"/>
        <w:numPr>
          <w:ilvl w:val="0"/>
          <w:numId w:val="2"/>
        </w:numPr>
        <w:spacing w:after="80"/>
      </w:pPr>
      <w:r>
        <w:t xml:space="preserve">Variance Analysis</w:t>
      </w:r>
    </w:p>
    <w:p>
      <w:pPr>
        <w:pStyle w:val="ListParagraph"/>
        <w:numPr>
          <w:ilvl w:val="0"/>
          <w:numId w:val="2"/>
        </w:numPr>
        <w:spacing w:after="80"/>
      </w:pPr>
      <w:r>
        <w:t xml:space="preserve">Yield Analysis</w:t>
      </w:r>
    </w:p>
    <w:p>
      <w:pPr>
        <w:pStyle w:val="ListParagraph"/>
        <w:numPr>
          <w:ilvl w:val="0"/>
          <w:numId w:val="2"/>
        </w:numPr>
        <w:spacing w:after="80"/>
      </w:pPr>
      <w:r>
        <w:t xml:space="preserve">Cost Bridge</w:t>
      </w:r>
    </w:p>
    <w:p>
      <w:pPr>
        <w:pStyle w:val="ListParagraph"/>
        <w:numPr>
          <w:ilvl w:val="0"/>
          <w:numId w:val="2"/>
        </w:numPr>
        <w:spacing w:after="80"/>
      </w:pPr>
      <w:r>
        <w:t xml:space="preserve">Cost Investigation</w:t>
      </w:r>
    </w:p>
    <w:p>
      <w:pPr>
        <w:pStyle w:val="ListParagraph"/>
        <w:numPr>
          <w:ilvl w:val="0"/>
          <w:numId w:val="2"/>
        </w:numPr>
        <w:spacing w:after="80"/>
      </w:pPr>
      <w:r>
        <w:t xml:space="preserve">Cost Simulation [Phase 2]</w:t>
      </w:r>
    </w:p>
    <w:p>
      <w:pPr>
        <w:pStyle w:val="Heading3"/>
        <w:spacing w:after="120" w:before="240"/>
      </w:pPr>
      <w:r>
        <w:rPr>
          <w:b/>
          <w:bCs/>
        </w:rPr>
        <w:t xml:space="preserve">9.7 Reconciliation</w:t>
      </w:r>
    </w:p>
    <w:p>
      <w:pPr>
        <w:pStyle w:val="ListParagraph"/>
        <w:numPr>
          <w:ilvl w:val="0"/>
          <w:numId w:val="2"/>
        </w:numPr>
        <w:spacing w:after="80"/>
      </w:pPr>
      <w:r>
        <w:t xml:space="preserve">TB Reconciliation</w:t>
      </w:r>
    </w:p>
    <w:p>
      <w:pPr>
        <w:pStyle w:val="ListParagraph"/>
        <w:numPr>
          <w:ilvl w:val="0"/>
          <w:numId w:val="2"/>
        </w:numPr>
        <w:spacing w:after="80"/>
      </w:pPr>
      <w:r>
        <w:t xml:space="preserve">Inventory Reconciliation</w:t>
      </w:r>
    </w:p>
    <w:p>
      <w:pPr>
        <w:pStyle w:val="ListParagraph"/>
        <w:numPr>
          <w:ilvl w:val="0"/>
          <w:numId w:val="2"/>
        </w:numPr>
        <w:spacing w:after="80"/>
      </w:pPr>
      <w:r>
        <w:t xml:space="preserve">Production Reconciliation</w:t>
      </w:r>
    </w:p>
    <w:p>
      <w:pPr>
        <w:pStyle w:val="ListParagraph"/>
        <w:numPr>
          <w:ilvl w:val="0"/>
          <w:numId w:val="2"/>
        </w:numPr>
        <w:spacing w:after="80"/>
      </w:pPr>
      <w:r>
        <w:t xml:space="preserve">Consumption Reconciliation</w:t>
      </w:r>
    </w:p>
    <w:p>
      <w:pPr>
        <w:pStyle w:val="ListParagraph"/>
        <w:numPr>
          <w:ilvl w:val="0"/>
          <w:numId w:val="2"/>
        </w:numPr>
        <w:spacing w:after="80"/>
      </w:pPr>
      <w:r>
        <w:t xml:space="preserve">Costing Reconciliation</w:t>
      </w:r>
    </w:p>
    <w:p>
      <w:pPr>
        <w:pStyle w:val="Heading3"/>
        <w:spacing w:after="120" w:before="240"/>
      </w:pPr>
      <w:r>
        <w:rPr>
          <w:b/>
          <w:bCs/>
        </w:rPr>
        <w:t xml:space="preserve">9.8 Audit</w:t>
      </w:r>
    </w:p>
    <w:p>
      <w:pPr>
        <w:pStyle w:val="ListParagraph"/>
        <w:numPr>
          <w:ilvl w:val="0"/>
          <w:numId w:val="2"/>
        </w:numPr>
        <w:spacing w:after="80"/>
      </w:pPr>
      <w:r>
        <w:t xml:space="preserve">Audit Desk</w:t>
      </w:r>
    </w:p>
    <w:p>
      <w:pPr>
        <w:pStyle w:val="ListParagraph"/>
        <w:numPr>
          <w:ilvl w:val="0"/>
          <w:numId w:val="2"/>
        </w:numPr>
        <w:spacing w:after="80"/>
      </w:pPr>
      <w:r>
        <w:t xml:space="preserve">Exception Management</w:t>
      </w:r>
    </w:p>
    <w:p>
      <w:pPr>
        <w:pStyle w:val="ListParagraph"/>
        <w:numPr>
          <w:ilvl w:val="0"/>
          <w:numId w:val="2"/>
        </w:numPr>
        <w:spacing w:after="80"/>
      </w:pPr>
      <w:r>
        <w:t xml:space="preserve">Audit Trail</w:t>
      </w:r>
    </w:p>
    <w:p>
      <w:pPr>
        <w:pStyle w:val="ListParagraph"/>
        <w:numPr>
          <w:ilvl w:val="0"/>
          <w:numId w:val="2"/>
        </w:numPr>
        <w:spacing w:after="80"/>
      </w:pPr>
      <w:r>
        <w:t xml:space="preserve">Data Lineage</w:t>
      </w:r>
    </w:p>
    <w:p>
      <w:pPr>
        <w:pStyle w:val="ListParagraph"/>
        <w:numPr>
          <w:ilvl w:val="0"/>
          <w:numId w:val="2"/>
        </w:numPr>
        <w:spacing w:after="80"/>
      </w:pPr>
      <w:r>
        <w:t xml:space="preserve">Period Close</w:t>
      </w:r>
    </w:p>
    <w:p>
      <w:pPr>
        <w:pStyle w:val="ListParagraph"/>
        <w:numPr>
          <w:ilvl w:val="0"/>
          <w:numId w:val="2"/>
        </w:numPr>
        <w:spacing w:after="80"/>
      </w:pPr>
      <w:r>
        <w:t xml:space="preserve">Costing Versions</w:t>
      </w:r>
    </w:p>
    <w:p>
      <w:pPr>
        <w:pStyle w:val="Heading3"/>
        <w:spacing w:after="120" w:before="240"/>
      </w:pPr>
      <w:r>
        <w:rPr>
          <w:b/>
          <w:bCs/>
        </w:rPr>
        <w:t xml:space="preserve">9.9 Analytics</w:t>
      </w:r>
    </w:p>
    <w:p>
      <w:pPr>
        <w:pStyle w:val="ListParagraph"/>
        <w:numPr>
          <w:ilvl w:val="0"/>
          <w:numId w:val="2"/>
        </w:numPr>
        <w:spacing w:after="80"/>
      </w:pPr>
      <w:r>
        <w:t xml:space="preserve">Management Dashboard</w:t>
      </w:r>
    </w:p>
    <w:p>
      <w:pPr>
        <w:pStyle w:val="ListParagraph"/>
        <w:numPr>
          <w:ilvl w:val="0"/>
          <w:numId w:val="2"/>
        </w:numPr>
        <w:spacing w:after="80"/>
      </w:pPr>
      <w:r>
        <w:t xml:space="preserve">CMA Dashboard</w:t>
      </w:r>
    </w:p>
    <w:p>
      <w:pPr>
        <w:pStyle w:val="ListParagraph"/>
        <w:numPr>
          <w:ilvl w:val="0"/>
          <w:numId w:val="2"/>
        </w:numPr>
        <w:spacing w:after="80"/>
      </w:pPr>
      <w:r>
        <w:t xml:space="preserve">Product Dashboard</w:t>
      </w:r>
    </w:p>
    <w:p>
      <w:pPr>
        <w:pStyle w:val="ListParagraph"/>
        <w:numPr>
          <w:ilvl w:val="0"/>
          <w:numId w:val="2"/>
        </w:numPr>
        <w:spacing w:after="80"/>
      </w:pPr>
      <w:r>
        <w:t xml:space="preserve">Inventory Analytics [Phase 2]</w:t>
      </w:r>
    </w:p>
    <w:p>
      <w:pPr>
        <w:pStyle w:val="ListParagraph"/>
        <w:numPr>
          <w:ilvl w:val="0"/>
          <w:numId w:val="2"/>
        </w:numPr>
        <w:spacing w:after="80"/>
      </w:pPr>
      <w:r>
        <w:t xml:space="preserve">Cost Centre Analytics [Phase 2]</w:t>
      </w:r>
    </w:p>
    <w:p>
      <w:pPr>
        <w:pStyle w:val="ListParagraph"/>
        <w:numPr>
          <w:ilvl w:val="0"/>
          <w:numId w:val="2"/>
        </w:numPr>
        <w:spacing w:after="80"/>
      </w:pPr>
      <w:r>
        <w:t xml:space="preserve">Machine / Capacity Analytics [Phase 2]</w:t>
      </w:r>
    </w:p>
    <w:p>
      <w:pPr>
        <w:pStyle w:val="ListParagraph"/>
        <w:numPr>
          <w:ilvl w:val="0"/>
          <w:numId w:val="2"/>
        </w:numPr>
        <w:spacing w:after="80"/>
      </w:pPr>
      <w:r>
        <w:t xml:space="preserve">Product Profitability [Phase 2]</w:t>
      </w:r>
    </w:p>
    <w:p>
      <w:pPr>
        <w:pStyle w:val="ListParagraph"/>
        <w:numPr>
          <w:ilvl w:val="0"/>
          <w:numId w:val="2"/>
        </w:numPr>
        <w:spacing w:after="80"/>
      </w:pPr>
      <w:r>
        <w:t xml:space="preserve">AI Insights</w:t>
      </w:r>
    </w:p>
    <w:p>
      <w:pPr>
        <w:pStyle w:val="Heading3"/>
        <w:spacing w:after="120" w:before="240"/>
      </w:pPr>
      <w:r>
        <w:rPr>
          <w:b/>
          <w:bCs/>
        </w:rPr>
        <w:t xml:space="preserve">9.10 Reports</w:t>
      </w:r>
    </w:p>
    <w:p>
      <w:pPr>
        <w:pStyle w:val="ListParagraph"/>
        <w:numPr>
          <w:ilvl w:val="0"/>
          <w:numId w:val="2"/>
        </w:numPr>
        <w:spacing w:after="80"/>
      </w:pPr>
      <w:r>
        <w:t xml:space="preserve">Product Cost Sheet</w:t>
      </w:r>
    </w:p>
    <w:p>
      <w:pPr>
        <w:pStyle w:val="ListParagraph"/>
        <w:numPr>
          <w:ilvl w:val="0"/>
          <w:numId w:val="2"/>
        </w:numPr>
        <w:spacing w:after="80"/>
      </w:pPr>
      <w:r>
        <w:t xml:space="preserve">Product Cost Comparison</w:t>
      </w:r>
    </w:p>
    <w:p>
      <w:pPr>
        <w:pStyle w:val="ListParagraph"/>
        <w:numPr>
          <w:ilvl w:val="0"/>
          <w:numId w:val="2"/>
        </w:numPr>
        <w:spacing w:after="80"/>
      </w:pPr>
      <w:r>
        <w:t xml:space="preserve">Inventory Valuation Report</w:t>
      </w:r>
    </w:p>
    <w:p>
      <w:pPr>
        <w:pStyle w:val="ListParagraph"/>
        <w:numPr>
          <w:ilvl w:val="0"/>
          <w:numId w:val="2"/>
        </w:numPr>
        <w:spacing w:after="80"/>
      </w:pPr>
      <w:r>
        <w:t xml:space="preserve">FIFO Valuation Report</w:t>
      </w:r>
    </w:p>
    <w:p>
      <w:pPr>
        <w:pStyle w:val="ListParagraph"/>
        <w:numPr>
          <w:ilvl w:val="0"/>
          <w:numId w:val="2"/>
        </w:numPr>
        <w:spacing w:after="80"/>
      </w:pPr>
      <w:r>
        <w:t xml:space="preserve">Weighted Average Valuation Report</w:t>
      </w:r>
    </w:p>
    <w:p>
      <w:pPr>
        <w:pStyle w:val="ListParagraph"/>
        <w:numPr>
          <w:ilvl w:val="0"/>
          <w:numId w:val="2"/>
        </w:numPr>
        <w:spacing w:after="80"/>
      </w:pPr>
      <w:r>
        <w:t xml:space="preserve">BOM Cost Roll-up Report</w:t>
      </w:r>
    </w:p>
    <w:p>
      <w:pPr>
        <w:pStyle w:val="ListParagraph"/>
        <w:numPr>
          <w:ilvl w:val="0"/>
          <w:numId w:val="2"/>
        </w:numPr>
        <w:spacing w:after="80"/>
      </w:pPr>
      <w:r>
        <w:t xml:space="preserve">Standard vs Actual Report</w:t>
      </w:r>
    </w:p>
    <w:p>
      <w:pPr>
        <w:pStyle w:val="ListParagraph"/>
        <w:numPr>
          <w:ilvl w:val="0"/>
          <w:numId w:val="2"/>
        </w:numPr>
        <w:spacing w:after="80"/>
      </w:pPr>
      <w:r>
        <w:t xml:space="preserve">Material Consumption Report</w:t>
      </w:r>
    </w:p>
    <w:p>
      <w:pPr>
        <w:pStyle w:val="ListParagraph"/>
        <w:numPr>
          <w:ilvl w:val="0"/>
          <w:numId w:val="2"/>
        </w:numPr>
        <w:spacing w:after="80"/>
      </w:pPr>
      <w:r>
        <w:t xml:space="preserve">Yield Analysis Report</w:t>
      </w:r>
    </w:p>
    <w:p>
      <w:pPr>
        <w:pStyle w:val="ListParagraph"/>
        <w:numPr>
          <w:ilvl w:val="0"/>
          <w:numId w:val="2"/>
        </w:numPr>
        <w:spacing w:after="80"/>
      </w:pPr>
      <w:r>
        <w:t xml:space="preserve">Cost Bridge Report</w:t>
      </w:r>
    </w:p>
    <w:p>
      <w:pPr>
        <w:pStyle w:val="ListParagraph"/>
        <w:numPr>
          <w:ilvl w:val="0"/>
          <w:numId w:val="2"/>
        </w:numPr>
        <w:spacing w:after="80"/>
      </w:pPr>
      <w:r>
        <w:t xml:space="preserve">Variance Analysis Report</w:t>
      </w:r>
    </w:p>
    <w:p>
      <w:pPr>
        <w:pStyle w:val="ListParagraph"/>
        <w:numPr>
          <w:ilvl w:val="0"/>
          <w:numId w:val="2"/>
        </w:numPr>
        <w:spacing w:after="80"/>
      </w:pPr>
      <w:r>
        <w:t xml:space="preserve">Plant Cost Report</w:t>
      </w:r>
    </w:p>
    <w:p>
      <w:pPr>
        <w:pStyle w:val="ListParagraph"/>
        <w:numPr>
          <w:ilvl w:val="0"/>
          <w:numId w:val="2"/>
        </w:numPr>
        <w:spacing w:after="80"/>
      </w:pPr>
      <w:r>
        <w:t xml:space="preserve">Company Cost Report</w:t>
      </w:r>
    </w:p>
    <w:p>
      <w:pPr>
        <w:pStyle w:val="ListParagraph"/>
        <w:numPr>
          <w:ilvl w:val="0"/>
          <w:numId w:val="2"/>
        </w:numPr>
        <w:spacing w:after="80"/>
      </w:pPr>
      <w:r>
        <w:t xml:space="preserve">Cost Centre Report [Phase 2]</w:t>
      </w:r>
    </w:p>
    <w:p>
      <w:pPr>
        <w:pStyle w:val="ListParagraph"/>
        <w:numPr>
          <w:ilvl w:val="0"/>
          <w:numId w:val="2"/>
        </w:numPr>
        <w:spacing w:after="80"/>
      </w:pPr>
      <w:r>
        <w:t xml:space="preserve">Reconciliation Report</w:t>
      </w:r>
    </w:p>
    <w:p>
      <w:pPr>
        <w:pStyle w:val="ListParagraph"/>
        <w:numPr>
          <w:ilvl w:val="0"/>
          <w:numId w:val="2"/>
        </w:numPr>
        <w:spacing w:after="80"/>
      </w:pPr>
      <w:r>
        <w:t xml:space="preserve">Exception Report</w:t>
      </w:r>
    </w:p>
    <w:p>
      <w:pPr>
        <w:pStyle w:val="ListParagraph"/>
        <w:numPr>
          <w:ilvl w:val="0"/>
          <w:numId w:val="2"/>
        </w:numPr>
        <w:spacing w:after="80"/>
      </w:pPr>
      <w:r>
        <w:t xml:space="preserve">Audit Trail Report</w:t>
      </w:r>
    </w:p>
    <w:p>
      <w:pPr>
        <w:pStyle w:val="ListParagraph"/>
        <w:numPr>
          <w:ilvl w:val="0"/>
          <w:numId w:val="2"/>
        </w:numPr>
        <w:spacing w:after="80"/>
      </w:pPr>
      <w:r>
        <w:t xml:space="preserve">Product Profitability Report [Phase 2]</w:t>
      </w:r>
    </w:p>
    <w:p>
      <w:pPr>
        <w:pStyle w:val="ListParagraph"/>
        <w:numPr>
          <w:ilvl w:val="0"/>
          <w:numId w:val="2"/>
        </w:numPr>
        <w:spacing w:after="80"/>
      </w:pPr>
      <w:r>
        <w:t xml:space="preserve">Inventory Ageing Report [Phase 2]</w:t>
      </w:r>
    </w:p>
    <w:p>
      <w:pPr>
        <w:pStyle w:val="Heading3"/>
        <w:spacing w:after="120" w:before="240"/>
      </w:pPr>
      <w:r>
        <w:rPr>
          <w:b/>
          <w:bCs/>
        </w:rPr>
        <w:t xml:space="preserve">9.11 System</w:t>
      </w:r>
    </w:p>
    <w:p>
      <w:pPr>
        <w:pStyle w:val="ListParagraph"/>
        <w:numPr>
          <w:ilvl w:val="0"/>
          <w:numId w:val="2"/>
        </w:numPr>
        <w:spacing w:after="80"/>
      </w:pPr>
      <w:r>
        <w:t xml:space="preserve">Notifications</w:t>
      </w:r>
    </w:p>
    <w:p>
      <w:pPr>
        <w:pStyle w:val="ListParagraph"/>
        <w:numPr>
          <w:ilvl w:val="0"/>
          <w:numId w:val="2"/>
        </w:numPr>
        <w:spacing w:after="80"/>
      </w:pPr>
      <w:r>
        <w:t xml:space="preserve">Background Jobs</w:t>
      </w:r>
    </w:p>
    <w:p>
      <w:pPr>
        <w:pStyle w:val="ListParagraph"/>
        <w:numPr>
          <w:ilvl w:val="0"/>
          <w:numId w:val="2"/>
        </w:numPr>
        <w:spacing w:after="80"/>
      </w:pPr>
      <w:r>
        <w:t xml:space="preserve">System Logs</w:t>
      </w:r>
    </w:p>
    <w:p>
      <w:pPr>
        <w:pStyle w:val="ListParagraph"/>
        <w:numPr>
          <w:ilvl w:val="0"/>
          <w:numId w:val="2"/>
        </w:numPr>
        <w:spacing w:after="80"/>
      </w:pPr>
      <w:r>
        <w:t xml:space="preserve">Backup / Recovery [Proposed Supporting Interface]</w:t>
      </w:r>
    </w:p>
    <w:p>
      <w:pPr>
        <w:pStyle w:val="ListParagraph"/>
        <w:numPr>
          <w:ilvl w:val="0"/>
          <w:numId w:val="2"/>
        </w:numPr>
        <w:spacing w:after="80"/>
      </w:pPr>
      <w:r>
        <w:t xml:space="preserve">Configuration</w:t>
      </w:r>
    </w:p>
    <w:p>
      <w:pPr>
        <w:spacing w:after="200"/>
      </w:pPr>
    </w:p>
    <w:p>
      <w:pPr>
        <w:spacing w:after="160"/>
      </w:pPr>
      <w:r>
        <w:t xml:space="preserve">Full screen-level specifications (fields, actions, states) for the highest-priority screens in this menu are provided in Section 30 (Screen Layouts / Wireframes), Part 4.</w:t>
      </w:r>
    </w:p>
    <w:p>
      <w:r>
        <w:br w:type="pag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Cost360 — Software Requirements Specification (Part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60" w:before="32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2026-09-22T06:58:54.396Z</dcterms:created>
  <dcterms:modified xsi:type="dcterms:W3CDTF">2026-09-22T06:58:54.405Z</dcterms:modified>
</cp:coreProperties>
</file>

<file path=docProps/custom.xml><?xml version="1.0" encoding="utf-8"?>
<Properties xmlns="http://schemas.openxmlformats.org/officeDocument/2006/custom-properties" xmlns:vt="http://schemas.openxmlformats.org/officeDocument/2006/docPropsVTypes"/>
</file>