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72"/>
          <w:szCs w:val="72"/>
        </w:rPr>
        <w:t xml:space="preserve">COST360</w:t>
      </w:r>
    </w:p>
    <w:p>
      <w:pPr>
        <w:spacing w:after="100"/>
        <w:jc w:val="center"/>
      </w:pPr>
      <w:r>
        <w:rPr>
          <w:color w:val="595959"/>
          <w:sz w:val="28"/>
          <w:szCs w:val="28"/>
        </w:rPr>
        <w:t xml:space="preserve">Manufacturing Cost Intelligence, Product Costing &amp; Audit Platform</w:t>
      </w:r>
    </w:p>
    <w:p>
      <w:pPr>
        <w:spacing w:after="600"/>
        <w:jc w:val="center"/>
      </w:pPr>
      <w:r>
        <w:rPr>
          <w:i/>
          <w:iCs/>
          <w:color w:val="1F3864"/>
          <w:sz w:val="24"/>
          <w:szCs w:val="24"/>
        </w:rPr>
        <w:t xml:space="preserve">“Think Beyond Cost”</w:t>
      </w:r>
    </w:p>
    <w:p>
      <w:pPr>
        <w:spacing w:after="100"/>
        <w:jc w:val="center"/>
      </w:pPr>
      <w:r>
        <w:rPr>
          <w:b/>
          <w:bCs/>
          <w:sz w:val="32"/>
          <w:szCs w:val="32"/>
        </w:rPr>
        <w:t xml:space="preserve">SOFTWARE REQUIREMENTS SPECIFICATION — PART 4 (FINAL)</w:t>
      </w:r>
    </w:p>
    <w:p>
      <w:pPr>
        <w:spacing w:after="1200"/>
        <w:jc w:val="center"/>
      </w:pPr>
      <w:r>
        <w:rPr>
          <w:color w:val="595959"/>
          <w:sz w:val="20"/>
          <w:szCs w:val="20"/>
        </w:rPr>
        <w:t xml:space="preserve">Screens · Deployment · Test Strategy &amp; Cases · RTM · Assumptions · Risks · MVP/Future Scope · Glossary · References · Appendices</w:t>
      </w:r>
    </w:p>
    <w:p>
      <w:pPr>
        <w:spacing w:after="60"/>
        <w:jc w:val="center"/>
      </w:pPr>
      <w:r>
        <w:rPr>
          <w:sz w:val="20"/>
          <w:szCs w:val="20"/>
        </w:rPr>
        <w:t xml:space="preserve">Document ID: COST360-SRS-001</w:t>
      </w:r>
    </w:p>
    <w:p>
      <w:pPr>
        <w:spacing w:after="60"/>
        <w:jc w:val="center"/>
      </w:pPr>
      <w:r>
        <w:rPr>
          <w:sz w:val="20"/>
          <w:szCs w:val="20"/>
        </w:rPr>
        <w:t xml:space="preserve">Version: 0.1 (Draft — Part 4 of 4)</w:t>
      </w:r>
    </w:p>
    <w:p>
      <w:pPr>
        <w:spacing w:after="60"/>
        <w:jc w:val="center"/>
      </w:pPr>
      <w:r>
        <w:rPr>
          <w:sz w:val="20"/>
          <w:szCs w:val="20"/>
        </w:rPr>
        <w:t xml:space="preserve">Date: 24 September 2026</w:t>
      </w:r>
    </w:p>
    <w:p>
      <w:r>
        <w:br w:type="page"/>
      </w:r>
    </w:p>
    <w:p>
      <w:pPr>
        <w:pStyle w:val="Heading1"/>
        <w:spacing w:after="240" w:before="480"/>
      </w:pPr>
      <w:r>
        <w:rPr>
          <w:b/>
          <w:bCs/>
        </w:rPr>
        <w:t xml:space="preserve">Contents of This Part</w:t>
      </w:r>
    </w:p>
    <w:p>
      <w:pPr>
        <w:spacing w:after="160"/>
      </w:pPr>
      <w:r>
        <w:t xml:space="preserve">This is Part 4 of 4 — the final part — of the Cost360 SRS. It covers:</w:t>
      </w:r>
    </w:p>
    <w:p>
      <w:pPr>
        <w:pStyle w:val="ListParagraph"/>
        <w:numPr>
          <w:ilvl w:val="0"/>
          <w:numId w:val="2"/>
        </w:numPr>
        <w:spacing w:after="80"/>
      </w:pPr>
      <w:r>
        <w:t xml:space="preserve">Section 27 — Test Strategy and Test Plan</w:t>
      </w:r>
    </w:p>
    <w:p>
      <w:pPr>
        <w:pStyle w:val="ListParagraph"/>
        <w:numPr>
          <w:ilvl w:val="0"/>
          <w:numId w:val="2"/>
        </w:numPr>
        <w:spacing w:after="80"/>
      </w:pPr>
      <w:r>
        <w:t xml:space="preserve">Section 28 — Detailed Test Cases</w:t>
      </w:r>
    </w:p>
    <w:p>
      <w:pPr>
        <w:pStyle w:val="ListParagraph"/>
        <w:numPr>
          <w:ilvl w:val="0"/>
          <w:numId w:val="2"/>
        </w:numPr>
        <w:spacing w:after="80"/>
      </w:pPr>
      <w:r>
        <w:t xml:space="preserve">Section 29 — Requirements Traceability Matrix</w:t>
      </w:r>
    </w:p>
    <w:p>
      <w:pPr>
        <w:pStyle w:val="ListParagraph"/>
        <w:numPr>
          <w:ilvl w:val="0"/>
          <w:numId w:val="2"/>
        </w:numPr>
        <w:spacing w:after="80"/>
      </w:pPr>
      <w:r>
        <w:t xml:space="preserve">Section 30 — Screen Layouts / Wireframes</w:t>
      </w:r>
    </w:p>
    <w:p>
      <w:pPr>
        <w:pStyle w:val="ListParagraph"/>
        <w:numPr>
          <w:ilvl w:val="0"/>
          <w:numId w:val="2"/>
        </w:numPr>
        <w:spacing w:after="80"/>
      </w:pPr>
      <w:r>
        <w:t xml:space="preserve">Section 33 — Deployment Architecture</w:t>
      </w:r>
    </w:p>
    <w:p>
      <w:pPr>
        <w:pStyle w:val="ListParagraph"/>
        <w:numPr>
          <w:ilvl w:val="0"/>
          <w:numId w:val="2"/>
        </w:numPr>
        <w:spacing w:after="80"/>
      </w:pPr>
      <w:r>
        <w:t xml:space="preserve">Section 34 — Assumptions, Constraints and Open Functional Decisions</w:t>
      </w:r>
    </w:p>
    <w:p>
      <w:pPr>
        <w:pStyle w:val="ListParagraph"/>
        <w:numPr>
          <w:ilvl w:val="0"/>
          <w:numId w:val="2"/>
        </w:numPr>
        <w:spacing w:after="80"/>
      </w:pPr>
      <w:r>
        <w:t xml:space="preserve">Section 35 — Risks and Mitigation</w:t>
      </w:r>
    </w:p>
    <w:p>
      <w:pPr>
        <w:pStyle w:val="ListParagraph"/>
        <w:numPr>
          <w:ilvl w:val="0"/>
          <w:numId w:val="2"/>
        </w:numPr>
        <w:spacing w:after="80"/>
      </w:pPr>
      <w:r>
        <w:t xml:space="preserve">Section 36 — MVP Scope</w:t>
      </w:r>
    </w:p>
    <w:p>
      <w:pPr>
        <w:pStyle w:val="ListParagraph"/>
        <w:numPr>
          <w:ilvl w:val="0"/>
          <w:numId w:val="2"/>
        </w:numPr>
        <w:spacing w:after="80"/>
      </w:pPr>
      <w:r>
        <w:t xml:space="preserve">Section 37 — Future Scope / Roadmap</w:t>
      </w:r>
    </w:p>
    <w:p>
      <w:pPr>
        <w:pStyle w:val="ListParagraph"/>
        <w:numPr>
          <w:ilvl w:val="0"/>
          <w:numId w:val="2"/>
        </w:numPr>
        <w:spacing w:after="80"/>
      </w:pPr>
      <w:r>
        <w:t xml:space="preserve">Section 38 — Glossary</w:t>
      </w:r>
    </w:p>
    <w:p>
      <w:pPr>
        <w:pStyle w:val="ListParagraph"/>
        <w:numPr>
          <w:ilvl w:val="0"/>
          <w:numId w:val="2"/>
        </w:numPr>
        <w:spacing w:after="80"/>
      </w:pPr>
      <w:r>
        <w:t xml:space="preserve">Section 39 — References</w:t>
      </w:r>
    </w:p>
    <w:p>
      <w:pPr>
        <w:pStyle w:val="ListParagraph"/>
        <w:numPr>
          <w:ilvl w:val="0"/>
          <w:numId w:val="2"/>
        </w:numPr>
        <w:spacing w:after="80"/>
      </w:pPr>
      <w:r>
        <w:t xml:space="preserve">Section 40 — Appendices</w:t>
      </w:r>
    </w:p>
    <w:p>
      <w:pPr>
        <w:spacing w:after="160"/>
      </w:pPr>
      <w:r>
        <w:t xml:space="preserve">With this part, all 40 sections of the Cost360 SRS structure are complete across Parts 1–4. See Appendix A (Section 40, this Part) for instructions on merging the four parts into one submission-ready document.</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b/>
          <w:bCs/>
        </w:rPr>
        <w:t xml:space="preserve">27. Test Strategy and Test Plan</w:t>
      </w:r>
    </w:p>
    <w:p>
      <w:pPr>
        <w:pStyle w:val="Heading2"/>
        <w:spacing w:after="160" w:before="320"/>
      </w:pPr>
      <w:r>
        <w:rPr>
          <w:b/>
          <w:bCs/>
        </w:rPr>
        <w:t xml:space="preserve">27.1 Test Objectives</w:t>
      </w:r>
    </w:p>
    <w:p>
      <w:pPr>
        <w:pStyle w:val="ListParagraph"/>
        <w:numPr>
          <w:ilvl w:val="0"/>
          <w:numId w:val="2"/>
        </w:numPr>
        <w:spacing w:after="80"/>
      </w:pPr>
      <w:r>
        <w:t xml:space="preserve">Verify every functional requirement in Section 5 (Part 2) behaves as specified, including its alternate and exception flows.</w:t>
      </w:r>
    </w:p>
    <w:p>
      <w:pPr>
        <w:pStyle w:val="ListParagraph"/>
        <w:numPr>
          <w:ilvl w:val="0"/>
          <w:numId w:val="2"/>
        </w:numPr>
        <w:spacing w:after="80"/>
      </w:pPr>
      <w:r>
        <w:t xml:space="preserve">Verify every business rule (Section 18, Part 3) holds under the specific scenarios that exercise it, especially the financial-integrity rules (BR-INV-001, BR-COST-001, BR-PER-001).</w:t>
      </w:r>
    </w:p>
    <w:p>
      <w:pPr>
        <w:pStyle w:val="ListParagraph"/>
        <w:numPr>
          <w:ilvl w:val="0"/>
          <w:numId w:val="2"/>
        </w:numPr>
        <w:spacing w:after="80"/>
      </w:pPr>
      <w:r>
        <w:t xml:space="preserve">Verify RBAC and tenant isolation cannot be bypassed by any role or crafted request.</w:t>
      </w:r>
    </w:p>
    <w:p>
      <w:pPr>
        <w:pStyle w:val="ListParagraph"/>
        <w:numPr>
          <w:ilvl w:val="0"/>
          <w:numId w:val="2"/>
        </w:numPr>
        <w:spacing w:after="80"/>
      </w:pPr>
      <w:r>
        <w:t xml:space="preserve">Verify costing calculations are numerically correct and reproducible, with calculation accuracy taking precedence over UI polish (Section 27.6).</w:t>
      </w:r>
    </w:p>
    <w:p>
      <w:pPr>
        <w:pStyle w:val="Heading2"/>
        <w:spacing w:after="160" w:before="320"/>
      </w:pPr>
      <w:r>
        <w:rPr>
          <w:b/>
          <w:bCs/>
        </w:rPr>
        <w:t xml:space="preserve">27.2 Test Scope</w:t>
      </w:r>
    </w:p>
    <w:p>
      <w:pPr>
        <w:spacing w:after="160"/>
      </w:pPr>
      <w:r>
        <w:t xml:space="preserve">In scope: all MVP functional requirements (Section 5, Part 2 and Section 36, this Part), the database constraints of Section 17 (Part 2), RBAC (Section 4.7, Part 1), and the costing engines' numerical correctness.</w:t>
      </w:r>
    </w:p>
    <w:p>
      <w:pPr>
        <w:pStyle w:val="Heading2"/>
        <w:spacing w:after="160" w:before="320"/>
      </w:pPr>
      <w:r>
        <w:rPr>
          <w:b/>
          <w:bCs/>
        </w:rPr>
        <w:t xml:space="preserve">27.3 Out of Scope</w:t>
      </w:r>
    </w:p>
    <w:p>
      <w:pPr>
        <w:pStyle w:val="ListParagraph"/>
        <w:numPr>
          <w:ilvl w:val="0"/>
          <w:numId w:val="2"/>
        </w:numPr>
        <w:spacing w:after="80"/>
      </w:pPr>
      <w:r>
        <w:t xml:space="preserve">Phase 2/3 features (Cost Simulation, Make-or-Buy, WIP/Scrap/Co-product costing, Product Profitability, ERP API integration) — tested only at a stub/placeholder level, if at all, in this academic cycle.</w:t>
      </w:r>
    </w:p>
    <w:p>
      <w:pPr>
        <w:pStyle w:val="ListParagraph"/>
        <w:numPr>
          <w:ilvl w:val="0"/>
          <w:numId w:val="2"/>
        </w:numPr>
        <w:spacing w:after="80"/>
      </w:pPr>
      <w:r>
        <w:t xml:space="preserve">Load/stress testing at production-scale transaction volumes (Section 25, Part 3) — out of scope for the academic evaluation dataset.</w:t>
      </w:r>
    </w:p>
    <w:p>
      <w:pPr>
        <w:pStyle w:val="ListParagraph"/>
        <w:numPr>
          <w:ilvl w:val="0"/>
          <w:numId w:val="2"/>
        </w:numPr>
        <w:spacing w:after="80"/>
      </w:pPr>
      <w:r>
        <w:t xml:space="preserve">Formal penetration testing — out of scope; basic security test cases (Section 27.9-equivalent, see Section 28.10) cover OWASP-class risks at a functional level only.</w:t>
      </w:r>
    </w:p>
    <w:p>
      <w:pPr>
        <w:pStyle w:val="Heading2"/>
        <w:spacing w:after="160" w:before="320"/>
      </w:pPr>
      <w:r>
        <w:rPr>
          <w:b/>
          <w:bCs/>
        </w:rPr>
        <w:t xml:space="preserve">27.4 Testing Levels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5400"/>
        <w:gridCol w:w="20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Level</w:t>
            </w:r>
          </w:p>
        </w:tc>
        <w:tc>
          <w:tcPr>
            <w:tcW w:type="dxa" w:w="5400"/>
            <w:shd w:fill="1F3864" w:color="auto" w:val="clear"/>
            <w:tcMar>
              <w:top w:type="dxa" w:w="60"/>
              <w:left w:type="dxa" w:w="100"/>
              <w:bottom w:type="dxa" w:w="60"/>
              <w:right w:type="dxa" w:w="100"/>
            </w:tcMar>
            <w:vAlign w:val="center"/>
          </w:tcPr>
          <w:p>
            <w:pPr>
              <w:jc w:val="left"/>
            </w:pPr>
            <w:r>
              <w:rPr>
                <w:b/>
                <w:bCs/>
                <w:color w:val="FFFFFF"/>
                <w:sz w:val="18"/>
                <w:szCs w:val="18"/>
              </w:rPr>
              <w:t xml:space="preserve">Focus</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Owner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Unit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Individual PHP functions/classes, especially costing engine calculation functions in isolation (pure-function style per Section 7.2, Part 1).</w:t>
            </w:r>
          </w:p>
        </w:tc>
        <w:tc>
          <w:tcPr>
            <w:tcW w:type="dxa" w:w="2000"/>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Integration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Interaction between layers, e.g. Controller → Business Logic → Database Access; Mapping → Validation → Engine chain.</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Developer / self-test</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System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End-to-end scenarios against the full application (Section 28 detailed test cases).</w:t>
            </w:r>
          </w:p>
        </w:tc>
        <w:tc>
          <w:tcPr>
            <w:tcW w:type="dxa" w:w="2000"/>
            <w:tcMar>
              <w:top w:type="dxa" w:w="60"/>
              <w:left w:type="dxa" w:w="100"/>
              <w:bottom w:type="dxa" w:w="60"/>
              <w:right w:type="dxa" w:w="100"/>
            </w:tcMar>
            <w:vAlign w:val="center"/>
          </w:tcPr>
          <w:p>
            <w:pPr>
              <w:jc w:val="left"/>
            </w:pPr>
            <w:r>
              <w:rPr>
                <w:b w:val="false"/>
                <w:bCs w:val="false"/>
                <w:sz w:val="18"/>
                <w:szCs w:val="18"/>
              </w:rPr>
              <w:t xml:space="preserve">Developer / self-test</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Regression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Re-running the Golden Reference Dataset (Section 27.7) after any engine or schema change to confirm results are unchanged.</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Performance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Basic checks against the Proposed Targets in Section 6.1/25 (Part 3) using the demonstration dataset.</w:t>
            </w:r>
          </w:p>
        </w:tc>
        <w:tc>
          <w:tcPr>
            <w:tcW w:type="dxa" w:w="2000"/>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Security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RBAC and tenant-isolation test cases (Section 28.10); basic input-validation checks.</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Usability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Informal walkthrough against the Section 6.6 (Part 3) usability requirements.</w:t>
            </w:r>
          </w:p>
        </w:tc>
        <w:tc>
          <w:tcPr>
            <w:tcW w:type="dxa" w:w="2000"/>
            <w:tcMar>
              <w:top w:type="dxa" w:w="60"/>
              <w:left w:type="dxa" w:w="100"/>
              <w:bottom w:type="dxa" w:w="60"/>
              <w:right w:type="dxa" w:w="100"/>
            </w:tcMar>
            <w:vAlign w:val="center"/>
          </w:tcPr>
          <w:p>
            <w:pPr>
              <w:jc w:val="left"/>
            </w:pPr>
            <w:r>
              <w:rPr>
                <w:b w:val="false"/>
                <w:bCs w:val="false"/>
                <w:sz w:val="18"/>
                <w:szCs w:val="18"/>
              </w:rPr>
              <w:t xml:space="preserve">Developer / peer review</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User Acceptance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Project guide / evaluator walkthrough of key workflows (upload → costing → period close) during viva.</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Project guide</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Database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Constraint enforcement (Section 17.6–17.8, Part 2), referential integrity, transaction rollback behaviour.</w:t>
            </w:r>
          </w:p>
        </w:tc>
        <w:tc>
          <w:tcPr>
            <w:tcW w:type="dxa" w:w="2000"/>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Calculation Accuracy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27.6 — given highest priority of all testing levels.</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Data Migration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N/A for MVP (no migration from a predecessor system) — Proposed, To Be Confirmed.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File Upload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28.2 — valid/invalid/boundary file scenarios.</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Role/Permission Testing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Section 28.10 — every RBAC cell from Section 4.7 (Part 1) spot-checked.</w:t>
            </w:r>
          </w:p>
        </w:tc>
        <w:tc>
          <w:tcPr>
            <w:tcW w:type="dxa" w:w="2000"/>
            <w:tcMar>
              <w:top w:type="dxa" w:w="60"/>
              <w:left w:type="dxa" w:w="100"/>
              <w:bottom w:type="dxa" w:w="60"/>
              <w:right w:type="dxa" w:w="100"/>
            </w:tcMar>
            <w:vAlign w:val="center"/>
          </w:tcPr>
          <w:p>
            <w:pPr>
              <w:jc w:val="left"/>
            </w:pPr>
            <w:r>
              <w:rPr>
                <w:b w:val="false"/>
                <w:bCs w:val="false"/>
                <w:sz w:val="18"/>
                <w:szCs w:val="18"/>
              </w:rPr>
              <w:t xml:space="preserve">Developer</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Testing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28.11 — every logged action class from Section 21.1 (Part 3) verified to produce an audit_trail row.</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Developer</w:t>
            </w:r>
          </w:p>
        </w:tc>
      </w:tr>
    </w:tbl>
    <w:p>
      <w:pPr>
        <w:spacing w:after="200"/>
      </w:pPr>
    </w:p>
    <w:p>
      <w:pPr>
        <w:pStyle w:val="Heading2"/>
        <w:spacing w:after="160" w:before="320"/>
      </w:pPr>
      <w:r>
        <w:rPr>
          <w:b/>
          <w:bCs/>
        </w:rPr>
        <w:t xml:space="preserve">27.5 Golden Reference Dataset</w:t>
      </w:r>
    </w:p>
    <w:p>
      <w:pPr>
        <w:spacing w:after="160"/>
      </w:pPr>
      <w:r>
        <w:t xml:space="preserve">A Golden Reference Dataset is a small, hand-verified set of source files and their expected outputs, used both to validate the canonical data model end-to-end and as the regression baseline for every subsequent code change.</w:t>
      </w:r>
    </w:p>
    <w:p>
      <w:pPr>
        <w:pStyle w:val="ListParagraph"/>
        <w:numPr>
          <w:ilvl w:val="0"/>
          <w:numId w:val="2"/>
        </w:numPr>
        <w:spacing w:after="80"/>
      </w:pPr>
      <w:r>
        <w:t xml:space="preserve">Trial Balance (a small, internally consistent TB with known debit=credit totals)</w:t>
      </w:r>
    </w:p>
    <w:p>
      <w:pPr>
        <w:pStyle w:val="ListParagraph"/>
        <w:numPr>
          <w:ilvl w:val="0"/>
          <w:numId w:val="2"/>
        </w:numPr>
        <w:spacing w:after="80"/>
      </w:pPr>
      <w:r>
        <w:t xml:space="preserve">Stock statement / inventory transactions (opening balance, a handful of receipts and issues with known costs, covering all four valuation methods across different items)</w:t>
      </w:r>
    </w:p>
    <w:p>
      <w:pPr>
        <w:pStyle w:val="ListParagraph"/>
        <w:numPr>
          <w:ilvl w:val="0"/>
          <w:numId w:val="2"/>
        </w:numPr>
        <w:spacing w:after="80"/>
      </w:pPr>
      <w:r>
        <w:t xml:space="preserve">BOM (a 2–3 level structure for at least one finished product, including one item deliberately excluded from any cycle to prove BR-BOM-001 does not false-positive)</w:t>
      </w:r>
    </w:p>
    <w:p>
      <w:pPr>
        <w:pStyle w:val="ListParagraph"/>
        <w:numPr>
          <w:ilvl w:val="0"/>
          <w:numId w:val="2"/>
        </w:numPr>
        <w:spacing w:after="80"/>
      </w:pPr>
      <w:r>
        <w:t xml:space="preserve">Standard Cost (rates for every component of the BOM's items)</w:t>
      </w:r>
    </w:p>
    <w:p>
      <w:pPr>
        <w:pStyle w:val="ListParagraph"/>
        <w:numPr>
          <w:ilvl w:val="0"/>
          <w:numId w:val="2"/>
        </w:numPr>
        <w:spacing w:after="80"/>
      </w:pPr>
      <w:r>
        <w:t xml:space="preserve">Product Master, UOM (including at least one non-trivial conversion), Cost Centre</w:t>
      </w:r>
    </w:p>
    <w:p>
      <w:pPr>
        <w:pStyle w:val="ListParagraph"/>
        <w:numPr>
          <w:ilvl w:val="0"/>
          <w:numId w:val="2"/>
        </w:numPr>
        <w:spacing w:after="80"/>
      </w:pPr>
      <w:r>
        <w:t xml:space="preserve">Previous period data (to exercise period-over-period comparison and variance)</w:t>
      </w:r>
    </w:p>
    <w:p>
      <w:pPr>
        <w:pStyle w:val="ListParagraph"/>
        <w:numPr>
          <w:ilvl w:val="0"/>
          <w:numId w:val="2"/>
        </w:numPr>
        <w:spacing w:after="80"/>
      </w:pPr>
      <w:r>
        <w:t xml:space="preserve">Production data (output quantities to drive Yield/Variance test cases)</w:t>
      </w:r>
    </w:p>
    <w:p>
      <w:pPr>
        <w:spacing w:after="160"/>
      </w:pPr>
      <w:r>
        <w:t xml:space="preserve">For this dataset, expected inventory valuation, BOM roll-up cost, product cost, and variance figures are calculated by hand (or in a spreadsheet, independently of the application) ahead of time, so that a system run's output can be compared against a trusted, independently-derived expected result — this is the release-acceptance check before any Golden Reference Dataset-based regression is considered passing.</w:t>
      </w:r>
    </w:p>
    <w:p>
      <w:pPr>
        <w:pStyle w:val="Heading2"/>
        <w:spacing w:after="160" w:before="320"/>
      </w:pPr>
      <w:r>
        <w:rPr>
          <w:b/>
          <w:bCs/>
        </w:rPr>
        <w:t xml:space="preserve">27.6 Costing Engine Testing — Priority Statement</w:t>
      </w:r>
    </w:p>
    <w:p>
      <w:pPr>
        <w:spacing w:after="160"/>
      </w:pPr>
      <w:r>
        <w:t xml:space="preserve">Calculation accuracy takes precedence over UI sophistication throughout this project. A costing engine that produces a wrong number in a well-designed screen is a worse outcome than a correct number in a plain screen. Every costing engine (Inventory Valuation, BOM, Cost, Allocation, Variance, Reconciliation) must pass its Golden Reference Dataset comparison before any UI polish work on that engine's screens is considered a priority.</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7300"/>
      </w:tblGrid>
      <w:tr>
        <w:trPr>
          <w:tblHeader/>
        </w:trPr>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Engine</w:t>
            </w:r>
          </w:p>
        </w:tc>
        <w:tc>
          <w:tcPr>
            <w:tcW w:type="dxa" w:w="73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 Test Scenarios</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Inventory Valuation</w:t>
            </w:r>
          </w:p>
        </w:tc>
        <w:tc>
          <w:tcPr>
            <w:tcW w:type="dxa" w:w="7300"/>
            <w:tcMar>
              <w:top w:type="dxa" w:w="60"/>
              <w:left w:type="dxa" w:w="100"/>
              <w:bottom w:type="dxa" w:w="60"/>
              <w:right w:type="dxa" w:w="100"/>
            </w:tcMar>
            <w:vAlign w:val="center"/>
          </w:tcPr>
          <w:p>
            <w:pPr>
              <w:jc w:val="left"/>
            </w:pPr>
            <w:r>
              <w:rPr>
                <w:b w:val="false"/>
                <w:bCs w:val="false"/>
                <w:sz w:val="18"/>
                <w:szCs w:val="18"/>
              </w:rPr>
              <w:t xml:space="preserve">FIFO layer consumption order; Periodic WAC recomputation; Moving WAC recomputation after each receipt; Specific Cost lot matching; negative inventory handling; UOM conversion mid-calculation; inventory adjustment; effective-date boundary at period start/end.</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BOM</w:t>
            </w:r>
          </w:p>
        </w:tc>
        <w:tc>
          <w:tcPr>
            <w:tcW w:type="dxa" w:w="7300"/>
            <w:shd w:fill="F2F2F2" w:color="auto" w:val="clear"/>
            <w:tcMar>
              <w:top w:type="dxa" w:w="60"/>
              <w:left w:type="dxa" w:w="100"/>
              <w:bottom w:type="dxa" w:w="60"/>
              <w:right w:type="dxa" w:w="100"/>
            </w:tcMar>
            <w:vAlign w:val="center"/>
          </w:tcPr>
          <w:p>
            <w:pPr>
              <w:jc w:val="left"/>
            </w:pPr>
            <w:r>
              <w:rPr>
                <w:b w:val="false"/>
                <w:bCs w:val="false"/>
                <w:sz w:val="18"/>
                <w:szCs w:val="18"/>
              </w:rPr>
              <w:t xml:space="preserve">Multi-level explosion (3+ levels); circular reference detection; scrap % application; UOM conversion at each level.</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Costing</w:t>
            </w:r>
          </w:p>
        </w:tc>
        <w:tc>
          <w:tcPr>
            <w:tcW w:type="dxa" w:w="7300"/>
            <w:tcMar>
              <w:top w:type="dxa" w:w="60"/>
              <w:left w:type="dxa" w:w="100"/>
              <w:bottom w:type="dxa" w:w="60"/>
              <w:right w:type="dxa" w:w="100"/>
            </w:tcMar>
            <w:vAlign w:val="center"/>
          </w:tcPr>
          <w:p>
            <w:pPr>
              <w:jc w:val="left"/>
            </w:pPr>
            <w:r>
              <w:rPr>
                <w:b w:val="false"/>
                <w:bCs w:val="false"/>
                <w:sz w:val="18"/>
                <w:szCs w:val="18"/>
              </w:rPr>
              <w:t xml:space="preserve">BR-COST-001 identity; Standard vs Actual mode switch; missing-component blocking.</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Allocation</w:t>
            </w:r>
          </w:p>
        </w:tc>
        <w:tc>
          <w:tcPr>
            <w:tcW w:type="dxa" w:w="7300"/>
            <w:shd w:fill="F2F2F2" w:color="auto" w:val="clear"/>
            <w:tcMar>
              <w:top w:type="dxa" w:w="60"/>
              <w:left w:type="dxa" w:w="100"/>
              <w:bottom w:type="dxa" w:w="60"/>
              <w:right w:type="dxa" w:w="100"/>
            </w:tcMar>
            <w:vAlign w:val="center"/>
          </w:tcPr>
          <w:p>
            <w:pPr>
              <w:jc w:val="left"/>
            </w:pPr>
            <w:r>
              <w:rPr>
                <w:b w:val="false"/>
                <w:bCs w:val="false"/>
                <w:sz w:val="18"/>
                <w:szCs w:val="18"/>
              </w:rPr>
              <w:t xml:space="preserve">BR-ALLOC-001 identity (sum of allocations = pool amount); zero-driver edge case.</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Variance</w:t>
            </w:r>
          </w:p>
        </w:tc>
        <w:tc>
          <w:tcPr>
            <w:tcW w:type="dxa" w:w="7300"/>
            <w:tcMar>
              <w:top w:type="dxa" w:w="60"/>
              <w:left w:type="dxa" w:w="100"/>
              <w:bottom w:type="dxa" w:w="60"/>
              <w:right w:type="dxa" w:w="100"/>
            </w:tcMar>
            <w:vAlign w:val="center"/>
          </w:tcPr>
          <w:p>
            <w:pPr>
              <w:jc w:val="left"/>
            </w:pPr>
            <w:r>
              <w:rPr>
                <w:b w:val="false"/>
                <w:bCs w:val="false"/>
                <w:sz w:val="18"/>
                <w:szCs w:val="18"/>
              </w:rPr>
              <w:t xml:space="preserve">BR-VAR-001 identity (sum of sub-variances = total variance); missing-actual-data flagging.</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w:t>
            </w:r>
          </w:p>
        </w:tc>
        <w:tc>
          <w:tcPr>
            <w:tcW w:type="dxa" w:w="7300"/>
            <w:shd w:fill="F2F2F2" w:color="auto" w:val="clear"/>
            <w:tcMar>
              <w:top w:type="dxa" w:w="60"/>
              <w:left w:type="dxa" w:w="100"/>
              <w:bottom w:type="dxa" w:w="60"/>
              <w:right w:type="dxa" w:w="100"/>
            </w:tcMar>
            <w:vAlign w:val="center"/>
          </w:tcPr>
          <w:p>
            <w:pPr>
              <w:jc w:val="left"/>
            </w:pPr>
            <w:r>
              <w:rPr>
                <w:b w:val="false"/>
                <w:bCs w:val="false"/>
                <w:sz w:val="18"/>
                <w:szCs w:val="18"/>
              </w:rPr>
              <w:t xml:space="preserve">Tolerance boundary (exactly at, just inside, just outside); multiple recon types for the same period.</w:t>
            </w:r>
          </w:p>
        </w:tc>
      </w:tr>
    </w:tbl>
    <w:p>
      <w:r>
        <w:br w:type="page"/>
      </w:r>
    </w:p>
    <w:p>
      <w:pPr>
        <w:pStyle w:val="Heading1"/>
        <w:spacing w:after="240" w:before="480"/>
      </w:pPr>
      <w:r>
        <w:rPr>
          <w:b/>
          <w:bCs/>
        </w:rPr>
        <w:t xml:space="preserve">28. Detailed Test Cases</w:t>
      </w:r>
    </w:p>
    <w:p>
      <w:pPr>
        <w:spacing w:after="160"/>
      </w:pPr>
      <w:r>
        <w:t xml:space="preserve">Test cases are grouped by module below. Columns follow the required schema (Test Case ID, Module [see section heading], Requirement ID, Scenario, Preconditions, Test Data [folded into Scenario], Steps [folded into Scenario/Expected Result], Expected Result, Priority); Actual Result and Status are left as “Not Executed” pending the project team's test execution cycle — this document specifies the cases, execution is a subsequent project activity. Positive, negative, boundary and exception scenarios are included throughout, per the source note's requirement.</w:t>
      </w:r>
    </w:p>
    <w:p>
      <w:pPr>
        <w:pStyle w:val="Heading2"/>
        <w:spacing w:after="160" w:before="320"/>
      </w:pPr>
      <w:r>
        <w:rPr>
          <w:b/>
          <w:bCs/>
        </w:rPr>
        <w:t xml:space="preserve">28.1 Login and RBAC</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TC-001</w:t>
            </w:r>
          </w:p>
        </w:tc>
        <w:tc>
          <w:tcPr>
            <w:tcW w:type="dxa" w:w="900"/>
            <w:tcMar>
              <w:top w:type="dxa" w:w="60"/>
              <w:left w:type="dxa" w:w="100"/>
              <w:bottom w:type="dxa" w:w="60"/>
              <w:right w:type="dxa" w:w="100"/>
            </w:tcMar>
            <w:vAlign w:val="center"/>
          </w:tcPr>
          <w:p>
            <w:pPr>
              <w:jc w:val="left"/>
            </w:pPr>
            <w:r>
              <w:rPr>
                <w:b w:val="false"/>
                <w:bCs w:val="false"/>
                <w:sz w:val="18"/>
                <w:szCs w:val="18"/>
              </w:rPr>
              <w:t xml:space="preserve">FR-AUTH-001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Valid CMA credentials submitted.</w:t>
            </w:r>
          </w:p>
        </w:tc>
        <w:tc>
          <w:tcPr>
            <w:tcW w:type="dxa" w:w="1500"/>
            <w:tcMar>
              <w:top w:type="dxa" w:w="60"/>
              <w:left w:type="dxa" w:w="100"/>
              <w:bottom w:type="dxa" w:w="60"/>
              <w:right w:type="dxa" w:w="100"/>
            </w:tcMar>
            <w:vAlign w:val="center"/>
          </w:tcPr>
          <w:p>
            <w:pPr>
              <w:jc w:val="left"/>
            </w:pPr>
            <w:r>
              <w:rPr>
                <w:b w:val="false"/>
                <w:bCs w:val="false"/>
                <w:sz w:val="18"/>
                <w:szCs w:val="18"/>
              </w:rPr>
              <w:t xml:space="preserve">Active CMA account exists.</w:t>
            </w:r>
          </w:p>
        </w:tc>
        <w:tc>
          <w:tcPr>
            <w:tcW w:type="dxa" w:w="2400"/>
            <w:tcMar>
              <w:top w:type="dxa" w:w="60"/>
              <w:left w:type="dxa" w:w="100"/>
              <w:bottom w:type="dxa" w:w="60"/>
              <w:right w:type="dxa" w:w="100"/>
            </w:tcMar>
            <w:vAlign w:val="center"/>
          </w:tcPr>
          <w:p>
            <w:pPr>
              <w:jc w:val="left"/>
            </w:pPr>
            <w:r>
              <w:rPr>
                <w:b w:val="false"/>
                <w:bCs w:val="false"/>
                <w:sz w:val="18"/>
                <w:szCs w:val="18"/>
              </w:rPr>
              <w:t xml:space="preserve">Session created; redirected to CMA Dashboard.</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TC-002</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FR-AUTH-001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Invalid password submitted.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Active account exists.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Generic invalid-credentials error; failed attempt logged.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TC-003</w:t>
            </w:r>
          </w:p>
        </w:tc>
        <w:tc>
          <w:tcPr>
            <w:tcW w:type="dxa" w:w="900"/>
            <w:tcMar>
              <w:top w:type="dxa" w:w="60"/>
              <w:left w:type="dxa" w:w="100"/>
              <w:bottom w:type="dxa" w:w="60"/>
              <w:right w:type="dxa" w:w="100"/>
            </w:tcMar>
            <w:vAlign w:val="center"/>
          </w:tcPr>
          <w:p>
            <w:pPr>
              <w:jc w:val="left"/>
            </w:pPr>
            <w:r>
              <w:rPr>
                <w:b w:val="false"/>
                <w:bCs w:val="false"/>
                <w:sz w:val="18"/>
                <w:szCs w:val="18"/>
              </w:rPr>
              <w:t xml:space="preserve">FR-AUTH-001, BR-SEC-004</w:t>
            </w:r>
          </w:p>
        </w:tc>
        <w:tc>
          <w:tcPr>
            <w:tcW w:type="dxa" w:w="2500"/>
            <w:tcMar>
              <w:top w:type="dxa" w:w="60"/>
              <w:left w:type="dxa" w:w="100"/>
              <w:bottom w:type="dxa" w:w="60"/>
              <w:right w:type="dxa" w:w="100"/>
            </w:tcMar>
            <w:vAlign w:val="center"/>
          </w:tcPr>
          <w:p>
            <w:pPr>
              <w:jc w:val="left"/>
            </w:pPr>
            <w:r>
              <w:rPr>
                <w:b w:val="false"/>
                <w:bCs w:val="false"/>
                <w:sz w:val="18"/>
                <w:szCs w:val="18"/>
              </w:rPr>
              <w:t xml:space="preserve">6th consecutive failed login within 15 min (boundary).</w:t>
            </w:r>
          </w:p>
        </w:tc>
        <w:tc>
          <w:tcPr>
            <w:tcW w:type="dxa" w:w="1500"/>
            <w:tcMar>
              <w:top w:type="dxa" w:w="60"/>
              <w:left w:type="dxa" w:w="100"/>
              <w:bottom w:type="dxa" w:w="60"/>
              <w:right w:type="dxa" w:w="100"/>
            </w:tcMar>
            <w:vAlign w:val="center"/>
          </w:tcPr>
          <w:p>
            <w:pPr>
              <w:jc w:val="left"/>
            </w:pPr>
            <w:r>
              <w:rPr>
                <w:b w:val="false"/>
                <w:bCs w:val="false"/>
                <w:sz w:val="18"/>
                <w:szCs w:val="18"/>
              </w:rPr>
              <w:t xml:space="preserve">5 prior failed attempts logged.</w:t>
            </w:r>
          </w:p>
        </w:tc>
        <w:tc>
          <w:tcPr>
            <w:tcW w:type="dxa" w:w="2400"/>
            <w:tcMar>
              <w:top w:type="dxa" w:w="60"/>
              <w:left w:type="dxa" w:w="100"/>
              <w:bottom w:type="dxa" w:w="60"/>
              <w:right w:type="dxa" w:w="100"/>
            </w:tcMar>
            <w:vAlign w:val="center"/>
          </w:tcPr>
          <w:p>
            <w:pPr>
              <w:jc w:val="left"/>
            </w:pPr>
            <w:r>
              <w:rPr>
                <w:b w:val="false"/>
                <w:bCs w:val="false"/>
                <w:sz w:val="18"/>
                <w:szCs w:val="18"/>
              </w:rPr>
              <w:t xml:space="preserve">Account temporarily locked; specific lockout message shown.</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TC-004</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BR-SEC-002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CMA of Tenant A attempts to view Tenant B's costing data via a crafted URL/ID.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Two tenants exist with distinct data.</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Access denied; no Tenant B data returned (tenant isolation holds).</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TC-005</w:t>
            </w:r>
          </w:p>
        </w:tc>
        <w:tc>
          <w:tcPr>
            <w:tcW w:type="dxa" w:w="900"/>
            <w:tcMar>
              <w:top w:type="dxa" w:w="60"/>
              <w:left w:type="dxa" w:w="100"/>
              <w:bottom w:type="dxa" w:w="60"/>
              <w:right w:type="dxa" w:w="100"/>
            </w:tcMar>
            <w:vAlign w:val="center"/>
          </w:tcPr>
          <w:p>
            <w:pPr>
              <w:jc w:val="left"/>
            </w:pPr>
            <w:r>
              <w:rPr>
                <w:b w:val="false"/>
                <w:bCs w:val="false"/>
                <w:sz w:val="18"/>
                <w:szCs w:val="18"/>
              </w:rPr>
              <w:t xml:space="preserve">RBAC Matrix 4.7</w:t>
            </w:r>
          </w:p>
        </w:tc>
        <w:tc>
          <w:tcPr>
            <w:tcW w:type="dxa" w:w="2500"/>
            <w:tcMar>
              <w:top w:type="dxa" w:w="60"/>
              <w:left w:type="dxa" w:w="100"/>
              <w:bottom w:type="dxa" w:w="60"/>
              <w:right w:type="dxa" w:w="100"/>
            </w:tcMar>
            <w:vAlign w:val="center"/>
          </w:tcPr>
          <w:p>
            <w:pPr>
              <w:jc w:val="left"/>
            </w:pPr>
            <w:r>
              <w:rPr>
                <w:b w:val="false"/>
                <w:bCs w:val="false"/>
                <w:sz w:val="18"/>
                <w:szCs w:val="18"/>
              </w:rPr>
              <w:t xml:space="preserve">Management user attempts to POST an approval action on Audit Desk.</w:t>
            </w:r>
          </w:p>
        </w:tc>
        <w:tc>
          <w:tcPr>
            <w:tcW w:type="dxa" w:w="1500"/>
            <w:tcMar>
              <w:top w:type="dxa" w:w="60"/>
              <w:left w:type="dxa" w:w="100"/>
              <w:bottom w:type="dxa" w:w="60"/>
              <w:right w:type="dxa" w:w="100"/>
            </w:tcMar>
            <w:vAlign w:val="center"/>
          </w:tcPr>
          <w:p>
            <w:pPr>
              <w:jc w:val="left"/>
            </w:pPr>
            <w:r>
              <w:rPr>
                <w:b w:val="false"/>
                <w:bCs w:val="false"/>
                <w:sz w:val="18"/>
                <w:szCs w:val="18"/>
              </w:rPr>
              <w:t xml:space="preserve">Logged in as Management.</w:t>
            </w:r>
          </w:p>
        </w:tc>
        <w:tc>
          <w:tcPr>
            <w:tcW w:type="dxa" w:w="2400"/>
            <w:tcMar>
              <w:top w:type="dxa" w:w="60"/>
              <w:left w:type="dxa" w:w="100"/>
              <w:bottom w:type="dxa" w:w="60"/>
              <w:right w:type="dxa" w:w="100"/>
            </w:tcMar>
            <w:vAlign w:val="center"/>
          </w:tcPr>
          <w:p>
            <w:pPr>
              <w:jc w:val="left"/>
            </w:pPr>
            <w:r>
              <w:rPr>
                <w:b w:val="false"/>
                <w:bCs w:val="false"/>
                <w:sz w:val="18"/>
                <w:szCs w:val="18"/>
              </w:rPr>
              <w:t xml:space="preserve">Action rejected with “no permission”; audit_trail records the attempt.</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28.2 Upload Centre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TC-006</w:t>
            </w:r>
          </w:p>
        </w:tc>
        <w:tc>
          <w:tcPr>
            <w:tcW w:type="dxa" w:w="900"/>
            <w:tcMar>
              <w:top w:type="dxa" w:w="60"/>
              <w:left w:type="dxa" w:w="100"/>
              <w:bottom w:type="dxa" w:w="60"/>
              <w:right w:type="dxa" w:w="100"/>
            </w:tcMar>
            <w:vAlign w:val="center"/>
          </w:tcPr>
          <w:p>
            <w:pPr>
              <w:jc w:val="left"/>
            </w:pPr>
            <w:r>
              <w:rPr>
                <w:b w:val="false"/>
                <w:bCs w:val="false"/>
                <w:sz w:val="18"/>
                <w:szCs w:val="18"/>
              </w:rPr>
              <w:t xml:space="preserve">FR-UPL-001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Valid .xlsx Trial Balance uploaded for an open period.</w:t>
            </w:r>
          </w:p>
        </w:tc>
        <w:tc>
          <w:tcPr>
            <w:tcW w:type="dxa" w:w="1500"/>
            <w:tcMar>
              <w:top w:type="dxa" w:w="60"/>
              <w:left w:type="dxa" w:w="100"/>
              <w:bottom w:type="dxa" w:w="60"/>
              <w:right w:type="dxa" w:w="100"/>
            </w:tcMar>
            <w:vAlign w:val="center"/>
          </w:tcPr>
          <w:p>
            <w:pPr>
              <w:jc w:val="left"/>
            </w:pPr>
            <w:r>
              <w:rPr>
                <w:b w:val="false"/>
                <w:bCs w:val="false"/>
                <w:sz w:val="18"/>
                <w:szCs w:val="18"/>
              </w:rPr>
              <w:t xml:space="preserve">Period status = Open.</w:t>
            </w:r>
          </w:p>
        </w:tc>
        <w:tc>
          <w:tcPr>
            <w:tcW w:type="dxa" w:w="2400"/>
            <w:tcMar>
              <w:top w:type="dxa" w:w="60"/>
              <w:left w:type="dxa" w:w="100"/>
              <w:bottom w:type="dxa" w:w="60"/>
              <w:right w:type="dxa" w:w="100"/>
            </w:tcMar>
            <w:vAlign w:val="center"/>
          </w:tcPr>
          <w:p>
            <w:pPr>
              <w:jc w:val="left"/>
            </w:pPr>
            <w:r>
              <w:rPr>
                <w:b w:val="false"/>
                <w:bCs w:val="false"/>
                <w:sz w:val="18"/>
                <w:szCs w:val="18"/>
              </w:rPr>
              <w:t xml:space="preserve">Upload record created, status = Pending Mapping; file stored immutably.</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TC-007</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FR-UPL-001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a .txt file (unsupported type).</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n/a</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Rejected with specific “unsupported file type” error; no Upload record persisted.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TC-008</w:t>
            </w:r>
          </w:p>
        </w:tc>
        <w:tc>
          <w:tcPr>
            <w:tcW w:type="dxa" w:w="900"/>
            <w:tcMar>
              <w:top w:type="dxa" w:w="60"/>
              <w:left w:type="dxa" w:w="100"/>
              <w:bottom w:type="dxa" w:w="60"/>
              <w:right w:type="dxa" w:w="100"/>
            </w:tcMar>
            <w:vAlign w:val="center"/>
          </w:tcPr>
          <w:p>
            <w:pPr>
              <w:jc w:val="left"/>
            </w:pPr>
            <w:r>
              <w:rPr>
                <w:b w:val="false"/>
                <w:bCs w:val="false"/>
                <w:sz w:val="18"/>
                <w:szCs w:val="18"/>
              </w:rPr>
              <w:t xml:space="preserve">FR-UPL-001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Upload a zero-byte file.</w:t>
            </w:r>
          </w:p>
        </w:tc>
        <w:tc>
          <w:tcPr>
            <w:tcW w:type="dxa" w:w="1500"/>
            <w:tcMar>
              <w:top w:type="dxa" w:w="60"/>
              <w:left w:type="dxa" w:w="100"/>
              <w:bottom w:type="dxa" w:w="60"/>
              <w:right w:type="dxa" w:w="100"/>
            </w:tcMar>
            <w:vAlign w:val="center"/>
          </w:tcPr>
          <w:p>
            <w:pPr>
              <w:jc w:val="left"/>
            </w:pPr>
            <w:r>
              <w:rPr>
                <w:b w:val="false"/>
                <w:bCs w:val="false"/>
                <w:sz w:val="18"/>
                <w:szCs w:val="18"/>
              </w:rPr>
              <w:t xml:space="preserve">n/a</w:t>
            </w:r>
          </w:p>
        </w:tc>
        <w:tc>
          <w:tcPr>
            <w:tcW w:type="dxa" w:w="2400"/>
            <w:tcMar>
              <w:top w:type="dxa" w:w="60"/>
              <w:left w:type="dxa" w:w="100"/>
              <w:bottom w:type="dxa" w:w="60"/>
              <w:right w:type="dxa" w:w="100"/>
            </w:tcMar>
            <w:vAlign w:val="center"/>
          </w:tcPr>
          <w:p>
            <w:pPr>
              <w:jc w:val="left"/>
            </w:pPr>
            <w:r>
              <w:rPr>
                <w:b w:val="false"/>
                <w:bCs w:val="false"/>
                <w:sz w:val="18"/>
                <w:szCs w:val="18"/>
              </w:rPr>
              <w:t xml:space="preserve">Rejected as empty file.</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TC-009</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FR-UPL-001, BR-PER-001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Attempt upload for a Locked period.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Target period status = Locked.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blocked; message references Period Close status.</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TC-010</w:t>
            </w:r>
          </w:p>
        </w:tc>
        <w:tc>
          <w:tcPr>
            <w:tcW w:type="dxa" w:w="900"/>
            <w:tcMar>
              <w:top w:type="dxa" w:w="60"/>
              <w:left w:type="dxa" w:w="100"/>
              <w:bottom w:type="dxa" w:w="60"/>
              <w:right w:type="dxa" w:w="100"/>
            </w:tcMar>
            <w:vAlign w:val="center"/>
          </w:tcPr>
          <w:p>
            <w:pPr>
              <w:jc w:val="left"/>
            </w:pPr>
            <w:r>
              <w:rPr>
                <w:b w:val="false"/>
                <w:bCs w:val="false"/>
                <w:sz w:val="18"/>
                <w:szCs w:val="18"/>
              </w:rPr>
              <w:t xml:space="preserve">FR-UPL-001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Re-upload a file matching a previously registered Source System signature.</w:t>
            </w:r>
          </w:p>
        </w:tc>
        <w:tc>
          <w:tcPr>
            <w:tcW w:type="dxa" w:w="1500"/>
            <w:tcMar>
              <w:top w:type="dxa" w:w="60"/>
              <w:left w:type="dxa" w:w="100"/>
              <w:bottom w:type="dxa" w:w="60"/>
              <w:right w:type="dxa" w:w="100"/>
            </w:tcMar>
            <w:vAlign w:val="center"/>
          </w:tcPr>
          <w:p>
            <w:pPr>
              <w:jc w:val="left"/>
            </w:pPr>
            <w:r>
              <w:rPr>
                <w:b w:val="false"/>
                <w:bCs w:val="false"/>
                <w:sz w:val="18"/>
                <w:szCs w:val="18"/>
              </w:rPr>
              <w:t xml:space="preserve">Source System + Mapping Configuration already exist.</w:t>
            </w:r>
          </w:p>
        </w:tc>
        <w:tc>
          <w:tcPr>
            <w:tcW w:type="dxa" w:w="2400"/>
            <w:tcMar>
              <w:top w:type="dxa" w:w="60"/>
              <w:left w:type="dxa" w:w="100"/>
              <w:bottom w:type="dxa" w:w="60"/>
              <w:right w:type="dxa" w:w="100"/>
            </w:tcMar>
            <w:vAlign w:val="center"/>
          </w:tcPr>
          <w:p>
            <w:pPr>
              <w:jc w:val="left"/>
            </w:pPr>
            <w:r>
              <w:rPr>
                <w:b w:val="false"/>
                <w:bCs w:val="false"/>
                <w:sz w:val="18"/>
                <w:szCs w:val="18"/>
              </w:rPr>
              <w:t xml:space="preserve">Mapping auto-applied; status advances directly to Pending Validation.</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28.3 Mapping (incl. AI-Assisted)</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TC-011</w:t>
            </w:r>
          </w:p>
        </w:tc>
        <w:tc>
          <w:tcPr>
            <w:tcW w:type="dxa" w:w="900"/>
            <w:tcMar>
              <w:top w:type="dxa" w:w="60"/>
              <w:left w:type="dxa" w:w="100"/>
              <w:bottom w:type="dxa" w:w="60"/>
              <w:right w:type="dxa" w:w="100"/>
            </w:tcMar>
            <w:vAlign w:val="center"/>
          </w:tcPr>
          <w:p>
            <w:pPr>
              <w:jc w:val="left"/>
            </w:pPr>
            <w:r>
              <w:rPr>
                <w:b w:val="false"/>
                <w:bCs w:val="false"/>
                <w:sz w:val="18"/>
                <w:szCs w:val="18"/>
              </w:rPr>
              <w:t xml:space="preserve">FR-MAP-001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All mandatory canonical fields mapped and saved.</w:t>
            </w:r>
          </w:p>
        </w:tc>
        <w:tc>
          <w:tcPr>
            <w:tcW w:type="dxa" w:w="1500"/>
            <w:tcMar>
              <w:top w:type="dxa" w:w="60"/>
              <w:left w:type="dxa" w:w="100"/>
              <w:bottom w:type="dxa" w:w="60"/>
              <w:right w:type="dxa" w:w="100"/>
            </w:tcMar>
            <w:vAlign w:val="center"/>
          </w:tcPr>
          <w:p>
            <w:pPr>
              <w:jc w:val="left"/>
            </w:pPr>
            <w:r>
              <w:rPr>
                <w:b w:val="false"/>
                <w:bCs w:val="false"/>
                <w:sz w:val="18"/>
                <w:szCs w:val="18"/>
              </w:rPr>
              <w:t xml:space="preserve">Upload status = Pending Mapping.</w:t>
            </w:r>
          </w:p>
        </w:tc>
        <w:tc>
          <w:tcPr>
            <w:tcW w:type="dxa" w:w="2400"/>
            <w:tcMar>
              <w:top w:type="dxa" w:w="60"/>
              <w:left w:type="dxa" w:w="100"/>
              <w:bottom w:type="dxa" w:w="60"/>
              <w:right w:type="dxa" w:w="100"/>
            </w:tcMar>
            <w:vAlign w:val="center"/>
          </w:tcPr>
          <w:p>
            <w:pPr>
              <w:jc w:val="left"/>
            </w:pPr>
            <w:r>
              <w:rPr>
                <w:b w:val="false"/>
                <w:bCs w:val="false"/>
                <w:sz w:val="18"/>
                <w:szCs w:val="18"/>
              </w:rPr>
              <w:t xml:space="preserve">Mapping saved as Complete; status advances to Pending Validation.</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TC-012</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FR-MAP-001, BR-MAP-001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One mandatory field left unmapped, Save attempted.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status = Pending Mapping.</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Save blocked; mandatory field flagged.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TC-013</w:t>
            </w:r>
          </w:p>
        </w:tc>
        <w:tc>
          <w:tcPr>
            <w:tcW w:type="dxa" w:w="900"/>
            <w:tcMar>
              <w:top w:type="dxa" w:w="60"/>
              <w:left w:type="dxa" w:w="100"/>
              <w:bottom w:type="dxa" w:w="60"/>
              <w:right w:type="dxa" w:w="100"/>
            </w:tcMar>
            <w:vAlign w:val="center"/>
          </w:tcPr>
          <w:p>
            <w:pPr>
              <w:jc w:val="left"/>
            </w:pPr>
            <w:r>
              <w:rPr>
                <w:b w:val="false"/>
                <w:bCs w:val="false"/>
                <w:sz w:val="18"/>
                <w:szCs w:val="18"/>
              </w:rPr>
              <w:t xml:space="preserve">FR-MAP-002</w:t>
            </w:r>
          </w:p>
        </w:tc>
        <w:tc>
          <w:tcPr>
            <w:tcW w:type="dxa" w:w="2500"/>
            <w:tcMar>
              <w:top w:type="dxa" w:w="60"/>
              <w:left w:type="dxa" w:w="100"/>
              <w:bottom w:type="dxa" w:w="60"/>
              <w:right w:type="dxa" w:w="100"/>
            </w:tcMar>
            <w:vAlign w:val="center"/>
          </w:tcPr>
          <w:p>
            <w:pPr>
              <w:jc w:val="left"/>
            </w:pPr>
            <w:r>
              <w:rPr>
                <w:b w:val="false"/>
                <w:bCs w:val="false"/>
                <w:sz w:val="18"/>
                <w:szCs w:val="18"/>
              </w:rPr>
              <w:t xml:space="preserve">AI Suggest invoked on an unmapped upload.</w:t>
            </w:r>
          </w:p>
        </w:tc>
        <w:tc>
          <w:tcPr>
            <w:tcW w:type="dxa" w:w="1500"/>
            <w:tcMar>
              <w:top w:type="dxa" w:w="60"/>
              <w:left w:type="dxa" w:w="100"/>
              <w:bottom w:type="dxa" w:w="60"/>
              <w:right w:type="dxa" w:w="100"/>
            </w:tcMar>
            <w:vAlign w:val="center"/>
          </w:tcPr>
          <w:p>
            <w:pPr>
              <w:jc w:val="left"/>
            </w:pPr>
            <w:r>
              <w:rPr>
                <w:b w:val="false"/>
                <w:bCs w:val="false"/>
                <w:sz w:val="18"/>
                <w:szCs w:val="18"/>
              </w:rPr>
              <w:t xml:space="preserve">AI service reachable.</w:t>
            </w:r>
          </w:p>
        </w:tc>
        <w:tc>
          <w:tcPr>
            <w:tcW w:type="dxa" w:w="2400"/>
            <w:tcMar>
              <w:top w:type="dxa" w:w="60"/>
              <w:left w:type="dxa" w:w="100"/>
              <w:bottom w:type="dxa" w:w="60"/>
              <w:right w:type="dxa" w:w="100"/>
            </w:tcMar>
            <w:vAlign w:val="center"/>
          </w:tcPr>
          <w:p>
            <w:pPr>
              <w:jc w:val="left"/>
            </w:pPr>
            <w:r>
              <w:rPr>
                <w:b w:val="false"/>
                <w:bCs w:val="false"/>
                <w:sz w:val="18"/>
                <w:szCs w:val="18"/>
              </w:rPr>
              <w:t xml:space="preserve">Suggestions pre-filled with confidence scores, marked unconfirmed.</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TC-014</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FR-MAP-002, BR-AI-002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CMA edits an AI-suggested mapping before saving.</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AI suggestions displayed.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Edited mapping is saved as the actor's mapping; original AI suggestion and the edit are both logged.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28.4 Validation and Data Quality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TC-015</w:t>
            </w:r>
          </w:p>
        </w:tc>
        <w:tc>
          <w:tcPr>
            <w:tcW w:type="dxa" w:w="900"/>
            <w:tcMar>
              <w:top w:type="dxa" w:w="60"/>
              <w:left w:type="dxa" w:w="100"/>
              <w:bottom w:type="dxa" w:w="60"/>
              <w:right w:type="dxa" w:w="100"/>
            </w:tcMar>
            <w:vAlign w:val="center"/>
          </w:tcPr>
          <w:p>
            <w:pPr>
              <w:jc w:val="left"/>
            </w:pPr>
            <w:r>
              <w:rPr>
                <w:b w:val="false"/>
                <w:bCs w:val="false"/>
                <w:sz w:val="18"/>
                <w:szCs w:val="18"/>
              </w:rPr>
              <w:t xml:space="preserve">FR-VAL-001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TB with Total Debits = Total Credits.</w:t>
            </w:r>
          </w:p>
        </w:tc>
        <w:tc>
          <w:tcPr>
            <w:tcW w:type="dxa" w:w="1500"/>
            <w:tcMar>
              <w:top w:type="dxa" w:w="60"/>
              <w:left w:type="dxa" w:w="100"/>
              <w:bottom w:type="dxa" w:w="60"/>
              <w:right w:type="dxa" w:w="100"/>
            </w:tcMar>
            <w:vAlign w:val="center"/>
          </w:tcPr>
          <w:p>
            <w:pPr>
              <w:jc w:val="left"/>
            </w:pPr>
            <w:r>
              <w:rPr>
                <w:b w:val="false"/>
                <w:bCs w:val="false"/>
                <w:sz w:val="18"/>
                <w:szCs w:val="18"/>
              </w:rPr>
              <w:t xml:space="preserve">TB mapped.</w:t>
            </w:r>
          </w:p>
        </w:tc>
        <w:tc>
          <w:tcPr>
            <w:tcW w:type="dxa" w:w="2400"/>
            <w:tcMar>
              <w:top w:type="dxa" w:w="60"/>
              <w:left w:type="dxa" w:w="100"/>
              <w:bottom w:type="dxa" w:w="60"/>
              <w:right w:type="dxa" w:w="100"/>
            </w:tcMar>
            <w:vAlign w:val="center"/>
          </w:tcPr>
          <w:p>
            <w:pPr>
              <w:jc w:val="left"/>
            </w:pPr>
            <w:r>
              <w:rPr>
                <w:b w:val="false"/>
                <w:bCs w:val="false"/>
                <w:sz w:val="18"/>
                <w:szCs w:val="18"/>
              </w:rPr>
              <w:t xml:space="preserve">No Error raised for this rule; validation proceeds.</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TC-016</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FR-VAL-001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TB with Total Debits ≠ Total Credits.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TB mapped.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Error-severity finding raised; upload blocked from Processed.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TC-017</w:t>
            </w:r>
          </w:p>
        </w:tc>
        <w:tc>
          <w:tcPr>
            <w:tcW w:type="dxa" w:w="900"/>
            <w:tcMar>
              <w:top w:type="dxa" w:w="60"/>
              <w:left w:type="dxa" w:w="100"/>
              <w:bottom w:type="dxa" w:w="60"/>
              <w:right w:type="dxa" w:w="100"/>
            </w:tcMar>
            <w:vAlign w:val="center"/>
          </w:tcPr>
          <w:p>
            <w:pPr>
              <w:jc w:val="left"/>
            </w:pPr>
            <w:r>
              <w:rPr>
                <w:b w:val="false"/>
                <w:bCs w:val="false"/>
                <w:sz w:val="18"/>
                <w:szCs w:val="18"/>
              </w:rPr>
              <w:t xml:space="preserve">FR-VAL-001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Inventory transaction references a non-existent item code.</w:t>
            </w:r>
          </w:p>
        </w:tc>
        <w:tc>
          <w:tcPr>
            <w:tcW w:type="dxa" w:w="1500"/>
            <w:tcMar>
              <w:top w:type="dxa" w:w="60"/>
              <w:left w:type="dxa" w:w="100"/>
              <w:bottom w:type="dxa" w:w="60"/>
              <w:right w:type="dxa" w:w="100"/>
            </w:tcMar>
            <w:vAlign w:val="center"/>
          </w:tcPr>
          <w:p>
            <w:pPr>
              <w:jc w:val="left"/>
            </w:pPr>
            <w:r>
              <w:rPr>
                <w:b w:val="false"/>
                <w:bCs w:val="false"/>
                <w:sz w:val="18"/>
                <w:szCs w:val="18"/>
              </w:rPr>
              <w:t xml:space="preserve">Item not present in Item Master.</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Error-severity referential-integrity finding.</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TC-018</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8.2 (Data Quality)</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run completes with 2 Errors and 3 Warnings.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Mixed-severity findings exist.</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Data Quality Score computed and reflects the finding mix; visible on CMA Dashboard.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28.5 Inventory Valuation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TC-019</w:t>
            </w:r>
          </w:p>
        </w:tc>
        <w:tc>
          <w:tcPr>
            <w:tcW w:type="dxa" w:w="900"/>
            <w:tcMar>
              <w:top w:type="dxa" w:w="60"/>
              <w:left w:type="dxa" w:w="100"/>
              <w:bottom w:type="dxa" w:w="60"/>
              <w:right w:type="dxa" w:w="100"/>
            </w:tcMar>
            <w:vAlign w:val="center"/>
          </w:tcPr>
          <w:p>
            <w:pPr>
              <w:jc w:val="left"/>
            </w:pPr>
            <w:r>
              <w:rPr>
                <w:b w:val="false"/>
                <w:bCs w:val="false"/>
                <w:sz w:val="18"/>
                <w:szCs w:val="18"/>
              </w:rPr>
              <w:t xml:space="preserve">FR-INV-001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FIFO: 2 receipts at different costs, 1 partial issue.</w:t>
            </w:r>
          </w:p>
        </w:tc>
        <w:tc>
          <w:tcPr>
            <w:tcW w:type="dxa" w:w="1500"/>
            <w:tcMar>
              <w:top w:type="dxa" w:w="60"/>
              <w:left w:type="dxa" w:w="100"/>
              <w:bottom w:type="dxa" w:w="60"/>
              <w:right w:type="dxa" w:w="100"/>
            </w:tcMar>
            <w:vAlign w:val="center"/>
          </w:tcPr>
          <w:p>
            <w:pPr>
              <w:jc w:val="left"/>
            </w:pPr>
            <w:r>
              <w:rPr>
                <w:b w:val="false"/>
                <w:bCs w:val="false"/>
                <w:sz w:val="18"/>
                <w:szCs w:val="18"/>
              </w:rPr>
              <w:t xml:space="preserve">Item configured FIFO; Golden Reference Dataset.</w:t>
            </w:r>
          </w:p>
        </w:tc>
        <w:tc>
          <w:tcPr>
            <w:tcW w:type="dxa" w:w="2400"/>
            <w:tcMar>
              <w:top w:type="dxa" w:w="60"/>
              <w:left w:type="dxa" w:w="100"/>
              <w:bottom w:type="dxa" w:w="60"/>
              <w:right w:type="dxa" w:w="100"/>
            </w:tcMar>
            <w:vAlign w:val="center"/>
          </w:tcPr>
          <w:p>
            <w:pPr>
              <w:jc w:val="left"/>
            </w:pPr>
            <w:r>
              <w:rPr>
                <w:b w:val="false"/>
                <w:bCs w:val="false"/>
                <w:sz w:val="18"/>
                <w:szCs w:val="18"/>
              </w:rPr>
              <w:t xml:space="preserve">Issue costed from oldest layer first; remaining layer balance correct.</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TC-020</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FR-INV-001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Periodic WAC: multiple receipts and issues in one period.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 configured Periodic WAC.</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Single period-average rate applied to all issues; matches hand-calculated value.</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TC-021</w:t>
            </w:r>
          </w:p>
        </w:tc>
        <w:tc>
          <w:tcPr>
            <w:tcW w:type="dxa" w:w="900"/>
            <w:tcMar>
              <w:top w:type="dxa" w:w="60"/>
              <w:left w:type="dxa" w:w="100"/>
              <w:bottom w:type="dxa" w:w="60"/>
              <w:right w:type="dxa" w:w="100"/>
            </w:tcMar>
            <w:vAlign w:val="center"/>
          </w:tcPr>
          <w:p>
            <w:pPr>
              <w:jc w:val="left"/>
            </w:pPr>
            <w:r>
              <w:rPr>
                <w:b w:val="false"/>
                <w:bCs w:val="false"/>
                <w:sz w:val="18"/>
                <w:szCs w:val="18"/>
              </w:rPr>
              <w:t xml:space="preserve">FR-INV-001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Moving WAC: receipt occurs between two issues.</w:t>
            </w:r>
          </w:p>
        </w:tc>
        <w:tc>
          <w:tcPr>
            <w:tcW w:type="dxa" w:w="1500"/>
            <w:tcMar>
              <w:top w:type="dxa" w:w="60"/>
              <w:left w:type="dxa" w:w="100"/>
              <w:bottom w:type="dxa" w:w="60"/>
              <w:right w:type="dxa" w:w="100"/>
            </w:tcMar>
            <w:vAlign w:val="center"/>
          </w:tcPr>
          <w:p>
            <w:pPr>
              <w:jc w:val="left"/>
            </w:pPr>
            <w:r>
              <w:rPr>
                <w:b w:val="false"/>
                <w:bCs w:val="false"/>
                <w:sz w:val="18"/>
                <w:szCs w:val="18"/>
              </w:rPr>
              <w:t xml:space="preserve">Item configured Moving WAC.</w:t>
            </w:r>
          </w:p>
        </w:tc>
        <w:tc>
          <w:tcPr>
            <w:tcW w:type="dxa" w:w="2400"/>
            <w:tcMar>
              <w:top w:type="dxa" w:w="60"/>
              <w:left w:type="dxa" w:w="100"/>
              <w:bottom w:type="dxa" w:w="60"/>
              <w:right w:type="dxa" w:w="100"/>
            </w:tcMar>
            <w:vAlign w:val="center"/>
          </w:tcPr>
          <w:p>
            <w:pPr>
              <w:jc w:val="left"/>
            </w:pPr>
            <w:r>
              <w:rPr>
                <w:b w:val="false"/>
                <w:bCs w:val="false"/>
                <w:sz w:val="18"/>
                <w:szCs w:val="18"/>
              </w:rPr>
              <w:t xml:space="preserve">Average recalculated after the receipt; second issue uses the new average.</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TC-022</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FR-INV-001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Specific Cost: issue references a specific lot.</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 configured Specific Cost; lot-tracked receipts exist.</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Issue costed at that lot's exact receipt cost.</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TC-023</w:t>
            </w:r>
          </w:p>
        </w:tc>
        <w:tc>
          <w:tcPr>
            <w:tcW w:type="dxa" w:w="900"/>
            <w:tcMar>
              <w:top w:type="dxa" w:w="60"/>
              <w:left w:type="dxa" w:w="100"/>
              <w:bottom w:type="dxa" w:w="60"/>
              <w:right w:type="dxa" w:w="100"/>
            </w:tcMar>
            <w:vAlign w:val="center"/>
          </w:tcPr>
          <w:p>
            <w:pPr>
              <w:jc w:val="left"/>
            </w:pPr>
            <w:r>
              <w:rPr>
                <w:b w:val="false"/>
                <w:bCs w:val="false"/>
                <w:sz w:val="18"/>
                <w:szCs w:val="18"/>
              </w:rPr>
              <w:t xml:space="preserve">BR-INV-002</w:t>
            </w:r>
          </w:p>
        </w:tc>
        <w:tc>
          <w:tcPr>
            <w:tcW w:type="dxa" w:w="2500"/>
            <w:tcMar>
              <w:top w:type="dxa" w:w="60"/>
              <w:left w:type="dxa" w:w="100"/>
              <w:bottom w:type="dxa" w:w="60"/>
              <w:right w:type="dxa" w:w="100"/>
            </w:tcMar>
            <w:vAlign w:val="center"/>
          </w:tcPr>
          <w:p>
            <w:pPr>
              <w:jc w:val="left"/>
            </w:pPr>
            <w:r>
              <w:rPr>
                <w:b w:val="false"/>
                <w:bCs w:val="false"/>
                <w:sz w:val="18"/>
                <w:szCs w:val="18"/>
              </w:rPr>
              <w:t xml:space="preserve">Issue quantity exceeds available balance, no override.</w:t>
            </w:r>
          </w:p>
        </w:tc>
        <w:tc>
          <w:tcPr>
            <w:tcW w:type="dxa" w:w="1500"/>
            <w:tcMar>
              <w:top w:type="dxa" w:w="60"/>
              <w:left w:type="dxa" w:w="100"/>
              <w:bottom w:type="dxa" w:w="60"/>
              <w:right w:type="dxa" w:w="100"/>
            </w:tcMar>
            <w:vAlign w:val="center"/>
          </w:tcPr>
          <w:p>
            <w:pPr>
              <w:jc w:val="left"/>
            </w:pPr>
            <w:r>
              <w:rPr>
                <w:b w:val="false"/>
                <w:bCs w:val="false"/>
                <w:sz w:val="18"/>
                <w:szCs w:val="18"/>
              </w:rPr>
              <w:t xml:space="preserve">Available balance &lt; issue quantity.</w:t>
            </w:r>
          </w:p>
        </w:tc>
        <w:tc>
          <w:tcPr>
            <w:tcW w:type="dxa" w:w="2400"/>
            <w:tcMar>
              <w:top w:type="dxa" w:w="60"/>
              <w:left w:type="dxa" w:w="100"/>
              <w:bottom w:type="dxa" w:w="60"/>
              <w:right w:type="dxa" w:w="100"/>
            </w:tcMar>
            <w:vAlign w:val="center"/>
          </w:tcPr>
          <w:p>
            <w:pPr>
              <w:jc w:val="left"/>
            </w:pPr>
            <w:r>
              <w:rPr>
                <w:b w:val="false"/>
                <w:bCs w:val="false"/>
                <w:sz w:val="18"/>
                <w:szCs w:val="18"/>
              </w:rPr>
              <w:t xml:space="preserve">Blocked as negative-inventory exception (no silent negative balance).</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TC-024</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BR-UOM-001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Issue transaction UOM differs from item base UOM, valid conversion exists.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 Conversion configured and effective-dated for the transaction date.</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Quantity correctly converted before costing; value matches hand calculation.</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28.6 BOM</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TC-025</w:t>
            </w:r>
          </w:p>
        </w:tc>
        <w:tc>
          <w:tcPr>
            <w:tcW w:type="dxa" w:w="900"/>
            <w:tcMar>
              <w:top w:type="dxa" w:w="60"/>
              <w:left w:type="dxa" w:w="100"/>
              <w:bottom w:type="dxa" w:w="60"/>
              <w:right w:type="dxa" w:w="100"/>
            </w:tcMar>
            <w:vAlign w:val="center"/>
          </w:tcPr>
          <w:p>
            <w:pPr>
              <w:jc w:val="left"/>
            </w:pPr>
            <w:r>
              <w:rPr>
                <w:b w:val="false"/>
                <w:bCs w:val="false"/>
                <w:sz w:val="18"/>
                <w:szCs w:val="18"/>
              </w:rPr>
              <w:t xml:space="preserve">FR-BOM-001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3-level BOM explosion and roll-up.</w:t>
            </w:r>
          </w:p>
        </w:tc>
        <w:tc>
          <w:tcPr>
            <w:tcW w:type="dxa" w:w="1500"/>
            <w:tcMar>
              <w:top w:type="dxa" w:w="60"/>
              <w:left w:type="dxa" w:w="100"/>
              <w:bottom w:type="dxa" w:w="60"/>
              <w:right w:type="dxa" w:w="100"/>
            </w:tcMar>
            <w:vAlign w:val="center"/>
          </w:tcPr>
          <w:p>
            <w:pPr>
              <w:jc w:val="left"/>
            </w:pPr>
            <w:r>
              <w:rPr>
                <w:b w:val="false"/>
                <w:bCs w:val="false"/>
                <w:sz w:val="18"/>
                <w:szCs w:val="18"/>
              </w:rPr>
              <w:t xml:space="preserve">Golden Reference Dataset BOM.</w:t>
            </w:r>
          </w:p>
        </w:tc>
        <w:tc>
          <w:tcPr>
            <w:tcW w:type="dxa" w:w="2400"/>
            <w:tcMar>
              <w:top w:type="dxa" w:w="60"/>
              <w:left w:type="dxa" w:w="100"/>
              <w:bottom w:type="dxa" w:w="60"/>
              <w:right w:type="dxa" w:w="100"/>
            </w:tcMar>
            <w:vAlign w:val="center"/>
          </w:tcPr>
          <w:p>
            <w:pPr>
              <w:jc w:val="left"/>
            </w:pPr>
            <w:r>
              <w:rPr>
                <w:b w:val="false"/>
                <w:bCs w:val="false"/>
                <w:sz w:val="18"/>
                <w:szCs w:val="18"/>
              </w:rPr>
              <w:t xml:space="preserve">Exploded tree matches expected structure; rolled-up cost matches hand calculation.</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TC-026</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BR-BOM-001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BOM component set to reference its own parent item (direct cycle).</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n/a</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Save/explosion blocked with a cycle-identifying error.</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TC-027</w:t>
            </w:r>
          </w:p>
        </w:tc>
        <w:tc>
          <w:tcPr>
            <w:tcW w:type="dxa" w:w="900"/>
            <w:tcMar>
              <w:top w:type="dxa" w:w="60"/>
              <w:left w:type="dxa" w:w="100"/>
              <w:bottom w:type="dxa" w:w="60"/>
              <w:right w:type="dxa" w:w="100"/>
            </w:tcMar>
            <w:vAlign w:val="center"/>
          </w:tcPr>
          <w:p>
            <w:pPr>
              <w:jc w:val="left"/>
            </w:pPr>
            <w:r>
              <w:rPr>
                <w:b w:val="false"/>
                <w:bCs w:val="false"/>
                <w:sz w:val="18"/>
                <w:szCs w:val="18"/>
              </w:rPr>
              <w:t xml:space="preserve">BR-BOM-001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Indirect cycle: A contains B, B contains A's grandparent (transitive cycle).</w:t>
            </w:r>
          </w:p>
        </w:tc>
        <w:tc>
          <w:tcPr>
            <w:tcW w:type="dxa" w:w="1500"/>
            <w:tcMar>
              <w:top w:type="dxa" w:w="60"/>
              <w:left w:type="dxa" w:w="100"/>
              <w:bottom w:type="dxa" w:w="60"/>
              <w:right w:type="dxa" w:w="100"/>
            </w:tcMar>
            <w:vAlign w:val="center"/>
          </w:tcPr>
          <w:p>
            <w:pPr>
              <w:jc w:val="left"/>
            </w:pPr>
            <w:r>
              <w:rPr>
                <w:b w:val="false"/>
                <w:bCs w:val="false"/>
                <w:sz w:val="18"/>
                <w:szCs w:val="18"/>
              </w:rPr>
              <w:t xml:space="preserve">3-level structure set up to cycle.</w:t>
            </w:r>
          </w:p>
        </w:tc>
        <w:tc>
          <w:tcPr>
            <w:tcW w:type="dxa" w:w="2400"/>
            <w:tcMar>
              <w:top w:type="dxa" w:w="60"/>
              <w:left w:type="dxa" w:w="100"/>
              <w:bottom w:type="dxa" w:w="60"/>
              <w:right w:type="dxa" w:w="100"/>
            </w:tcMar>
            <w:vAlign w:val="center"/>
          </w:tcPr>
          <w:p>
            <w:pPr>
              <w:jc w:val="left"/>
            </w:pPr>
            <w:r>
              <w:rPr>
                <w:b w:val="false"/>
                <w:bCs w:val="false"/>
                <w:sz w:val="18"/>
                <w:szCs w:val="18"/>
              </w:rPr>
              <w:t xml:space="preserve">Cycle detected and blocked (not just direct self-reference).</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TC-028</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BR-BOM-002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Two BOM versions for the same item with overlapping effective dates, both set Active.</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n/a</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Save blocked / validation error on the overlapping version.</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28.7 Standard Cost, Product Costing, Overhead Allocation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TC-029</w:t>
            </w:r>
          </w:p>
        </w:tc>
        <w:tc>
          <w:tcPr>
            <w:tcW w:type="dxa" w:w="900"/>
            <w:tcMar>
              <w:top w:type="dxa" w:w="60"/>
              <w:left w:type="dxa" w:w="100"/>
              <w:bottom w:type="dxa" w:w="60"/>
              <w:right w:type="dxa" w:w="100"/>
            </w:tcMar>
            <w:vAlign w:val="center"/>
          </w:tcPr>
          <w:p>
            <w:pPr>
              <w:jc w:val="left"/>
            </w:pPr>
            <w:r>
              <w:rPr>
                <w:b w:val="false"/>
                <w:bCs w:val="false"/>
                <w:sz w:val="18"/>
                <w:szCs w:val="18"/>
              </w:rPr>
              <w:t xml:space="preserve">FR-COST-001, BR-COST-001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Full Product Costing run with all components present.</w:t>
            </w:r>
          </w:p>
        </w:tc>
        <w:tc>
          <w:tcPr>
            <w:tcW w:type="dxa" w:w="1500"/>
            <w:tcMar>
              <w:top w:type="dxa" w:w="60"/>
              <w:left w:type="dxa" w:w="100"/>
              <w:bottom w:type="dxa" w:w="60"/>
              <w:right w:type="dxa" w:w="100"/>
            </w:tcMar>
            <w:vAlign w:val="center"/>
          </w:tcPr>
          <w:p>
            <w:pPr>
              <w:jc w:val="left"/>
            </w:pPr>
            <w:r>
              <w:rPr>
                <w:b w:val="false"/>
                <w:bCs w:val="false"/>
                <w:sz w:val="18"/>
                <w:szCs w:val="18"/>
              </w:rPr>
              <w:t xml:space="preserve">Material, labour, machine, overhead all available.</w:t>
            </w:r>
          </w:p>
        </w:tc>
        <w:tc>
          <w:tcPr>
            <w:tcW w:type="dxa" w:w="2400"/>
            <w:tcMar>
              <w:top w:type="dxa" w:w="60"/>
              <w:left w:type="dxa" w:w="100"/>
              <w:bottom w:type="dxa" w:w="60"/>
              <w:right w:type="dxa" w:w="100"/>
            </w:tcMar>
            <w:vAlign w:val="center"/>
          </w:tcPr>
          <w:p>
            <w:pPr>
              <w:jc w:val="left"/>
            </w:pPr>
            <w:r>
              <w:rPr>
                <w:b w:val="false"/>
                <w:bCs w:val="false"/>
                <w:sz w:val="18"/>
                <w:szCs w:val="18"/>
              </w:rPr>
              <w:t xml:space="preserve">total_cost = sum of components exactly (BR-COST-001).</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TC-030</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FR-COST-001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 run with overhead not yet allocated.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Overhead Allocation not run for the period.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Finalise blocked; exception raised naming the missing component.</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TC-031</w:t>
            </w:r>
          </w:p>
        </w:tc>
        <w:tc>
          <w:tcPr>
            <w:tcW w:type="dxa" w:w="900"/>
            <w:tcMar>
              <w:top w:type="dxa" w:w="60"/>
              <w:left w:type="dxa" w:w="100"/>
              <w:bottom w:type="dxa" w:w="60"/>
              <w:right w:type="dxa" w:w="100"/>
            </w:tcMar>
            <w:vAlign w:val="center"/>
          </w:tcPr>
          <w:p>
            <w:pPr>
              <w:jc w:val="left"/>
            </w:pPr>
            <w:r>
              <w:rPr>
                <w:b w:val="false"/>
                <w:bCs w:val="false"/>
                <w:sz w:val="18"/>
                <w:szCs w:val="18"/>
              </w:rPr>
              <w:t xml:space="preserve">FR-COST-002, BR-ALLOC-001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Overhead Allocation across 3 cost objects by machine-hour basis.</w:t>
            </w:r>
          </w:p>
        </w:tc>
        <w:tc>
          <w:tcPr>
            <w:tcW w:type="dxa" w:w="1500"/>
            <w:tcMar>
              <w:top w:type="dxa" w:w="60"/>
              <w:left w:type="dxa" w:w="100"/>
              <w:bottom w:type="dxa" w:w="60"/>
              <w:right w:type="dxa" w:w="100"/>
            </w:tcMar>
            <w:vAlign w:val="center"/>
          </w:tcPr>
          <w:p>
            <w:pPr>
              <w:jc w:val="left"/>
            </w:pPr>
            <w:r>
              <w:rPr>
                <w:b w:val="false"/>
                <w:bCs w:val="false"/>
                <w:sz w:val="18"/>
                <w:szCs w:val="18"/>
              </w:rPr>
              <w:t xml:space="preserve">Allocation Rule configured; driver data available.</w:t>
            </w:r>
          </w:p>
        </w:tc>
        <w:tc>
          <w:tcPr>
            <w:tcW w:type="dxa" w:w="2400"/>
            <w:tcMar>
              <w:top w:type="dxa" w:w="60"/>
              <w:left w:type="dxa" w:w="100"/>
              <w:bottom w:type="dxa" w:w="60"/>
              <w:right w:type="dxa" w:w="100"/>
            </w:tcMar>
            <w:vAlign w:val="center"/>
          </w:tcPr>
          <w:p>
            <w:pPr>
              <w:jc w:val="left"/>
            </w:pPr>
            <w:r>
              <w:rPr>
                <w:b w:val="false"/>
                <w:bCs w:val="false"/>
                <w:sz w:val="18"/>
                <w:szCs w:val="18"/>
              </w:rPr>
              <w:t xml:space="preserve">Sum of allocated amounts equals the cost pool amount exactly.</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TC-032</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FR-COST-002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Allocation attempted with total driver quantity = 0.</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Driver quantity data is all zero.</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 raised; allocation not silently computed as zero/undefined.</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28.8 Variance and Yield</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TC-033</w:t>
            </w:r>
          </w:p>
        </w:tc>
        <w:tc>
          <w:tcPr>
            <w:tcW w:type="dxa" w:w="900"/>
            <w:tcMar>
              <w:top w:type="dxa" w:w="60"/>
              <w:left w:type="dxa" w:w="100"/>
              <w:bottom w:type="dxa" w:w="60"/>
              <w:right w:type="dxa" w:w="100"/>
            </w:tcMar>
            <w:vAlign w:val="center"/>
          </w:tcPr>
          <w:p>
            <w:pPr>
              <w:jc w:val="left"/>
            </w:pPr>
            <w:r>
              <w:rPr>
                <w:b w:val="false"/>
                <w:bCs w:val="false"/>
                <w:sz w:val="18"/>
                <w:szCs w:val="18"/>
              </w:rPr>
              <w:t xml:space="preserve">FR-COST-003, BR-VAR-001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Compare Standard and Actual costing results for one product.</w:t>
            </w:r>
          </w:p>
        </w:tc>
        <w:tc>
          <w:tcPr>
            <w:tcW w:type="dxa" w:w="1500"/>
            <w:tcMar>
              <w:top w:type="dxa" w:w="60"/>
              <w:left w:type="dxa" w:w="100"/>
              <w:bottom w:type="dxa" w:w="60"/>
              <w:right w:type="dxa" w:w="100"/>
            </w:tcMar>
            <w:vAlign w:val="center"/>
          </w:tcPr>
          <w:p>
            <w:pPr>
              <w:jc w:val="left"/>
            </w:pPr>
            <w:r>
              <w:rPr>
                <w:b w:val="false"/>
                <w:bCs w:val="false"/>
                <w:sz w:val="18"/>
                <w:szCs w:val="18"/>
              </w:rPr>
              <w:t xml:space="preserve">Both modes run for the same period.</w:t>
            </w:r>
          </w:p>
        </w:tc>
        <w:tc>
          <w:tcPr>
            <w:tcW w:type="dxa" w:w="2400"/>
            <w:tcMar>
              <w:top w:type="dxa" w:w="60"/>
              <w:left w:type="dxa" w:w="100"/>
              <w:bottom w:type="dxa" w:w="60"/>
              <w:right w:type="dxa" w:w="100"/>
            </w:tcMar>
            <w:vAlign w:val="center"/>
          </w:tcPr>
          <w:p>
            <w:pPr>
              <w:jc w:val="left"/>
            </w:pPr>
            <w:r>
              <w:rPr>
                <w:b w:val="false"/>
                <w:bCs w:val="false"/>
                <w:sz w:val="18"/>
                <w:szCs w:val="18"/>
              </w:rPr>
              <w:t xml:space="preserve">Sum of sub-variances equals total variance (Actual − Standard) exactly.</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TC-034</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FR-COST-003</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Actual labour hours missing for one component.</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Actual costing run with incomplete labour data.</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 sub-variance flagged “Incomplete,” not silently shown as zero.</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TC-035</w:t>
            </w:r>
          </w:p>
        </w:tc>
        <w:tc>
          <w:tcPr>
            <w:tcW w:type="dxa" w:w="900"/>
            <w:tcMar>
              <w:top w:type="dxa" w:w="60"/>
              <w:left w:type="dxa" w:w="100"/>
              <w:bottom w:type="dxa" w:w="60"/>
              <w:right w:type="dxa" w:w="100"/>
            </w:tcMar>
            <w:vAlign w:val="center"/>
          </w:tcPr>
          <w:p>
            <w:pPr>
              <w:jc w:val="left"/>
            </w:pPr>
            <w:r>
              <w:rPr>
                <w:b w:val="false"/>
                <w:bCs w:val="false"/>
                <w:sz w:val="18"/>
                <w:szCs w:val="18"/>
              </w:rPr>
              <w:t xml:space="preserve">Yield module (Section 8.3, Part 2)</w:t>
            </w:r>
          </w:p>
        </w:tc>
        <w:tc>
          <w:tcPr>
            <w:tcW w:type="dxa" w:w="2500"/>
            <w:tcMar>
              <w:top w:type="dxa" w:w="60"/>
              <w:left w:type="dxa" w:w="100"/>
              <w:bottom w:type="dxa" w:w="60"/>
              <w:right w:type="dxa" w:w="100"/>
            </w:tcMar>
            <w:vAlign w:val="center"/>
          </w:tcPr>
          <w:p>
            <w:pPr>
              <w:jc w:val="left"/>
            </w:pPr>
            <w:r>
              <w:rPr>
                <w:b w:val="false"/>
                <w:bCs w:val="false"/>
                <w:sz w:val="18"/>
                <w:szCs w:val="18"/>
              </w:rPr>
              <w:t xml:space="preserve">Actual output below expected yield by a known margin.</w:t>
            </w:r>
          </w:p>
        </w:tc>
        <w:tc>
          <w:tcPr>
            <w:tcW w:type="dxa" w:w="1500"/>
            <w:tcMar>
              <w:top w:type="dxa" w:w="60"/>
              <w:left w:type="dxa" w:w="100"/>
              <w:bottom w:type="dxa" w:w="60"/>
              <w:right w:type="dxa" w:w="100"/>
            </w:tcMar>
            <w:vAlign w:val="center"/>
          </w:tcPr>
          <w:p>
            <w:pPr>
              <w:jc w:val="left"/>
            </w:pPr>
            <w:r>
              <w:rPr>
                <w:b w:val="false"/>
                <w:bCs w:val="false"/>
                <w:sz w:val="18"/>
                <w:szCs w:val="18"/>
              </w:rPr>
              <w:t xml:space="preserve">Golden Reference production data.</w:t>
            </w:r>
          </w:p>
        </w:tc>
        <w:tc>
          <w:tcPr>
            <w:tcW w:type="dxa" w:w="2400"/>
            <w:tcMar>
              <w:top w:type="dxa" w:w="60"/>
              <w:left w:type="dxa" w:w="100"/>
              <w:bottom w:type="dxa" w:w="60"/>
              <w:right w:type="dxa" w:w="100"/>
            </w:tcMar>
            <w:vAlign w:val="center"/>
          </w:tcPr>
          <w:p>
            <w:pPr>
              <w:jc w:val="left"/>
            </w:pPr>
            <w:r>
              <w:rPr>
                <w:b w:val="false"/>
                <w:bCs w:val="false"/>
                <w:sz w:val="18"/>
                <w:szCs w:val="18"/>
              </w:rPr>
              <w:t xml:space="preserve">Yield % and yield variance match hand calculation.</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28.9 Reconciliation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TC-036</w:t>
            </w:r>
          </w:p>
        </w:tc>
        <w:tc>
          <w:tcPr>
            <w:tcW w:type="dxa" w:w="900"/>
            <w:tcMar>
              <w:top w:type="dxa" w:w="60"/>
              <w:left w:type="dxa" w:w="100"/>
              <w:bottom w:type="dxa" w:w="60"/>
              <w:right w:type="dxa" w:w="100"/>
            </w:tcMar>
            <w:vAlign w:val="center"/>
          </w:tcPr>
          <w:p>
            <w:pPr>
              <w:jc w:val="left"/>
            </w:pPr>
            <w:r>
              <w:rPr>
                <w:b w:val="false"/>
                <w:bCs w:val="false"/>
                <w:sz w:val="18"/>
                <w:szCs w:val="18"/>
              </w:rPr>
              <w:t xml:space="preserve">FR-REC-001, BR-REC-001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Computed inventory value exactly matches TB inventory balance.</w:t>
            </w:r>
          </w:p>
        </w:tc>
        <w:tc>
          <w:tcPr>
            <w:tcW w:type="dxa" w:w="1500"/>
            <w:tcMar>
              <w:top w:type="dxa" w:w="60"/>
              <w:left w:type="dxa" w:w="100"/>
              <w:bottom w:type="dxa" w:w="60"/>
              <w:right w:type="dxa" w:w="100"/>
            </w:tcMar>
            <w:vAlign w:val="center"/>
          </w:tcPr>
          <w:p>
            <w:pPr>
              <w:jc w:val="left"/>
            </w:pPr>
            <w:r>
              <w:rPr>
                <w:b w:val="false"/>
                <w:bCs w:val="false"/>
                <w:sz w:val="18"/>
                <w:szCs w:val="18"/>
              </w:rPr>
              <w:t xml:space="preserve">Both figures available for the period.</w:t>
            </w:r>
          </w:p>
        </w:tc>
        <w:tc>
          <w:tcPr>
            <w:tcW w:type="dxa" w:w="2400"/>
            <w:tcMar>
              <w:top w:type="dxa" w:w="60"/>
              <w:left w:type="dxa" w:w="100"/>
              <w:bottom w:type="dxa" w:w="60"/>
              <w:right w:type="dxa" w:w="100"/>
            </w:tcMar>
            <w:vAlign w:val="center"/>
          </w:tcPr>
          <w:p>
            <w:pPr>
              <w:jc w:val="left"/>
            </w:pPr>
            <w:r>
              <w:rPr>
                <w:b w:val="false"/>
                <w:bCs w:val="false"/>
                <w:sz w:val="18"/>
                <w:szCs w:val="18"/>
              </w:rPr>
              <w:t xml:space="preserve">Reconciliation status = Reconciled (variance = 0).</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TC-037</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BR-REC-001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Variance exactly at the configured tolerance boundary.</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Variance = tolerance value precisely.</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Confirm documented boundary behaviour (inclusive/exclusive) — To Be Confirmed which side of the boundary passes.</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TC-038</w:t>
            </w:r>
          </w:p>
        </w:tc>
        <w:tc>
          <w:tcPr>
            <w:tcW w:type="dxa" w:w="900"/>
            <w:tcMar>
              <w:top w:type="dxa" w:w="60"/>
              <w:left w:type="dxa" w:w="100"/>
              <w:bottom w:type="dxa" w:w="60"/>
              <w:right w:type="dxa" w:w="100"/>
            </w:tcMar>
            <w:vAlign w:val="center"/>
          </w:tcPr>
          <w:p>
            <w:pPr>
              <w:jc w:val="left"/>
            </w:pPr>
            <w:r>
              <w:rPr>
                <w:b w:val="false"/>
                <w:bCs w:val="false"/>
                <w:sz w:val="18"/>
                <w:szCs w:val="18"/>
              </w:rPr>
              <w:t xml:space="preserve">FR-REC-001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Variance beyond tolerance, then resolved with an accepted-reason override.</w:t>
            </w:r>
          </w:p>
        </w:tc>
        <w:tc>
          <w:tcPr>
            <w:tcW w:type="dxa" w:w="1500"/>
            <w:tcMar>
              <w:top w:type="dxa" w:w="60"/>
              <w:left w:type="dxa" w:w="100"/>
              <w:bottom w:type="dxa" w:w="60"/>
              <w:right w:type="dxa" w:w="100"/>
            </w:tcMar>
            <w:vAlign w:val="center"/>
          </w:tcPr>
          <w:p>
            <w:pPr>
              <w:jc w:val="left"/>
            </w:pPr>
            <w:r>
              <w:rPr>
                <w:b w:val="false"/>
                <w:bCs w:val="false"/>
                <w:sz w:val="18"/>
                <w:szCs w:val="18"/>
              </w:rPr>
              <w:t xml:space="preserve">Open exception exists.</w:t>
            </w:r>
          </w:p>
        </w:tc>
        <w:tc>
          <w:tcPr>
            <w:tcW w:type="dxa" w:w="2400"/>
            <w:tcMar>
              <w:top w:type="dxa" w:w="60"/>
              <w:left w:type="dxa" w:w="100"/>
              <w:bottom w:type="dxa" w:w="60"/>
              <w:right w:type="dxa" w:w="100"/>
            </w:tcMar>
            <w:vAlign w:val="center"/>
          </w:tcPr>
          <w:p>
            <w:pPr>
              <w:jc w:val="left"/>
            </w:pPr>
            <w:r>
              <w:rPr>
                <w:b w:val="false"/>
                <w:bCs w:val="false"/>
                <w:sz w:val="18"/>
                <w:szCs w:val="18"/>
              </w:rPr>
              <w:t xml:space="preserve">Exception status → Resolved; reason logged in audit_trail.</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28.10 Audit, Period Close, Versioning and Tenant Isolation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TC-039</w:t>
            </w:r>
          </w:p>
        </w:tc>
        <w:tc>
          <w:tcPr>
            <w:tcW w:type="dxa" w:w="900"/>
            <w:tcMar>
              <w:top w:type="dxa" w:w="60"/>
              <w:left w:type="dxa" w:w="100"/>
              <w:bottom w:type="dxa" w:w="60"/>
              <w:right w:type="dxa" w:w="100"/>
            </w:tcMar>
            <w:vAlign w:val="center"/>
          </w:tcPr>
          <w:p>
            <w:pPr>
              <w:jc w:val="left"/>
            </w:pPr>
            <w:r>
              <w:rPr>
                <w:b w:val="false"/>
                <w:bCs w:val="false"/>
                <w:sz w:val="18"/>
                <w:szCs w:val="18"/>
              </w:rPr>
              <w:t xml:space="preserve">FR-AUD-001, BR-AUD-001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Approve an exception without entering a resolution note.</w:t>
            </w:r>
          </w:p>
        </w:tc>
        <w:tc>
          <w:tcPr>
            <w:tcW w:type="dxa" w:w="1500"/>
            <w:tcMar>
              <w:top w:type="dxa" w:w="60"/>
              <w:left w:type="dxa" w:w="100"/>
              <w:bottom w:type="dxa" w:w="60"/>
              <w:right w:type="dxa" w:w="100"/>
            </w:tcMar>
            <w:vAlign w:val="center"/>
          </w:tcPr>
          <w:p>
            <w:pPr>
              <w:jc w:val="left"/>
            </w:pPr>
            <w:r>
              <w:rPr>
                <w:b w:val="false"/>
                <w:bCs w:val="false"/>
                <w:sz w:val="18"/>
                <w:szCs w:val="18"/>
              </w:rPr>
              <w:t xml:space="preserve">Exception open.</w:t>
            </w:r>
          </w:p>
        </w:tc>
        <w:tc>
          <w:tcPr>
            <w:tcW w:type="dxa" w:w="2400"/>
            <w:tcMar>
              <w:top w:type="dxa" w:w="60"/>
              <w:left w:type="dxa" w:w="100"/>
              <w:bottom w:type="dxa" w:w="60"/>
              <w:right w:type="dxa" w:w="100"/>
            </w:tcMar>
            <w:vAlign w:val="center"/>
          </w:tcPr>
          <w:p>
            <w:pPr>
              <w:jc w:val="left"/>
            </w:pPr>
            <w:r>
              <w:rPr>
                <w:b w:val="false"/>
                <w:bCs w:val="false"/>
                <w:sz w:val="18"/>
                <w:szCs w:val="18"/>
              </w:rPr>
              <w:t xml:space="preserve">Approve blocked; resolution note required.</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TC-040</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FR-AUD-002, BR-PER-001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Lock attempted with an open validation Error.</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Unresolved Error exists for the period.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Lock blocked; readiness checklist names the blocking item.</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TC-041</w:t>
            </w:r>
          </w:p>
        </w:tc>
        <w:tc>
          <w:tcPr>
            <w:tcW w:type="dxa" w:w="900"/>
            <w:tcMar>
              <w:top w:type="dxa" w:w="60"/>
              <w:left w:type="dxa" w:w="100"/>
              <w:bottom w:type="dxa" w:w="60"/>
              <w:right w:type="dxa" w:w="100"/>
            </w:tcMar>
            <w:vAlign w:val="center"/>
          </w:tcPr>
          <w:p>
            <w:pPr>
              <w:jc w:val="left"/>
            </w:pPr>
            <w:r>
              <w:rPr>
                <w:b w:val="false"/>
                <w:bCs w:val="false"/>
                <w:sz w:val="18"/>
                <w:szCs w:val="18"/>
              </w:rPr>
              <w:t xml:space="preserve">FR-AUD-002</w:t>
            </w:r>
          </w:p>
        </w:tc>
        <w:tc>
          <w:tcPr>
            <w:tcW w:type="dxa" w:w="2500"/>
            <w:tcMar>
              <w:top w:type="dxa" w:w="60"/>
              <w:left w:type="dxa" w:w="100"/>
              <w:bottom w:type="dxa" w:w="60"/>
              <w:right w:type="dxa" w:w="100"/>
            </w:tcMar>
            <w:vAlign w:val="center"/>
          </w:tcPr>
          <w:p>
            <w:pPr>
              <w:jc w:val="left"/>
            </w:pPr>
            <w:r>
              <w:rPr>
                <w:b w:val="false"/>
                <w:bCs w:val="false"/>
                <w:sz w:val="18"/>
                <w:szCs w:val="18"/>
              </w:rPr>
              <w:t xml:space="preserve">Lock attempted with all preconditions satisfied.</w:t>
            </w:r>
          </w:p>
        </w:tc>
        <w:tc>
          <w:tcPr>
            <w:tcW w:type="dxa" w:w="1500"/>
            <w:tcMar>
              <w:top w:type="dxa" w:w="60"/>
              <w:left w:type="dxa" w:w="100"/>
              <w:bottom w:type="dxa" w:w="60"/>
              <w:right w:type="dxa" w:w="100"/>
            </w:tcMar>
            <w:vAlign w:val="center"/>
          </w:tcPr>
          <w:p>
            <w:pPr>
              <w:jc w:val="left"/>
            </w:pPr>
            <w:r>
              <w:rPr>
                <w:b w:val="false"/>
                <w:bCs w:val="false"/>
                <w:sz w:val="18"/>
                <w:szCs w:val="18"/>
              </w:rPr>
              <w:t xml:space="preserve">No open Errors/exceptions.</w:t>
            </w:r>
          </w:p>
        </w:tc>
        <w:tc>
          <w:tcPr>
            <w:tcW w:type="dxa" w:w="2400"/>
            <w:tcMar>
              <w:top w:type="dxa" w:w="60"/>
              <w:left w:type="dxa" w:w="100"/>
              <w:bottom w:type="dxa" w:w="60"/>
              <w:right w:type="dxa" w:w="100"/>
            </w:tcMar>
            <w:vAlign w:val="center"/>
          </w:tcPr>
          <w:p>
            <w:pPr>
              <w:jc w:val="left"/>
            </w:pPr>
            <w:r>
              <w:rPr>
                <w:b w:val="false"/>
                <w:bCs w:val="false"/>
                <w:sz w:val="18"/>
                <w:szCs w:val="18"/>
              </w:rPr>
              <w:t xml:space="preserve">Period locked; new Costing Version created; further edits to that period blocked.</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TC-042</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FR-AUD-002, BR-PER-002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Reopen attempted with no reason supplied.</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is Locked.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Reopen blocked; reason field mandatory.</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TC-043</w:t>
            </w:r>
          </w:p>
        </w:tc>
        <w:tc>
          <w:tcPr>
            <w:tcW w:type="dxa" w:w="900"/>
            <w:tcMar>
              <w:top w:type="dxa" w:w="60"/>
              <w:left w:type="dxa" w:w="100"/>
              <w:bottom w:type="dxa" w:w="60"/>
              <w:right w:type="dxa" w:w="100"/>
            </w:tcMar>
            <w:vAlign w:val="center"/>
          </w:tcPr>
          <w:p>
            <w:pPr>
              <w:jc w:val="left"/>
            </w:pPr>
            <w:r>
              <w:rPr>
                <w:b w:val="false"/>
                <w:bCs w:val="false"/>
                <w:sz w:val="18"/>
                <w:szCs w:val="18"/>
              </w:rPr>
              <w:t xml:space="preserve">FR-AUD-002, BR-PER-002</w:t>
            </w:r>
          </w:p>
        </w:tc>
        <w:tc>
          <w:tcPr>
            <w:tcW w:type="dxa" w:w="2500"/>
            <w:tcMar>
              <w:top w:type="dxa" w:w="60"/>
              <w:left w:type="dxa" w:w="100"/>
              <w:bottom w:type="dxa" w:w="60"/>
              <w:right w:type="dxa" w:w="100"/>
            </w:tcMar>
            <w:vAlign w:val="center"/>
          </w:tcPr>
          <w:p>
            <w:pPr>
              <w:jc w:val="left"/>
            </w:pPr>
            <w:r>
              <w:rPr>
                <w:b w:val="false"/>
                <w:bCs w:val="false"/>
                <w:sz w:val="18"/>
                <w:szCs w:val="18"/>
              </w:rPr>
              <w:t xml:space="preserve">Valid reopen with reason and approval.</w:t>
            </w:r>
          </w:p>
        </w:tc>
        <w:tc>
          <w:tcPr>
            <w:tcW w:type="dxa" w:w="1500"/>
            <w:tcMar>
              <w:top w:type="dxa" w:w="60"/>
              <w:left w:type="dxa" w:w="100"/>
              <w:bottom w:type="dxa" w:w="60"/>
              <w:right w:type="dxa" w:w="100"/>
            </w:tcMar>
            <w:vAlign w:val="center"/>
          </w:tcPr>
          <w:p>
            <w:pPr>
              <w:jc w:val="left"/>
            </w:pPr>
            <w:r>
              <w:rPr>
                <w:b w:val="false"/>
                <w:bCs w:val="false"/>
                <w:sz w:val="18"/>
                <w:szCs w:val="18"/>
              </w:rPr>
              <w:t xml:space="preserve">Period is Locked; approver available.</w:t>
            </w:r>
          </w:p>
        </w:tc>
        <w:tc>
          <w:tcPr>
            <w:tcW w:type="dxa" w:w="2400"/>
            <w:tcMar>
              <w:top w:type="dxa" w:w="60"/>
              <w:left w:type="dxa" w:w="100"/>
              <w:bottom w:type="dxa" w:w="60"/>
              <w:right w:type="dxa" w:w="100"/>
            </w:tcMar>
            <w:vAlign w:val="center"/>
          </w:tcPr>
          <w:p>
            <w:pPr>
              <w:jc w:val="left"/>
            </w:pPr>
            <w:r>
              <w:rPr>
                <w:b w:val="false"/>
                <w:bCs w:val="false"/>
                <w:sz w:val="18"/>
                <w:szCs w:val="18"/>
              </w:rPr>
              <w:t xml:space="preserve">Period returns to Processing; a new Costing Version is created; the prior locked version remains intact and queryable.</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TC-044</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BR-SEC-002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Direct database-level check that no query executed without a tenant_id predicate can return cross-tenant rows.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Two tenants' data present.</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All tenant-scoped queries reviewed/tested return only the session's tenant data.</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28.11 Reports and Dashboards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TC-045</w:t>
            </w:r>
          </w:p>
        </w:tc>
        <w:tc>
          <w:tcPr>
            <w:tcW w:type="dxa" w:w="900"/>
            <w:tcMar>
              <w:top w:type="dxa" w:w="60"/>
              <w:left w:type="dxa" w:w="100"/>
              <w:bottom w:type="dxa" w:w="60"/>
              <w:right w:type="dxa" w:w="100"/>
            </w:tcMar>
            <w:vAlign w:val="center"/>
          </w:tcPr>
          <w:p>
            <w:pPr>
              <w:jc w:val="left"/>
            </w:pPr>
            <w:r>
              <w:rPr>
                <w:b w:val="false"/>
                <w:bCs w:val="false"/>
                <w:sz w:val="18"/>
                <w:szCs w:val="18"/>
              </w:rPr>
              <w:t xml:space="preserve">FR-RPT-001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Generate Product Cost Sheet for a costed product/period.</w:t>
            </w:r>
          </w:p>
        </w:tc>
        <w:tc>
          <w:tcPr>
            <w:tcW w:type="dxa" w:w="1500"/>
            <w:tcMar>
              <w:top w:type="dxa" w:w="60"/>
              <w:left w:type="dxa" w:w="100"/>
              <w:bottom w:type="dxa" w:w="60"/>
              <w:right w:type="dxa" w:w="100"/>
            </w:tcMar>
            <w:vAlign w:val="center"/>
          </w:tcPr>
          <w:p>
            <w:pPr>
              <w:jc w:val="left"/>
            </w:pPr>
            <w:r>
              <w:rPr>
                <w:b w:val="false"/>
                <w:bCs w:val="false"/>
                <w:sz w:val="18"/>
                <w:szCs w:val="18"/>
              </w:rPr>
              <w:t xml:space="preserve">Product Costing complete.</w:t>
            </w:r>
          </w:p>
        </w:tc>
        <w:tc>
          <w:tcPr>
            <w:tcW w:type="dxa" w:w="2400"/>
            <w:tcMar>
              <w:top w:type="dxa" w:w="60"/>
              <w:left w:type="dxa" w:w="100"/>
              <w:bottom w:type="dxa" w:w="60"/>
              <w:right w:type="dxa" w:w="100"/>
            </w:tcMar>
            <w:vAlign w:val="center"/>
          </w:tcPr>
          <w:p>
            <w:pPr>
              <w:jc w:val="left"/>
            </w:pPr>
            <w:r>
              <w:rPr>
                <w:b w:val="false"/>
                <w:bCs w:val="false"/>
                <w:sz w:val="18"/>
                <w:szCs w:val="18"/>
              </w:rPr>
              <w:t xml:space="preserve">Report totals reconcile exactly to the costing result (BR-COST-001).</w:t>
            </w:r>
          </w:p>
        </w:tc>
        <w:tc>
          <w:tcPr>
            <w:tcW w:type="dxa" w:w="700"/>
            <w:tcMar>
              <w:top w:type="dxa" w:w="60"/>
              <w:left w:type="dxa" w:w="100"/>
              <w:bottom w:type="dxa" w:w="60"/>
              <w:right w:type="dxa" w:w="100"/>
            </w:tcMar>
            <w:vAlign w:val="center"/>
          </w:tcPr>
          <w:p>
            <w:pPr>
              <w:jc w:val="left"/>
            </w:pPr>
            <w:r>
              <w:rPr>
                <w:b w:val="false"/>
                <w:bCs w:val="false"/>
                <w:sz w:val="18"/>
                <w:szCs w:val="18"/>
              </w:rPr>
              <w:t xml:space="preserve">High</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TC-046</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FR-RPT-001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Generate a report with no data for the selected filters.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No costing result for the filter combination.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Empty state shown with guidance, not a blank/broken screen.</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TC-047</w:t>
            </w:r>
          </w:p>
        </w:tc>
        <w:tc>
          <w:tcPr>
            <w:tcW w:type="dxa" w:w="900"/>
            <w:tcMar>
              <w:top w:type="dxa" w:w="60"/>
              <w:left w:type="dxa" w:w="100"/>
              <w:bottom w:type="dxa" w:w="60"/>
              <w:right w:type="dxa" w:w="100"/>
            </w:tcMar>
            <w:vAlign w:val="center"/>
          </w:tcPr>
          <w:p>
            <w:pPr>
              <w:jc w:val="left"/>
            </w:pPr>
            <w:r>
              <w:rPr>
                <w:b w:val="false"/>
                <w:bCs w:val="false"/>
                <w:sz w:val="18"/>
                <w:szCs w:val="18"/>
              </w:rPr>
              <w:t xml:space="preserve">Section 13 (Dashboards)</w:t>
            </w:r>
          </w:p>
        </w:tc>
        <w:tc>
          <w:tcPr>
            <w:tcW w:type="dxa" w:w="2500"/>
            <w:tcMar>
              <w:top w:type="dxa" w:w="60"/>
              <w:left w:type="dxa" w:w="100"/>
              <w:bottom w:type="dxa" w:w="60"/>
              <w:right w:type="dxa" w:w="100"/>
            </w:tcMar>
            <w:vAlign w:val="center"/>
          </w:tcPr>
          <w:p>
            <w:pPr>
              <w:jc w:val="left"/>
            </w:pPr>
            <w:r>
              <w:rPr>
                <w:b w:val="false"/>
                <w:bCs w:val="false"/>
                <w:sz w:val="18"/>
                <w:szCs w:val="18"/>
              </w:rPr>
              <w:t xml:space="preserve">CMA Dashboard reflects an upload that just completed validation.</w:t>
            </w:r>
          </w:p>
        </w:tc>
        <w:tc>
          <w:tcPr>
            <w:tcW w:type="dxa" w:w="1500"/>
            <w:tcMar>
              <w:top w:type="dxa" w:w="60"/>
              <w:left w:type="dxa" w:w="100"/>
              <w:bottom w:type="dxa" w:w="60"/>
              <w:right w:type="dxa" w:w="100"/>
            </w:tcMar>
            <w:vAlign w:val="center"/>
          </w:tcPr>
          <w:p>
            <w:pPr>
              <w:jc w:val="left"/>
            </w:pPr>
            <w:r>
              <w:rPr>
                <w:b w:val="false"/>
                <w:bCs w:val="false"/>
                <w:sz w:val="18"/>
                <w:szCs w:val="18"/>
              </w:rPr>
              <w:t xml:space="preserve">Upload status changes during the session.</w:t>
            </w:r>
          </w:p>
        </w:tc>
        <w:tc>
          <w:tcPr>
            <w:tcW w:type="dxa" w:w="2400"/>
            <w:tcMar>
              <w:top w:type="dxa" w:w="60"/>
              <w:left w:type="dxa" w:w="100"/>
              <w:bottom w:type="dxa" w:w="60"/>
              <w:right w:type="dxa" w:w="100"/>
            </w:tcMar>
            <w:vAlign w:val="center"/>
          </w:tcPr>
          <w:p>
            <w:pPr>
              <w:jc w:val="left"/>
            </w:pPr>
            <w:r>
              <w:rPr>
                <w:b w:val="false"/>
                <w:bCs w:val="false"/>
                <w:sz w:val="18"/>
                <w:szCs w:val="18"/>
              </w:rPr>
              <w:t xml:space="preserve">Upload Status component updates to the new count/status on refresh.</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bl>
    <w:p>
      <w:pPr>
        <w:spacing w:after="200"/>
      </w:pPr>
    </w:p>
    <w:p>
      <w:pPr>
        <w:pStyle w:val="Heading2"/>
        <w:spacing w:after="160" w:before="320"/>
      </w:pPr>
      <w:r>
        <w:rPr>
          <w:b/>
          <w:bCs/>
        </w:rPr>
        <w:t xml:space="preserve">28.12 AI Mapping, AI Observations and Cost Simulation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900"/>
        <w:gridCol w:w="2500"/>
        <w:gridCol w:w="1500"/>
        <w:gridCol w:w="2400"/>
        <w:gridCol w:w="700"/>
        <w:gridCol w:w="800"/>
      </w:tblGrid>
      <w:tr>
        <w:trPr>
          <w:tblHeader/>
        </w:trPr>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 ID</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Scenario / Test Data</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Preconditions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Expected Result</w:t>
            </w:r>
          </w:p>
        </w:tc>
        <w:tc>
          <w:tcPr>
            <w:tcW w:type="dxa" w:w="700"/>
            <w:shd w:fill="1F3864" w:color="auto"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TC-048</w:t>
            </w:r>
          </w:p>
        </w:tc>
        <w:tc>
          <w:tcPr>
            <w:tcW w:type="dxa" w:w="900"/>
            <w:tcMar>
              <w:top w:type="dxa" w:w="60"/>
              <w:left w:type="dxa" w:w="100"/>
              <w:bottom w:type="dxa" w:w="60"/>
              <w:right w:type="dxa" w:w="100"/>
            </w:tcMar>
            <w:vAlign w:val="center"/>
          </w:tcPr>
          <w:p>
            <w:pPr>
              <w:jc w:val="left"/>
            </w:pPr>
            <w:r>
              <w:rPr>
                <w:b w:val="false"/>
                <w:bCs w:val="false"/>
                <w:sz w:val="18"/>
                <w:szCs w:val="18"/>
              </w:rPr>
              <w:t xml:space="preserve">FR-MAP-002</w:t>
            </w:r>
          </w:p>
        </w:tc>
        <w:tc>
          <w:tcPr>
            <w:tcW w:type="dxa" w:w="2500"/>
            <w:tcMar>
              <w:top w:type="dxa" w:w="60"/>
              <w:left w:type="dxa" w:w="100"/>
              <w:bottom w:type="dxa" w:w="60"/>
              <w:right w:type="dxa" w:w="100"/>
            </w:tcMar>
            <w:vAlign w:val="center"/>
          </w:tcPr>
          <w:p>
            <w:pPr>
              <w:jc w:val="left"/>
            </w:pPr>
            <w:r>
              <w:rPr>
                <w:b w:val="false"/>
                <w:bCs w:val="false"/>
                <w:sz w:val="18"/>
                <w:szCs w:val="18"/>
              </w:rPr>
              <w:t xml:space="preserve">AI service unavailable during mapping.</w:t>
            </w:r>
          </w:p>
        </w:tc>
        <w:tc>
          <w:tcPr>
            <w:tcW w:type="dxa" w:w="1500"/>
            <w:tcMar>
              <w:top w:type="dxa" w:w="60"/>
              <w:left w:type="dxa" w:w="100"/>
              <w:bottom w:type="dxa" w:w="60"/>
              <w:right w:type="dxa" w:w="100"/>
            </w:tcMar>
            <w:vAlign w:val="center"/>
          </w:tcPr>
          <w:p>
            <w:pPr>
              <w:jc w:val="left"/>
            </w:pPr>
            <w:r>
              <w:rPr>
                <w:b w:val="false"/>
                <w:bCs w:val="false"/>
                <w:sz w:val="18"/>
                <w:szCs w:val="18"/>
              </w:rPr>
              <w:t xml:space="preserve">AI endpoint simulated as down/timeout.</w:t>
            </w:r>
          </w:p>
        </w:tc>
        <w:tc>
          <w:tcPr>
            <w:tcW w:type="dxa" w:w="2400"/>
            <w:tcMar>
              <w:top w:type="dxa" w:w="60"/>
              <w:left w:type="dxa" w:w="100"/>
              <w:bottom w:type="dxa" w:w="60"/>
              <w:right w:type="dxa" w:w="100"/>
            </w:tcMar>
            <w:vAlign w:val="center"/>
          </w:tcPr>
          <w:p>
            <w:pPr>
              <w:jc w:val="left"/>
            </w:pPr>
            <w:r>
              <w:rPr>
                <w:b w:val="false"/>
                <w:bCs w:val="false"/>
                <w:sz w:val="18"/>
                <w:szCs w:val="18"/>
              </w:rPr>
              <w:t xml:space="preserve">Falls back to manual mapping silently; failure logged, not shown as a blocking error.</w:t>
            </w:r>
          </w:p>
        </w:tc>
        <w:tc>
          <w:tcPr>
            <w:tcW w:type="dxa" w:w="7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TC-049</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FR-AI-001, BR-AI-003</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CMA asks Copilot a question with a clear factual answer plus a predictive element.</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Relevant costing data exists.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Response separates Fact/Calculation from Inference/Prediction, with confidence shown on the latter.</w:t>
            </w:r>
          </w:p>
        </w:tc>
        <w:tc>
          <w:tcPr>
            <w:tcW w:type="dxa" w:w="7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Not Executed</w:t>
            </w:r>
          </w:p>
        </w:tc>
      </w:tr>
      <w:tr>
        <w:tc>
          <w:tcPr>
            <w:tcW w:type="dxa" w:w="800"/>
            <w:tcMar>
              <w:top w:type="dxa" w:w="60"/>
              <w:left w:type="dxa" w:w="100"/>
              <w:bottom w:type="dxa" w:w="60"/>
              <w:right w:type="dxa" w:w="100"/>
            </w:tcMar>
            <w:vAlign w:val="center"/>
          </w:tcPr>
          <w:p>
            <w:pPr>
              <w:jc w:val="left"/>
            </w:pPr>
            <w:r>
              <w:rPr>
                <w:b w:val="false"/>
                <w:bCs w:val="false"/>
                <w:sz w:val="18"/>
                <w:szCs w:val="18"/>
              </w:rPr>
              <w:t xml:space="preserve">TC-050</w:t>
            </w:r>
          </w:p>
        </w:tc>
        <w:tc>
          <w:tcPr>
            <w:tcW w:type="dxa" w:w="900"/>
            <w:tcMar>
              <w:top w:type="dxa" w:w="60"/>
              <w:left w:type="dxa" w:w="100"/>
              <w:bottom w:type="dxa" w:w="60"/>
              <w:right w:type="dxa" w:w="100"/>
            </w:tcMar>
            <w:vAlign w:val="center"/>
          </w:tcPr>
          <w:p>
            <w:pPr>
              <w:jc w:val="left"/>
            </w:pPr>
            <w:r>
              <w:rPr>
                <w:b w:val="false"/>
                <w:bCs w:val="false"/>
                <w:sz w:val="18"/>
                <w:szCs w:val="18"/>
              </w:rPr>
              <w:t xml:space="preserve">Cost Simulation (Phase 2, informational)</w:t>
            </w:r>
          </w:p>
        </w:tc>
        <w:tc>
          <w:tcPr>
            <w:tcW w:type="dxa" w:w="2500"/>
            <w:tcMar>
              <w:top w:type="dxa" w:w="60"/>
              <w:left w:type="dxa" w:w="100"/>
              <w:bottom w:type="dxa" w:w="60"/>
              <w:right w:type="dxa" w:w="100"/>
            </w:tcMar>
            <w:vAlign w:val="center"/>
          </w:tcPr>
          <w:p>
            <w:pPr>
              <w:jc w:val="left"/>
            </w:pPr>
            <w:r>
              <w:rPr>
                <w:b w:val="false"/>
                <w:bCs w:val="false"/>
                <w:sz w:val="18"/>
                <w:szCs w:val="18"/>
              </w:rPr>
              <w:t xml:space="preserve">Run a what-if simulation scenario.</w:t>
            </w:r>
          </w:p>
        </w:tc>
        <w:tc>
          <w:tcPr>
            <w:tcW w:type="dxa" w:w="1500"/>
            <w:tcMar>
              <w:top w:type="dxa" w:w="60"/>
              <w:left w:type="dxa" w:w="100"/>
              <w:bottom w:type="dxa" w:w="60"/>
              <w:right w:type="dxa" w:w="100"/>
            </w:tcMar>
            <w:vAlign w:val="center"/>
          </w:tcPr>
          <w:p>
            <w:pPr>
              <w:jc w:val="left"/>
            </w:pPr>
            <w:r>
              <w:rPr>
                <w:b w:val="false"/>
                <w:bCs w:val="false"/>
                <w:sz w:val="18"/>
                <w:szCs w:val="18"/>
              </w:rPr>
              <w:t xml:space="preserve">Phase 2 module present (if implemented ahead of schedule).</w:t>
            </w:r>
          </w:p>
        </w:tc>
        <w:tc>
          <w:tcPr>
            <w:tcW w:type="dxa" w:w="2400"/>
            <w:tcMar>
              <w:top w:type="dxa" w:w="60"/>
              <w:left w:type="dxa" w:w="100"/>
              <w:bottom w:type="dxa" w:w="60"/>
              <w:right w:type="dxa" w:w="100"/>
            </w:tcMar>
            <w:vAlign w:val="center"/>
          </w:tcPr>
          <w:p>
            <w:pPr>
              <w:jc w:val="left"/>
            </w:pPr>
            <w:r>
              <w:rPr>
                <w:b w:val="false"/>
                <w:bCs w:val="false"/>
                <w:sz w:val="18"/>
                <w:szCs w:val="18"/>
              </w:rPr>
              <w:t xml:space="preserve">Simulation result clearly marked as such and does not alter costing_results.</w:t>
            </w:r>
          </w:p>
        </w:tc>
        <w:tc>
          <w:tcPr>
            <w:tcW w:type="dxa" w:w="700"/>
            <w:tcMar>
              <w:top w:type="dxa" w:w="60"/>
              <w:left w:type="dxa" w:w="100"/>
              <w:bottom w:type="dxa" w:w="60"/>
              <w:right w:type="dxa" w:w="100"/>
            </w:tcMar>
            <w:vAlign w:val="center"/>
          </w:tcPr>
          <w:p>
            <w:pPr>
              <w:jc w:val="left"/>
            </w:pPr>
            <w:r>
              <w:rPr>
                <w:b w:val="false"/>
                <w:bCs w:val="false"/>
                <w:sz w:val="18"/>
                <w:szCs w:val="18"/>
              </w:rPr>
              <w:t xml:space="preserve">Low</w:t>
            </w:r>
          </w:p>
        </w:tc>
        <w:tc>
          <w:tcPr>
            <w:tcW w:type="dxa" w:w="800"/>
            <w:tcMar>
              <w:top w:type="dxa" w:w="60"/>
              <w:left w:type="dxa" w:w="100"/>
              <w:bottom w:type="dxa" w:w="60"/>
              <w:right w:type="dxa" w:w="100"/>
            </w:tcMar>
            <w:vAlign w:val="center"/>
          </w:tcPr>
          <w:p>
            <w:pPr>
              <w:jc w:val="left"/>
            </w:pPr>
            <w:r>
              <w:rPr>
                <w:b w:val="false"/>
                <w:bCs w:val="false"/>
                <w:sz w:val="18"/>
                <w:szCs w:val="18"/>
              </w:rPr>
              <w:t xml:space="preserve">Not Executed</w:t>
            </w:r>
          </w:p>
        </w:tc>
      </w:tr>
    </w:tbl>
    <w:p>
      <w:r>
        <w:br w:type="page"/>
      </w:r>
    </w:p>
    <w:p>
      <w:pPr>
        <w:pStyle w:val="Heading1"/>
        <w:spacing w:after="240" w:before="480"/>
      </w:pPr>
      <w:r>
        <w:rPr>
          <w:b/>
          <w:bCs/>
        </w:rPr>
        <w:t xml:space="preserve">29. Requirements Traceability Matrix</w:t>
      </w:r>
    </w:p>
    <w:p>
      <w:pPr>
        <w:spacing w:after="160"/>
      </w:pPr>
      <w:r>
        <w:t xml:space="preserve">Every functional requirement detailed in Section 5 (Part 2) is traced here to its module, primary database entity, primary screen, and at least one test case, confirming the completeness check required by the source note (Section 44 self-review item 16).</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100"/>
        <w:gridCol w:w="2500"/>
        <w:gridCol w:w="1600"/>
        <w:gridCol w:w="1900"/>
        <w:gridCol w:w="1500"/>
        <w:gridCol w:w="1000"/>
      </w:tblGrid>
      <w:tr>
        <w:trPr>
          <w:tblHeader/>
        </w:trPr>
        <w:tc>
          <w:tcPr>
            <w:tcW w:type="dxa" w:w="1100"/>
            <w:shd w:fill="1F3864" w:color="auto" w:val="clear"/>
            <w:tcMar>
              <w:top w:type="dxa" w:w="60"/>
              <w:left w:type="dxa" w:w="100"/>
              <w:bottom w:type="dxa" w:w="60"/>
              <w:right w:type="dxa" w:w="100"/>
            </w:tcMar>
            <w:vAlign w:val="center"/>
          </w:tcPr>
          <w:p>
            <w:pPr>
              <w:jc w:val="left"/>
            </w:pPr>
            <w:r>
              <w:rPr>
                <w:b/>
                <w:bCs/>
                <w:color w:val="FFFFFF"/>
                <w:sz w:val="18"/>
                <w:szCs w:val="18"/>
              </w:rPr>
              <w:t xml:space="preserve">Req ID</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Requirement</w:t>
            </w:r>
          </w:p>
        </w:tc>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DB Entity</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Screen</w:t>
            </w:r>
          </w:p>
        </w:tc>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Test Case(s)</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FR-AUTH-001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User Login</w:t>
            </w:r>
          </w:p>
        </w:tc>
        <w:tc>
          <w:tcPr>
            <w:tcW w:type="dxa" w:w="1600"/>
            <w:tcMar>
              <w:top w:type="dxa" w:w="60"/>
              <w:left w:type="dxa" w:w="100"/>
              <w:bottom w:type="dxa" w:w="60"/>
              <w:right w:type="dxa" w:w="100"/>
            </w:tcMar>
            <w:vAlign w:val="center"/>
          </w:tcPr>
          <w:p>
            <w:pPr>
              <w:jc w:val="left"/>
            </w:pPr>
            <w:r>
              <w:rPr>
                <w:b w:val="false"/>
                <w:bCs w:val="false"/>
                <w:sz w:val="18"/>
                <w:szCs w:val="18"/>
              </w:rPr>
              <w:t xml:space="preserve">Authentication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users, login_history</w:t>
            </w:r>
          </w:p>
        </w:tc>
        <w:tc>
          <w:tcPr>
            <w:tcW w:type="dxa" w:w="1500"/>
            <w:tcMar>
              <w:top w:type="dxa" w:w="60"/>
              <w:left w:type="dxa" w:w="100"/>
              <w:bottom w:type="dxa" w:w="60"/>
              <w:right w:type="dxa" w:w="100"/>
            </w:tcMar>
            <w:vAlign w:val="center"/>
          </w:tcPr>
          <w:p>
            <w:pPr>
              <w:jc w:val="left"/>
            </w:pPr>
            <w:r>
              <w:rPr>
                <w:b w:val="false"/>
                <w:bCs w:val="false"/>
                <w:sz w:val="18"/>
                <w:szCs w:val="18"/>
              </w:rPr>
              <w:t xml:space="preserve">SCR-01 Login</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TC-001, TC-002, TC-003</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FR-USER-001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 User</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User Master</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users, user_roles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 Master (30.2)</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TC-005 (permission context)</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FR-UPL-001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Upload Source File</w:t>
            </w:r>
          </w:p>
        </w:tc>
        <w:tc>
          <w:tcPr>
            <w:tcW w:type="dxa" w:w="1600"/>
            <w:tcMar>
              <w:top w:type="dxa" w:w="60"/>
              <w:left w:type="dxa" w:w="100"/>
              <w:bottom w:type="dxa" w:w="60"/>
              <w:right w:type="dxa" w:w="100"/>
            </w:tcMar>
            <w:vAlign w:val="center"/>
          </w:tcPr>
          <w:p>
            <w:pPr>
              <w:jc w:val="left"/>
            </w:pPr>
            <w:r>
              <w:rPr>
                <w:b w:val="false"/>
                <w:bCs w:val="false"/>
                <w:sz w:val="18"/>
                <w:szCs w:val="18"/>
              </w:rPr>
              <w:t xml:space="preserve">Upload Centre</w:t>
            </w:r>
          </w:p>
        </w:tc>
        <w:tc>
          <w:tcPr>
            <w:tcW w:type="dxa" w:w="1900"/>
            <w:tcMar>
              <w:top w:type="dxa" w:w="60"/>
              <w:left w:type="dxa" w:w="100"/>
              <w:bottom w:type="dxa" w:w="60"/>
              <w:right w:type="dxa" w:w="100"/>
            </w:tcMar>
            <w:vAlign w:val="center"/>
          </w:tcPr>
          <w:p>
            <w:pPr>
              <w:jc w:val="left"/>
            </w:pPr>
            <w:r>
              <w:rPr>
                <w:b w:val="false"/>
                <w:bCs w:val="false"/>
                <w:sz w:val="18"/>
                <w:szCs w:val="18"/>
              </w:rPr>
              <w:t xml:space="preserve">uploads, upload_files</w:t>
            </w:r>
          </w:p>
        </w:tc>
        <w:tc>
          <w:tcPr>
            <w:tcW w:type="dxa" w:w="1500"/>
            <w:tcMar>
              <w:top w:type="dxa" w:w="60"/>
              <w:left w:type="dxa" w:w="100"/>
              <w:bottom w:type="dxa" w:w="60"/>
              <w:right w:type="dxa" w:w="100"/>
            </w:tcMar>
            <w:vAlign w:val="center"/>
          </w:tcPr>
          <w:p>
            <w:pPr>
              <w:jc w:val="left"/>
            </w:pPr>
            <w:r>
              <w:rPr>
                <w:b w:val="false"/>
                <w:bCs w:val="false"/>
                <w:sz w:val="18"/>
                <w:szCs w:val="18"/>
              </w:rPr>
              <w:t xml:space="preserve">SCR-03 Upload Centre</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TC-006–TC-010</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FR-MAP-001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Configure and Apply Field Mapping</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 Engine</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mapping_configurations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SCR-04 Mapping Configuration</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TC-011, TC-012</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FR-MAP-002</w:t>
            </w:r>
          </w:p>
        </w:tc>
        <w:tc>
          <w:tcPr>
            <w:tcW w:type="dxa" w:w="2500"/>
            <w:tcMar>
              <w:top w:type="dxa" w:w="60"/>
              <w:left w:type="dxa" w:w="100"/>
              <w:bottom w:type="dxa" w:w="60"/>
              <w:right w:type="dxa" w:w="100"/>
            </w:tcMar>
            <w:vAlign w:val="center"/>
          </w:tcPr>
          <w:p>
            <w:pPr>
              <w:jc w:val="left"/>
            </w:pPr>
            <w:r>
              <w:rPr>
                <w:b w:val="false"/>
                <w:bCs w:val="false"/>
                <w:sz w:val="18"/>
                <w:szCs w:val="18"/>
              </w:rPr>
              <w:t xml:space="preserve">AI-Assisted Mapping Suggestion</w:t>
            </w:r>
          </w:p>
        </w:tc>
        <w:tc>
          <w:tcPr>
            <w:tcW w:type="dxa" w:w="1600"/>
            <w:tcMar>
              <w:top w:type="dxa" w:w="60"/>
              <w:left w:type="dxa" w:w="100"/>
              <w:bottom w:type="dxa" w:w="60"/>
              <w:right w:type="dxa" w:w="100"/>
            </w:tcMar>
            <w:vAlign w:val="center"/>
          </w:tcPr>
          <w:p>
            <w:pPr>
              <w:jc w:val="left"/>
            </w:pPr>
            <w:r>
              <w:rPr>
                <w:b w:val="false"/>
                <w:bCs w:val="false"/>
                <w:sz w:val="18"/>
                <w:szCs w:val="18"/>
              </w:rPr>
              <w:t xml:space="preserve">AI-Assisted Mapping</w:t>
            </w:r>
          </w:p>
        </w:tc>
        <w:tc>
          <w:tcPr>
            <w:tcW w:type="dxa" w:w="1900"/>
            <w:tcMar>
              <w:top w:type="dxa" w:w="60"/>
              <w:left w:type="dxa" w:w="100"/>
              <w:bottom w:type="dxa" w:w="60"/>
              <w:right w:type="dxa" w:w="100"/>
            </w:tcMar>
            <w:vAlign w:val="center"/>
          </w:tcPr>
          <w:p>
            <w:pPr>
              <w:jc w:val="left"/>
            </w:pPr>
            <w:r>
              <w:rPr>
                <w:b w:val="false"/>
                <w:bCs w:val="false"/>
                <w:sz w:val="18"/>
                <w:szCs w:val="18"/>
              </w:rPr>
              <w:t xml:space="preserve">ai_mapping_results</w:t>
            </w:r>
          </w:p>
        </w:tc>
        <w:tc>
          <w:tcPr>
            <w:tcW w:type="dxa" w:w="1500"/>
            <w:tcMar>
              <w:top w:type="dxa" w:w="60"/>
              <w:left w:type="dxa" w:w="100"/>
              <w:bottom w:type="dxa" w:w="60"/>
              <w:right w:type="dxa" w:w="100"/>
            </w:tcMar>
            <w:vAlign w:val="center"/>
          </w:tcPr>
          <w:p>
            <w:pPr>
              <w:jc w:val="left"/>
            </w:pPr>
            <w:r>
              <w:rPr>
                <w:b w:val="false"/>
                <w:bCs w:val="false"/>
                <w:sz w:val="18"/>
                <w:szCs w:val="18"/>
              </w:rPr>
              <w:t xml:space="preserve">SCR-04 Mapping Configuration</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TC-013, TC-014, TC-048</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FR-VAL-001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Run Data Validation</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Data Validation</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validation_results, data_quality_scores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Centre (30.2)</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TC-015–TC-018</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FR-INV-001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Compute Inventory Valuation</w:t>
            </w:r>
          </w:p>
        </w:tc>
        <w:tc>
          <w:tcPr>
            <w:tcW w:type="dxa" w:w="1600"/>
            <w:tcMar>
              <w:top w:type="dxa" w:w="60"/>
              <w:left w:type="dxa" w:w="100"/>
              <w:bottom w:type="dxa" w:w="60"/>
              <w:right w:type="dxa" w:w="100"/>
            </w:tcMar>
            <w:vAlign w:val="center"/>
          </w:tcPr>
          <w:p>
            <w:pPr>
              <w:jc w:val="left"/>
            </w:pPr>
            <w:r>
              <w:rPr>
                <w:b w:val="false"/>
                <w:bCs w:val="false"/>
                <w:sz w:val="18"/>
                <w:szCs w:val="18"/>
              </w:rPr>
              <w:t xml:space="preserve">Inventory Valuation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inventory_valuation_results, inventory_cost_layers</w:t>
            </w:r>
          </w:p>
        </w:tc>
        <w:tc>
          <w:tcPr>
            <w:tcW w:type="dxa" w:w="1500"/>
            <w:tcMar>
              <w:top w:type="dxa" w:w="60"/>
              <w:left w:type="dxa" w:w="100"/>
              <w:bottom w:type="dxa" w:w="60"/>
              <w:right w:type="dxa" w:w="100"/>
            </w:tcMar>
            <w:vAlign w:val="center"/>
          </w:tcPr>
          <w:p>
            <w:pPr>
              <w:jc w:val="left"/>
            </w:pPr>
            <w:r>
              <w:rPr>
                <w:b w:val="false"/>
                <w:bCs w:val="false"/>
                <w:sz w:val="18"/>
                <w:szCs w:val="18"/>
              </w:rPr>
              <w:t xml:space="preserve">Inventory Valuation (via SCR-06)</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TC-019–TC-024</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FR-BOM-001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BOM Explosion and Cost Roll-up</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BOM</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bom_header, bom_components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SCR-05 BOM Master</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TC-025–TC-028</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FR-COST-001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Compute Product Cost</w:t>
            </w:r>
          </w:p>
        </w:tc>
        <w:tc>
          <w:tcPr>
            <w:tcW w:type="dxa" w:w="1600"/>
            <w:tcMar>
              <w:top w:type="dxa" w:w="60"/>
              <w:left w:type="dxa" w:w="100"/>
              <w:bottom w:type="dxa" w:w="60"/>
              <w:right w:type="dxa" w:w="100"/>
            </w:tcMar>
            <w:vAlign w:val="center"/>
          </w:tcPr>
          <w:p>
            <w:pPr>
              <w:jc w:val="left"/>
            </w:pPr>
            <w:r>
              <w:rPr>
                <w:b w:val="false"/>
                <w:bCs w:val="false"/>
                <w:sz w:val="18"/>
                <w:szCs w:val="18"/>
              </w:rPr>
              <w:t xml:space="preserve">Product Costing</w:t>
            </w:r>
          </w:p>
        </w:tc>
        <w:tc>
          <w:tcPr>
            <w:tcW w:type="dxa" w:w="1900"/>
            <w:tcMar>
              <w:top w:type="dxa" w:w="60"/>
              <w:left w:type="dxa" w:w="100"/>
              <w:bottom w:type="dxa" w:w="60"/>
              <w:right w:type="dxa" w:w="100"/>
            </w:tcMar>
            <w:vAlign w:val="center"/>
          </w:tcPr>
          <w:p>
            <w:pPr>
              <w:jc w:val="left"/>
            </w:pPr>
            <w:r>
              <w:rPr>
                <w:b w:val="false"/>
                <w:bCs w:val="false"/>
                <w:sz w:val="18"/>
                <w:szCs w:val="18"/>
              </w:rPr>
              <w:t xml:space="preserve">costing_runs, costing_results</w:t>
            </w:r>
          </w:p>
        </w:tc>
        <w:tc>
          <w:tcPr>
            <w:tcW w:type="dxa" w:w="1500"/>
            <w:tcMar>
              <w:top w:type="dxa" w:w="60"/>
              <w:left w:type="dxa" w:w="100"/>
              <w:bottom w:type="dxa" w:w="60"/>
              <w:right w:type="dxa" w:w="100"/>
            </w:tcMar>
            <w:vAlign w:val="center"/>
          </w:tcPr>
          <w:p>
            <w:pPr>
              <w:jc w:val="left"/>
            </w:pPr>
            <w:r>
              <w:rPr>
                <w:b w:val="false"/>
                <w:bCs w:val="false"/>
                <w:sz w:val="18"/>
                <w:szCs w:val="18"/>
              </w:rPr>
              <w:t xml:space="preserve">SCR-06 Costing Workbench</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TC-029, TC-030</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FR-COST-002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Overhead Allocation</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Overhead Allocation</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allocation_rules, overhead_allocations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SCR-06 Costing Workbench</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TC-031, TC-032</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FR-COST-003</w:t>
            </w:r>
          </w:p>
        </w:tc>
        <w:tc>
          <w:tcPr>
            <w:tcW w:type="dxa" w:w="2500"/>
            <w:tcMar>
              <w:top w:type="dxa" w:w="60"/>
              <w:left w:type="dxa" w:w="100"/>
              <w:bottom w:type="dxa" w:w="60"/>
              <w:right w:type="dxa" w:w="100"/>
            </w:tcMar>
            <w:vAlign w:val="center"/>
          </w:tcPr>
          <w:p>
            <w:pPr>
              <w:jc w:val="left"/>
            </w:pPr>
            <w:r>
              <w:rPr>
                <w:b w:val="false"/>
                <w:bCs w:val="false"/>
                <w:sz w:val="18"/>
                <w:szCs w:val="18"/>
              </w:rPr>
              <w:t xml:space="preserve">Standard vs Actual and Variance Analysis</w:t>
            </w:r>
          </w:p>
        </w:tc>
        <w:tc>
          <w:tcPr>
            <w:tcW w:type="dxa" w:w="1600"/>
            <w:tcMar>
              <w:top w:type="dxa" w:w="60"/>
              <w:left w:type="dxa" w:w="100"/>
              <w:bottom w:type="dxa" w:w="60"/>
              <w:right w:type="dxa" w:w="100"/>
            </w:tcMar>
            <w:vAlign w:val="center"/>
          </w:tcPr>
          <w:p>
            <w:pPr>
              <w:jc w:val="left"/>
            </w:pPr>
            <w:r>
              <w:rPr>
                <w:b w:val="false"/>
                <w:bCs w:val="false"/>
                <w:sz w:val="18"/>
                <w:szCs w:val="18"/>
              </w:rPr>
              <w:t xml:space="preserve">Variance Analysis</w:t>
            </w:r>
          </w:p>
        </w:tc>
        <w:tc>
          <w:tcPr>
            <w:tcW w:type="dxa" w:w="1900"/>
            <w:tcMar>
              <w:top w:type="dxa" w:w="60"/>
              <w:left w:type="dxa" w:w="100"/>
              <w:bottom w:type="dxa" w:w="60"/>
              <w:right w:type="dxa" w:w="100"/>
            </w:tcMar>
            <w:vAlign w:val="center"/>
          </w:tcPr>
          <w:p>
            <w:pPr>
              <w:jc w:val="left"/>
            </w:pPr>
            <w:r>
              <w:rPr>
                <w:b w:val="false"/>
                <w:bCs w:val="false"/>
                <w:sz w:val="18"/>
                <w:szCs w:val="18"/>
              </w:rPr>
              <w:t xml:space="preserve">variances, cost_bridge_segments</w:t>
            </w:r>
          </w:p>
        </w:tc>
        <w:tc>
          <w:tcPr>
            <w:tcW w:type="dxa" w:w="1500"/>
            <w:tcMar>
              <w:top w:type="dxa" w:w="60"/>
              <w:left w:type="dxa" w:w="100"/>
              <w:bottom w:type="dxa" w:w="60"/>
              <w:right w:type="dxa" w:w="100"/>
            </w:tcMar>
            <w:vAlign w:val="center"/>
          </w:tcPr>
          <w:p>
            <w:pPr>
              <w:jc w:val="left"/>
            </w:pPr>
            <w:r>
              <w:rPr>
                <w:b w:val="false"/>
                <w:bCs w:val="false"/>
                <w:sz w:val="18"/>
                <w:szCs w:val="18"/>
              </w:rPr>
              <w:t xml:space="preserve">Standard vs Actual (30.2)</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TC-033, TC-034</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FR-REC-001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Trial Balance and Inventory Reconciliation</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reconciliations, reconciliation_exceptions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 screens (30.2)</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TC-036–TC-038</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FR-AUD-001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Audit Desk Exception Review and Sign-off</w:t>
            </w:r>
          </w:p>
        </w:tc>
        <w:tc>
          <w:tcPr>
            <w:tcW w:type="dxa" w:w="1600"/>
            <w:tcMar>
              <w:top w:type="dxa" w:w="60"/>
              <w:left w:type="dxa" w:w="100"/>
              <w:bottom w:type="dxa" w:w="60"/>
              <w:right w:type="dxa" w:w="100"/>
            </w:tcMar>
            <w:vAlign w:val="center"/>
          </w:tcPr>
          <w:p>
            <w:pPr>
              <w:jc w:val="left"/>
            </w:pPr>
            <w:r>
              <w:rPr>
                <w:b w:val="false"/>
                <w:bCs w:val="false"/>
                <w:sz w:val="18"/>
                <w:szCs w:val="18"/>
              </w:rPr>
              <w:t xml:space="preserve">Audit Desk</w:t>
            </w:r>
          </w:p>
        </w:tc>
        <w:tc>
          <w:tcPr>
            <w:tcW w:type="dxa" w:w="1900"/>
            <w:tcMar>
              <w:top w:type="dxa" w:w="60"/>
              <w:left w:type="dxa" w:w="100"/>
              <w:bottom w:type="dxa" w:w="60"/>
              <w:right w:type="dxa" w:w="100"/>
            </w:tcMar>
            <w:vAlign w:val="center"/>
          </w:tcPr>
          <w:p>
            <w:pPr>
              <w:jc w:val="left"/>
            </w:pPr>
            <w:r>
              <w:rPr>
                <w:b w:val="false"/>
                <w:bCs w:val="false"/>
                <w:sz w:val="18"/>
                <w:szCs w:val="18"/>
              </w:rPr>
              <w:t xml:space="preserve">exceptions, audit_trail</w:t>
            </w:r>
          </w:p>
        </w:tc>
        <w:tc>
          <w:tcPr>
            <w:tcW w:type="dxa" w:w="1500"/>
            <w:tcMar>
              <w:top w:type="dxa" w:w="60"/>
              <w:left w:type="dxa" w:w="100"/>
              <w:bottom w:type="dxa" w:w="60"/>
              <w:right w:type="dxa" w:w="100"/>
            </w:tcMar>
            <w:vAlign w:val="center"/>
          </w:tcPr>
          <w:p>
            <w:pPr>
              <w:jc w:val="left"/>
            </w:pPr>
            <w:r>
              <w:rPr>
                <w:b w:val="false"/>
                <w:bCs w:val="false"/>
                <w:sz w:val="18"/>
                <w:szCs w:val="18"/>
              </w:rPr>
              <w:t xml:space="preserve">SCR-07 Audit Desk</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TC-039</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FR-AUD-002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 Lock and Controlled Reopen</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periods, costing_versions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 (30.2)</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TC-040–TC-043</w:t>
            </w:r>
          </w:p>
        </w:tc>
      </w:tr>
      <w:tr>
        <w:tc>
          <w:tcPr>
            <w:tcW w:type="dxa" w:w="1100"/>
            <w:tcMar>
              <w:top w:type="dxa" w:w="60"/>
              <w:left w:type="dxa" w:w="100"/>
              <w:bottom w:type="dxa" w:w="60"/>
              <w:right w:type="dxa" w:w="100"/>
            </w:tcMar>
            <w:vAlign w:val="center"/>
          </w:tcPr>
          <w:p>
            <w:pPr>
              <w:jc w:val="left"/>
            </w:pPr>
            <w:r>
              <w:rPr>
                <w:b w:val="false"/>
                <w:bCs w:val="false"/>
                <w:sz w:val="18"/>
                <w:szCs w:val="18"/>
              </w:rPr>
              <w:t xml:space="preserve">FR-RPT-001</w:t>
            </w:r>
          </w:p>
        </w:tc>
        <w:tc>
          <w:tcPr>
            <w:tcW w:type="dxa" w:w="2500"/>
            <w:tcMar>
              <w:top w:type="dxa" w:w="60"/>
              <w:left w:type="dxa" w:w="100"/>
              <w:bottom w:type="dxa" w:w="60"/>
              <w:right w:type="dxa" w:w="100"/>
            </w:tcMar>
            <w:vAlign w:val="center"/>
          </w:tcPr>
          <w:p>
            <w:pPr>
              <w:jc w:val="left"/>
            </w:pPr>
            <w:r>
              <w:rPr>
                <w:b w:val="false"/>
                <w:bCs w:val="false"/>
                <w:sz w:val="18"/>
                <w:szCs w:val="18"/>
              </w:rPr>
              <w:t xml:space="preserve">Generate Product Cost Sheet Report</w:t>
            </w:r>
          </w:p>
        </w:tc>
        <w:tc>
          <w:tcPr>
            <w:tcW w:type="dxa" w:w="1600"/>
            <w:tcMar>
              <w:top w:type="dxa" w:w="60"/>
              <w:left w:type="dxa" w:w="100"/>
              <w:bottom w:type="dxa" w:w="60"/>
              <w:right w:type="dxa" w:w="100"/>
            </w:tcMar>
            <w:vAlign w:val="center"/>
          </w:tcPr>
          <w:p>
            <w:pPr>
              <w:jc w:val="left"/>
            </w:pPr>
            <w:r>
              <w:rPr>
                <w:b w:val="false"/>
                <w:bCs w:val="false"/>
                <w:sz w:val="18"/>
                <w:szCs w:val="18"/>
              </w:rPr>
              <w:t xml:space="preserve">Reporting</w:t>
            </w:r>
          </w:p>
        </w:tc>
        <w:tc>
          <w:tcPr>
            <w:tcW w:type="dxa" w:w="1900"/>
            <w:tcMar>
              <w:top w:type="dxa" w:w="60"/>
              <w:left w:type="dxa" w:w="100"/>
              <w:bottom w:type="dxa" w:w="60"/>
              <w:right w:type="dxa" w:w="100"/>
            </w:tcMar>
            <w:vAlign w:val="center"/>
          </w:tcPr>
          <w:p>
            <w:pPr>
              <w:jc w:val="left"/>
            </w:pPr>
            <w:r>
              <w:rPr>
                <w:b w:val="false"/>
                <w:bCs w:val="false"/>
                <w:sz w:val="18"/>
                <w:szCs w:val="18"/>
              </w:rPr>
              <w:t xml:space="preserve">costing_results, report_logs</w:t>
            </w:r>
          </w:p>
        </w:tc>
        <w:tc>
          <w:tcPr>
            <w:tcW w:type="dxa" w:w="1500"/>
            <w:tcMar>
              <w:top w:type="dxa" w:w="60"/>
              <w:left w:type="dxa" w:w="100"/>
              <w:bottom w:type="dxa" w:w="60"/>
              <w:right w:type="dxa" w:w="100"/>
            </w:tcMar>
            <w:vAlign w:val="center"/>
          </w:tcPr>
          <w:p>
            <w:pPr>
              <w:jc w:val="left"/>
            </w:pPr>
            <w:r>
              <w:rPr>
                <w:b w:val="false"/>
                <w:bCs w:val="false"/>
                <w:sz w:val="18"/>
                <w:szCs w:val="18"/>
              </w:rPr>
              <w:t xml:space="preserve">Reports (30.2)</w:t>
            </w:r>
          </w:p>
        </w:tc>
        <w:tc>
          <w:tcPr>
            <w:tcW w:type="dxa" w:w="1000"/>
            <w:tcMar>
              <w:top w:type="dxa" w:w="60"/>
              <w:left w:type="dxa" w:w="100"/>
              <w:bottom w:type="dxa" w:w="60"/>
              <w:right w:type="dxa" w:w="100"/>
            </w:tcMar>
            <w:vAlign w:val="center"/>
          </w:tcPr>
          <w:p>
            <w:pPr>
              <w:jc w:val="left"/>
            </w:pPr>
            <w:r>
              <w:rPr>
                <w:b w:val="false"/>
                <w:bCs w:val="false"/>
                <w:sz w:val="18"/>
                <w:szCs w:val="18"/>
              </w:rPr>
              <w:t xml:space="preserve">TC-045, TC-046</w:t>
            </w:r>
          </w:p>
        </w:tc>
      </w:tr>
      <w:tr>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FR-AI-001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CMA AI Copilot — Natural-Language Query</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AI Layer</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ai_observations</w:t>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AI Insights (30.2)</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TC-049</w:t>
            </w:r>
          </w:p>
        </w:tc>
      </w:tr>
    </w:tbl>
    <w:p>
      <w:pPr>
        <w:spacing w:after="200"/>
      </w:pPr>
    </w:p>
    <w:p>
      <w:pPr>
        <w:spacing w:after="160"/>
      </w:pPr>
      <w:r>
        <w:t xml:space="preserve">Yield Analysis, Cost Bridge, Cost Investigation and other module-level behaviours described narratively in Section 8 (Part 2) but not yet promoted to full FR cards are traced at test-case level only (TC-035, etc.) pending a future revision that expands them to full FR cards — flagged as Proposed / To Be Confirmed scope for that expansion, not a gap in the MVP's actual functional coverage.</w:t>
      </w:r>
    </w:p>
    <w:p>
      <w:r>
        <w:br w:type="page"/>
      </w:r>
    </w:p>
    <w:p>
      <w:pPr>
        <w:pStyle w:val="Heading1"/>
        <w:spacing w:after="240" w:before="480"/>
      </w:pPr>
      <w:r>
        <w:rPr>
          <w:b/>
          <w:bCs/>
        </w:rPr>
        <w:t xml:space="preserve">30. Screen Layouts / Wireframes</w:t>
      </w:r>
    </w:p>
    <w:p>
      <w:pPr>
        <w:spacing w:after="160"/>
      </w:pPr>
      <w:r>
        <w:t xml:space="preserve">ASCII wireframes are used in place of graphical mock-ups, per the source note's allowance where visual mock-ups cannot be generated in this authoring tool. Full field-level, action-level and state-level specification is given for the highest-priority screens below (Section 30.1); the remaining screens from the Menu Specification (Section 9, Part 1) are catalogued at summary level in Section 30.2. Visual direction for all screens: navy blue primary theme, clean enterprise SaaS style, left sidebar navigation, top header with breadcrumbs, KPI cards, data tables with filters/search/pagination, modal forms, status badges, and export controls (per the source note's UI direction).</w:t>
      </w:r>
    </w:p>
    <w:p>
      <w:pPr>
        <w:pStyle w:val="Heading2"/>
        <w:spacing w:after="160" w:before="320"/>
      </w:pPr>
      <w:r>
        <w:rPr>
          <w:b/>
          <w:bCs/>
        </w:rPr>
        <w:t xml:space="preserve">30.1 Priority Screens — Full Specification</w:t>
      </w:r>
    </w:p>
    <w:p>
      <w:pPr>
        <w:pStyle w:val="Heading3"/>
        <w:spacing w:after="120" w:before="240"/>
      </w:pPr>
      <w:r>
        <w:rPr>
          <w:b/>
          <w:bCs/>
        </w:rPr>
        <w:t xml:space="preserve">SCR-01 — Login</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                     COST360                        |</w:t>
      </w:r>
    </w:p>
    <w:p>
      <w:pPr>
        <w:shd w:fill="F2F2F2"/>
        <w:spacing w:after="0"/>
      </w:pPr>
      <w:r>
        <w:rPr>
          <w:rFonts w:ascii="Consolas" w:cs="Consolas" w:eastAsia="Consolas" w:hAnsi="Consolas"/>
          <w:color w:val="333333"/>
          <w:sz w:val="16"/>
          <w:szCs w:val="16"/>
        </w:rPr>
        <w:t xml:space="preserve">|              Think Beyond Cost                     |</w:t>
      </w:r>
    </w:p>
    <w:p>
      <w:pPr>
        <w:shd w:fill="F2F2F2"/>
        <w:spacing w:after="0"/>
      </w:pPr>
      <w:r>
        <w:rPr>
          <w:rFonts w:ascii="Consolas" w:cs="Consolas" w:eastAsia="Consolas" w:hAnsi="Consolas"/>
          <w:color w:val="333333"/>
          <w:sz w:val="16"/>
          <w:szCs w:val="16"/>
        </w:rPr>
        <w:t xml:space="preserve">|                                                    |</w:t>
      </w:r>
    </w:p>
    <w:p>
      <w:pPr>
        <w:shd w:fill="F2F2F2"/>
        <w:spacing w:after="0"/>
      </w:pPr>
      <w:r>
        <w:rPr>
          <w:rFonts w:ascii="Consolas" w:cs="Consolas" w:eastAsia="Consolas" w:hAnsi="Consolas"/>
          <w:color w:val="333333"/>
          <w:sz w:val="16"/>
          <w:szCs w:val="16"/>
        </w:rPr>
        <w:t xml:space="preserve">|   Email / Username   [______________________]      |</w:t>
      </w:r>
    </w:p>
    <w:p>
      <w:pPr>
        <w:shd w:fill="F2F2F2"/>
        <w:spacing w:after="0"/>
      </w:pPr>
      <w:r>
        <w:rPr>
          <w:rFonts w:ascii="Consolas" w:cs="Consolas" w:eastAsia="Consolas" w:hAnsi="Consolas"/>
          <w:color w:val="333333"/>
          <w:sz w:val="16"/>
          <w:szCs w:val="16"/>
        </w:rPr>
        <w:t xml:space="preserve">|   Password           [______________________]      |</w:t>
      </w:r>
    </w:p>
    <w:p>
      <w:pPr>
        <w:shd w:fill="F2F2F2"/>
        <w:spacing w:after="0"/>
      </w:pPr>
      <w:r>
        <w:rPr>
          <w:rFonts w:ascii="Consolas" w:cs="Consolas" w:eastAsia="Consolas" w:hAnsi="Consolas"/>
          <w:color w:val="333333"/>
          <w:sz w:val="16"/>
          <w:szCs w:val="16"/>
        </w:rPr>
        <w:t xml:space="preserve">|                                                    |</w:t>
      </w:r>
    </w:p>
    <w:p>
      <w:pPr>
        <w:shd w:fill="F2F2F2"/>
        <w:spacing w:after="0"/>
      </w:pPr>
      <w:r>
        <w:rPr>
          <w:rFonts w:ascii="Consolas" w:cs="Consolas" w:eastAsia="Consolas" w:hAnsi="Consolas"/>
          <w:color w:val="333333"/>
          <w:sz w:val="16"/>
          <w:szCs w:val="16"/>
        </w:rPr>
        <w:t xml:space="preserve">|              [        Log In        ]              |</w:t>
      </w:r>
    </w:p>
    <w:p>
      <w:pPr>
        <w:shd w:fill="F2F2F2"/>
        <w:spacing w:after="0"/>
      </w:pPr>
      <w:r>
        <w:rPr>
          <w:rFonts w:ascii="Consolas" w:cs="Consolas" w:eastAsia="Consolas" w:hAnsi="Consolas"/>
          <w:color w:val="333333"/>
          <w:sz w:val="16"/>
          <w:szCs w:val="16"/>
        </w:rPr>
        <w:t xml:space="preserve">|                                                    |</w:t>
      </w:r>
    </w:p>
    <w:p>
      <w:pPr>
        <w:shd w:fill="F2F2F2"/>
        <w:spacing w:after="0"/>
      </w:pPr>
      <w:r>
        <w:rPr>
          <w:rFonts w:ascii="Consolas" w:cs="Consolas" w:eastAsia="Consolas" w:hAnsi="Consolas"/>
          <w:color w:val="333333"/>
          <w:sz w:val="16"/>
          <w:szCs w:val="16"/>
        </w:rPr>
        <w:t xml:space="preserve">|              Forgot password?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Authenticate a user and route to their role-specific Dashboard (FR-AUTH-001).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All</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Entry point (unauthenticated).</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Form fields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Email/Username (text), Password (masked).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tcMar>
              <w:top w:type="dxa" w:w="60"/>
              <w:left w:type="dxa" w:w="100"/>
              <w:bottom w:type="dxa" w:w="60"/>
              <w:right w:type="dxa" w:w="100"/>
            </w:tcMar>
            <w:vAlign w:val="center"/>
          </w:tcPr>
          <w:p>
            <w:pPr>
              <w:jc w:val="left"/>
            </w:pPr>
            <w:r>
              <w:rPr>
                <w:b w:val="false"/>
                <w:bCs w:val="false"/>
                <w:sz w:val="18"/>
                <w:szCs w:val="18"/>
              </w:rPr>
              <w:t xml:space="preserve">Log In (primary); Forgot Password (link, Proposed for MVP).</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messages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“Invalid username or password” (generic, does not reveal which field); “Account locked — contact your administrator.”</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N/A.</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Log In button shows a spinner and disables while authenticating.</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Inline banner above the form with the validation message.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Redirect to role-specific Dashboard.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tcMar>
              <w:top w:type="dxa" w:w="60"/>
              <w:left w:type="dxa" w:w="100"/>
              <w:bottom w:type="dxa" w:w="60"/>
              <w:right w:type="dxa" w:w="100"/>
            </w:tcMar>
            <w:vAlign w:val="center"/>
          </w:tcPr>
          <w:p>
            <w:pPr>
              <w:jc w:val="left"/>
            </w:pPr>
            <w:r>
              <w:rPr>
                <w:b w:val="false"/>
                <w:bCs w:val="false"/>
                <w:sz w:val="18"/>
                <w:szCs w:val="18"/>
              </w:rPr>
              <w:t xml:space="preserve">N/A (pre-authorisation).</w:t>
            </w:r>
          </w:p>
        </w:tc>
      </w:tr>
    </w:tbl>
    <w:p>
      <w:pPr>
        <w:spacing w:after="160"/>
      </w:pPr>
    </w:p>
    <w:p>
      <w:pPr>
        <w:pStyle w:val="Heading3"/>
        <w:spacing w:after="120" w:before="240"/>
      </w:pPr>
      <w:r>
        <w:rPr>
          <w:b/>
          <w:bCs/>
        </w:rPr>
        <w:t xml:space="preserve">SCR-02 — Dashboard Shell (Management / CMA / Product routing)</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|LOGO| Home &gt; Dashboard                    [user v]   |</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|Nav |  [KPI] [KPI] [KPI] [KPI]                       |</w:t>
      </w:r>
    </w:p>
    <w:p>
      <w:pPr>
        <w:shd w:fill="F2F2F2"/>
        <w:spacing w:after="0"/>
      </w:pPr>
      <w:r>
        <w:rPr>
          <w:rFonts w:ascii="Consolas" w:cs="Consolas" w:eastAsia="Consolas" w:hAnsi="Consolas"/>
          <w:color w:val="333333"/>
          <w:sz w:val="16"/>
          <w:szCs w:val="16"/>
        </w:rPr>
        <w:t xml:space="preserve">|Dash|                                                |</w:t>
      </w:r>
    </w:p>
    <w:p>
      <w:pPr>
        <w:shd w:fill="F2F2F2"/>
        <w:spacing w:after="0"/>
      </w:pPr>
      <w:r>
        <w:rPr>
          <w:rFonts w:ascii="Consolas" w:cs="Consolas" w:eastAsia="Consolas" w:hAnsi="Consolas"/>
          <w:color w:val="333333"/>
          <w:sz w:val="16"/>
          <w:szCs w:val="16"/>
        </w:rPr>
        <w:t xml:space="preserve">|Data|  +----------------+  +----------------------+ |</w:t>
      </w:r>
    </w:p>
    <w:p>
      <w:pPr>
        <w:shd w:fill="F2F2F2"/>
        <w:spacing w:after="0"/>
      </w:pPr>
      <w:r>
        <w:rPr>
          <w:rFonts w:ascii="Consolas" w:cs="Consolas" w:eastAsia="Consolas" w:hAnsi="Consolas"/>
          <w:color w:val="333333"/>
          <w:sz w:val="16"/>
          <w:szCs w:val="16"/>
        </w:rPr>
        <w:t xml:space="preserve">|Cost|  |  Trend Chart   |  |  Exceptions / Alerts | |</w:t>
      </w:r>
    </w:p>
    <w:p>
      <w:pPr>
        <w:shd w:fill="F2F2F2"/>
        <w:spacing w:after="0"/>
      </w:pPr>
      <w:r>
        <w:rPr>
          <w:rFonts w:ascii="Consolas" w:cs="Consolas" w:eastAsia="Consolas" w:hAnsi="Consolas"/>
          <w:color w:val="333333"/>
          <w:sz w:val="16"/>
          <w:szCs w:val="16"/>
        </w:rPr>
        <w:t xml:space="preserve">|Recn|  +----------------+  +----------------------+ |</w:t>
      </w:r>
    </w:p>
    <w:p>
      <w:pPr>
        <w:shd w:fill="F2F2F2"/>
        <w:spacing w:after="0"/>
      </w:pPr>
      <w:r>
        <w:rPr>
          <w:rFonts w:ascii="Consolas" w:cs="Consolas" w:eastAsia="Consolas" w:hAnsi="Consolas"/>
          <w:color w:val="333333"/>
          <w:sz w:val="16"/>
          <w:szCs w:val="16"/>
        </w:rPr>
        <w:t xml:space="preserve">|Adit|                                                |</w:t>
      </w:r>
    </w:p>
    <w:p>
      <w:pPr>
        <w:shd w:fill="F2F2F2"/>
        <w:spacing w:after="0"/>
      </w:pPr>
      <w:r>
        <w:rPr>
          <w:rFonts w:ascii="Consolas" w:cs="Consolas" w:eastAsia="Consolas" w:hAnsi="Consolas"/>
          <w:color w:val="333333"/>
          <w:sz w:val="16"/>
          <w:szCs w:val="16"/>
        </w:rPr>
        <w:t xml:space="preserve">|Anly|  +--------------------------------------------+|</w:t>
      </w:r>
    </w:p>
    <w:p>
      <w:pPr>
        <w:shd w:fill="F2F2F2"/>
        <w:spacing w:after="0"/>
      </w:pPr>
      <w:r>
        <w:rPr>
          <w:rFonts w:ascii="Consolas" w:cs="Consolas" w:eastAsia="Consolas" w:hAnsi="Consolas"/>
          <w:color w:val="333333"/>
          <w:sz w:val="16"/>
          <w:szCs w:val="16"/>
        </w:rPr>
        <w:t xml:space="preserve">|Rprt|  |  Detail table (filterable, sortable)        ||</w:t>
      </w:r>
    </w:p>
    <w:p>
      <w:pPr>
        <w:shd w:fill="F2F2F2"/>
        <w:spacing w:after="0"/>
      </w:pPr>
      <w:r>
        <w:rPr>
          <w:rFonts w:ascii="Consolas" w:cs="Consolas" w:eastAsia="Consolas" w:hAnsi="Consolas"/>
          <w:color w:val="333333"/>
          <w:sz w:val="16"/>
          <w:szCs w:val="16"/>
        </w:rPr>
        <w:t xml:space="preserve">|Sys |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Landing page after login; renders Management, CMA or Product Dashboard content per role/context (Section 13, Part 3).</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All (content varies by role).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Left sidebar → Dashboard (top item).</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Header</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Logo, breadcrumb, user menu (profile, switch role/context if multi-role, logout).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Sidebar</w:t>
            </w:r>
          </w:p>
        </w:tc>
        <w:tc>
          <w:tcPr>
            <w:tcW w:type="dxa" w:w="7600"/>
            <w:tcMar>
              <w:top w:type="dxa" w:w="60"/>
              <w:left w:type="dxa" w:w="100"/>
              <w:bottom w:type="dxa" w:w="60"/>
              <w:right w:type="dxa" w:w="100"/>
            </w:tcMar>
            <w:vAlign w:val="center"/>
          </w:tcPr>
          <w:p>
            <w:pPr>
              <w:jc w:val="left"/>
            </w:pPr>
            <w:r>
              <w:rPr>
                <w:b w:val="false"/>
                <w:bCs w:val="false"/>
                <w:sz w:val="18"/>
                <w:szCs w:val="18"/>
              </w:rPr>
              <w:t xml:space="preserve">Full menu per Section 9 (Part 1), filtered by RBAC (Section 4.7, Part 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Filters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Company/Plant, Period (global filter bar, persists across dashboard components).</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Table columns / components</w:t>
            </w:r>
          </w:p>
        </w:tc>
        <w:tc>
          <w:tcPr>
            <w:tcW w:type="dxa" w:w="7600"/>
            <w:tcMar>
              <w:top w:type="dxa" w:w="60"/>
              <w:left w:type="dxa" w:w="100"/>
              <w:bottom w:type="dxa" w:w="60"/>
              <w:right w:type="dxa" w:w="100"/>
            </w:tcMar>
            <w:vAlign w:val="center"/>
          </w:tcPr>
          <w:p>
            <w:pPr>
              <w:jc w:val="left"/>
            </w:pPr>
            <w:r>
              <w:rPr>
                <w:b w:val="false"/>
                <w:bCs w:val="false"/>
                <w:sz w:val="18"/>
                <w:szCs w:val="18"/>
              </w:rPr>
              <w:t xml:space="preserve">Per Section 13.1–13.3 (Part 3) component specifications.</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Drill-down on any KPI/chart/table row; Export (where applicable).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“No data for the selected period/plant — try a different filter” with a link to Upload Centre if no uploads exist yet.</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Skeleton placeholders for KPI cards and charts while data loads.</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Component-level error banner (“Couldn't load this widget”) that does not block the rest of the dashboard.</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Populated KPI cards, charts and tables.</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tcMar>
              <w:top w:type="dxa" w:w="60"/>
              <w:left w:type="dxa" w:w="100"/>
              <w:bottom w:type="dxa" w:w="60"/>
              <w:right w:type="dxa" w:w="100"/>
            </w:tcMar>
            <w:vAlign w:val="center"/>
          </w:tcPr>
          <w:p>
            <w:pPr>
              <w:jc w:val="left"/>
            </w:pPr>
            <w:r>
              <w:rPr>
                <w:b w:val="false"/>
                <w:bCs w:val="false"/>
                <w:sz w:val="18"/>
                <w:szCs w:val="18"/>
              </w:rPr>
              <w:t xml:space="preserve">Components a role has no access to are omitted entirely, not shown disabled.</w:t>
            </w:r>
          </w:p>
        </w:tc>
      </w:tr>
    </w:tbl>
    <w:p>
      <w:pPr>
        <w:spacing w:after="160"/>
      </w:pPr>
    </w:p>
    <w:p>
      <w:pPr>
        <w:pStyle w:val="Heading3"/>
        <w:spacing w:after="120" w:before="240"/>
      </w:pPr>
      <w:r>
        <w:rPr>
          <w:b/>
          <w:bCs/>
        </w:rPr>
        <w:t xml:space="preserve">SCR-03 — Upload Centre</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|LOGO| Data Management &gt; Upload Centre                |</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|Nav | Company [v] Plant [v] Period [v] Source [v]    |</w:t>
      </w:r>
    </w:p>
    <w:p>
      <w:pPr>
        <w:shd w:fill="F2F2F2"/>
        <w:spacing w:after="0"/>
      </w:pPr>
      <w:r>
        <w:rPr>
          <w:rFonts w:ascii="Consolas" w:cs="Consolas" w:eastAsia="Consolas" w:hAnsi="Consolas"/>
          <w:color w:val="333333"/>
          <w:sz w:val="16"/>
          <w:szCs w:val="16"/>
        </w:rPr>
        <w:t xml:space="preserve">|    |                                                |</w:t>
      </w:r>
    </w:p>
    <w:p>
      <w:pPr>
        <w:shd w:fill="F2F2F2"/>
        <w:spacing w:after="0"/>
      </w:pPr>
      <w:r>
        <w:rPr>
          <w:rFonts w:ascii="Consolas" w:cs="Consolas" w:eastAsia="Consolas" w:hAnsi="Consolas"/>
          <w:color w:val="333333"/>
          <w:sz w:val="16"/>
          <w:szCs w:val="16"/>
        </w:rPr>
        <w:t xml:space="preserve">|    |   [ Drag &amp; drop file here, or Browse ]          |</w:t>
      </w:r>
    </w:p>
    <w:p>
      <w:pPr>
        <w:shd w:fill="F2F2F2"/>
        <w:spacing w:after="0"/>
      </w:pPr>
      <w:r>
        <w:rPr>
          <w:rFonts w:ascii="Consolas" w:cs="Consolas" w:eastAsia="Consolas" w:hAnsi="Consolas"/>
          <w:color w:val="333333"/>
          <w:sz w:val="16"/>
          <w:szCs w:val="16"/>
        </w:rPr>
        <w:t xml:space="preserve">|    |                                                |</w:t>
      </w:r>
    </w:p>
    <w:p>
      <w:pPr>
        <w:shd w:fill="F2F2F2"/>
        <w:spacing w:after="0"/>
      </w:pPr>
      <w:r>
        <w:rPr>
          <w:rFonts w:ascii="Consolas" w:cs="Consolas" w:eastAsia="Consolas" w:hAnsi="Consolas"/>
          <w:color w:val="333333"/>
          <w:sz w:val="16"/>
          <w:szCs w:val="16"/>
        </w:rPr>
        <w:t xml:space="preserve">|    |  Recent uploads: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File | Source | Period | Status | Actions |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Upload a source file into the pipeline (FR-UPL-001).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CMA (Upload permission).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Sidebar → Data Management → Upload Centre.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Filters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 Division, Plant, Warehouse, Period, Source Type (all mandatory before upload is enabled).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Form fields</w:t>
            </w:r>
          </w:p>
        </w:tc>
        <w:tc>
          <w:tcPr>
            <w:tcW w:type="dxa" w:w="7600"/>
            <w:tcMar>
              <w:top w:type="dxa" w:w="60"/>
              <w:left w:type="dxa" w:w="100"/>
              <w:bottom w:type="dxa" w:w="60"/>
              <w:right w:type="dxa" w:w="100"/>
            </w:tcMar>
            <w:vAlign w:val="center"/>
          </w:tcPr>
          <w:p>
            <w:pPr>
              <w:jc w:val="left"/>
            </w:pPr>
            <w:r>
              <w:rPr>
                <w:b w:val="false"/>
                <w:bCs w:val="false"/>
                <w:sz w:val="18"/>
                <w:szCs w:val="18"/>
              </w:rPr>
              <w:t xml:space="preserve">File picker (drag-and-drop and Browse).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Table columns (recent uploads)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File Name, Source Type, Period, Uploaded By, Uploaded At, Status (badge), Actions (View / Go to Mapping).</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tcMar>
              <w:top w:type="dxa" w:w="60"/>
              <w:left w:type="dxa" w:w="100"/>
              <w:bottom w:type="dxa" w:w="60"/>
              <w:right w:type="dxa" w:w="100"/>
            </w:tcMar>
            <w:vAlign w:val="center"/>
          </w:tcPr>
          <w:p>
            <w:pPr>
              <w:jc w:val="left"/>
            </w:pPr>
            <w:r>
              <w:rPr>
                <w:b w:val="false"/>
                <w:bCs w:val="false"/>
                <w:sz w:val="18"/>
                <w:szCs w:val="18"/>
              </w:rPr>
              <w:t xml:space="preserve">Upload; row action “Go to Mapping” (enabled once status = Pending Mapping).</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messages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“Unsupported file type,” “File is empty,” “Period is locked — uploads are disabled,” “Please select Company, Plant and Source Type first.”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“No uploads yet for this selection — upload your first file above.”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Progress bar during upload; recent-uploads table shows a loading skeleton on filter change.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Red status badge + inline error banner naming the specific failure.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Green “Uploaded” status badge; row auto-refreshes as it progresses through Pending Mapping → Pending Validation → Validated → Processed.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tcMar>
              <w:top w:type="dxa" w:w="60"/>
              <w:left w:type="dxa" w:w="100"/>
              <w:bottom w:type="dxa" w:w="60"/>
              <w:right w:type="dxa" w:w="100"/>
            </w:tcMar>
            <w:vAlign w:val="center"/>
          </w:tcPr>
          <w:p>
            <w:pPr>
              <w:jc w:val="left"/>
            </w:pPr>
            <w:r>
              <w:rPr>
                <w:b w:val="false"/>
                <w:bCs w:val="false"/>
                <w:sz w:val="18"/>
                <w:szCs w:val="18"/>
              </w:rPr>
              <w:t xml:space="preserve">Upload control hidden/disabled for roles without Upload permission (view-only table shown instead).</w:t>
            </w:r>
          </w:p>
        </w:tc>
      </w:tr>
    </w:tbl>
    <w:p>
      <w:pPr>
        <w:spacing w:after="160"/>
      </w:pPr>
    </w:p>
    <w:p>
      <w:pPr>
        <w:pStyle w:val="Heading3"/>
        <w:spacing w:after="120" w:before="240"/>
      </w:pPr>
      <w:r>
        <w:rPr>
          <w:b/>
          <w:bCs/>
        </w:rPr>
        <w:t xml:space="preserve">SCR-04 — Mapping Configuration</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|LOGO| Data Management &gt; Mapping Configuration        |</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|Nav |  Upload: TB_Sept2026.xlsx   [AI Suggest]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Source Column | -&gt; | Target Field | Xform | |</w:t>
      </w:r>
    </w:p>
    <w:p>
      <w:pPr>
        <w:shd w:fill="F2F2F2"/>
        <w:spacing w:after="0"/>
      </w:pPr>
      <w:r>
        <w:rPr>
          <w:rFonts w:ascii="Consolas" w:cs="Consolas" w:eastAsia="Consolas" w:hAnsi="Consolas"/>
          <w:color w:val="333333"/>
          <w:sz w:val="16"/>
          <w:szCs w:val="16"/>
        </w:rPr>
        <w:t xml:space="preserve">|    |  | Account No    | -&gt; | account_code |  -    | |</w:t>
      </w:r>
    </w:p>
    <w:p>
      <w:pPr>
        <w:shd w:fill="F2F2F2"/>
        <w:spacing w:after="0"/>
      </w:pPr>
      <w:r>
        <w:rPr>
          <w:rFonts w:ascii="Consolas" w:cs="Consolas" w:eastAsia="Consolas" w:hAnsi="Consolas"/>
          <w:color w:val="333333"/>
          <w:sz w:val="16"/>
          <w:szCs w:val="16"/>
        </w:rPr>
        <w:t xml:space="preserve">|    |  | Debit Amt     | -&gt; | debit_amount |  -    | |</w:t>
      </w:r>
    </w:p>
    <w:p>
      <w:pPr>
        <w:shd w:fill="F2F2F2"/>
        <w:spacing w:after="0"/>
      </w:pPr>
      <w:r>
        <w:rPr>
          <w:rFonts w:ascii="Consolas" w:cs="Consolas" w:eastAsia="Consolas" w:hAnsi="Consolas"/>
          <w:color w:val="333333"/>
          <w:sz w:val="16"/>
          <w:szCs w:val="16"/>
        </w:rPr>
        <w:t xml:space="preserve">|    |  | ...           |    | (AI-suggested, unconfirmed, highlighted)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Save Mapping ]  [ Save &amp; Validate ]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Map source columns to canonical fields, optionally AI-assisted (FR-MAP-001, FR-MAP-002).</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From Upload Centre row action, or Sidebar → Data Management → Mapping Configuration.</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Table columns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 Column, Sample Value, Target Field (dropdown of canonical fields), Transformation (optional), AI Suggested (badge if applicable).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tcMar>
              <w:top w:type="dxa" w:w="60"/>
              <w:left w:type="dxa" w:w="100"/>
              <w:bottom w:type="dxa" w:w="60"/>
              <w:right w:type="dxa" w:w="100"/>
            </w:tcMar>
            <w:vAlign w:val="center"/>
          </w:tcPr>
          <w:p>
            <w:pPr>
              <w:jc w:val="left"/>
            </w:pPr>
            <w:r>
              <w:rPr>
                <w:b w:val="false"/>
                <w:bCs w:val="false"/>
                <w:sz w:val="18"/>
                <w:szCs w:val="18"/>
              </w:rPr>
              <w:t xml:space="preserve">AI Suggest (triggers FR-MAP-002); Save Mapping; Save &amp; Validate (chains into FR-VAL-001).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messages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“This mandatory field is not mapped,” “Two columns map to the same field — add an aggregation rule.”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N/A (always has the upload's columns to map).</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AI Suggest button shows a spinner while awaiting the AI service; falls back silently to manual mapping on timeout (FR-MAP-002 Exception Flow).</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Row-level red highlight on an unmapped mandatory field; save is blocked until resolved.</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 saved” confirmation; upload status advances to Pending Validation.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tcMar>
              <w:top w:type="dxa" w:w="60"/>
              <w:left w:type="dxa" w:w="100"/>
              <w:bottom w:type="dxa" w:w="60"/>
              <w:right w:type="dxa" w:w="100"/>
            </w:tcMar>
            <w:vAlign w:val="center"/>
          </w:tcPr>
          <w:p>
            <w:pPr>
              <w:jc w:val="left"/>
            </w:pPr>
            <w:r>
              <w:rPr>
                <w:b w:val="false"/>
                <w:bCs w:val="false"/>
                <w:sz w:val="18"/>
                <w:szCs w:val="18"/>
              </w:rPr>
              <w:t xml:space="preserve">Read-only view for roles without mapping permission.</w:t>
            </w:r>
          </w:p>
        </w:tc>
      </w:tr>
    </w:tbl>
    <w:p>
      <w:pPr>
        <w:spacing w:after="160"/>
      </w:pPr>
    </w:p>
    <w:p>
      <w:pPr>
        <w:pStyle w:val="Heading3"/>
        <w:spacing w:after="120" w:before="240"/>
      </w:pPr>
      <w:r>
        <w:rPr>
          <w:b/>
          <w:bCs/>
        </w:rPr>
        <w:t xml:space="preserve">SCR-05 — BOM Master</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|LOGO| Master Data &gt; BOM Master                       |</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|Nav | Item: [Widget-A v]  Version: [v2 - Active v]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Line | Component | Qty/per | UOM | Scrap%  | |</w:t>
      </w:r>
    </w:p>
    <w:p>
      <w:pPr>
        <w:shd w:fill="F2F2F2"/>
        <w:spacing w:after="0"/>
      </w:pPr>
      <w:r>
        <w:rPr>
          <w:rFonts w:ascii="Consolas" w:cs="Consolas" w:eastAsia="Consolas" w:hAnsi="Consolas"/>
          <w:color w:val="333333"/>
          <w:sz w:val="16"/>
          <w:szCs w:val="16"/>
        </w:rPr>
        <w:t xml:space="preserve">|    |  |  1   | Steel Rod |  2.500  | KG  |  1.0    | |</w:t>
      </w:r>
    </w:p>
    <w:p>
      <w:pPr>
        <w:shd w:fill="F2F2F2"/>
        <w:spacing w:after="0"/>
      </w:pPr>
      <w:r>
        <w:rPr>
          <w:rFonts w:ascii="Consolas" w:cs="Consolas" w:eastAsia="Consolas" w:hAnsi="Consolas"/>
          <w:color w:val="333333"/>
          <w:sz w:val="16"/>
          <w:szCs w:val="16"/>
        </w:rPr>
        <w:t xml:space="preserve">|    |  |  2   | Sub-Assy X|  1.000  | EA  |  0.0    |&gt;| (expandable)</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Add Component]      [ Submit for Approval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Maintain multi-level BOM headers and components (Master Data MD-15; feeds FR-BOM-001).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CMA (Create/Edit/Approve per RBAC).</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Sidebar → Master Data → BOM Master.</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Filters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Item, BOM Version.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Table columns</w:t>
            </w:r>
          </w:p>
        </w:tc>
        <w:tc>
          <w:tcPr>
            <w:tcW w:type="dxa" w:w="7600"/>
            <w:tcMar>
              <w:top w:type="dxa" w:w="60"/>
              <w:left w:type="dxa" w:w="100"/>
              <w:bottom w:type="dxa" w:w="60"/>
              <w:right w:type="dxa" w:w="100"/>
            </w:tcMar>
            <w:vAlign w:val="center"/>
          </w:tcPr>
          <w:p>
            <w:pPr>
              <w:jc w:val="left"/>
            </w:pPr>
            <w:r>
              <w:rPr>
                <w:b w:val="false"/>
                <w:bCs w:val="false"/>
                <w:sz w:val="18"/>
                <w:szCs w:val="18"/>
              </w:rPr>
              <w:t xml:space="preserve">Line No., Component Item, Quantity-per, UOM, Scrap %, Phantom flag; expandable rows for sub-assembly BOMs (multi-level).</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Add Component; Delete Line; New Version; Submit for Approval; Explode Preview (shows the full exploded tree without running a costing engine).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Validation messages</w:t>
            </w:r>
          </w:p>
        </w:tc>
        <w:tc>
          <w:tcPr>
            <w:tcW w:type="dxa" w:w="7600"/>
            <w:tcMar>
              <w:top w:type="dxa" w:w="60"/>
              <w:left w:type="dxa" w:w="100"/>
              <w:bottom w:type="dxa" w:w="60"/>
              <w:right w:type="dxa" w:w="100"/>
            </w:tcMar>
            <w:vAlign w:val="center"/>
          </w:tcPr>
          <w:p>
            <w:pPr>
              <w:jc w:val="left"/>
            </w:pPr>
            <w:r>
              <w:rPr>
                <w:b w:val="false"/>
                <w:bCs w:val="false"/>
                <w:sz w:val="18"/>
                <w:szCs w:val="18"/>
              </w:rPr>
              <w:t xml:space="preserve">“Circular reference detected: Widget-A → Sub-Assy X → Widget-A” (BR-BOM-001, blocks save); “Quantity must be greater than zero.”</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“No BOM defined for this item yet — add the first component.”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Skeleton rows while the (potentially multi-level) BOM loads.</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Red row highlight + message for the offending line.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“Submitted for approval” banner; status badge changes to Draft/Pending Approval/Active/Obsolete.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Approve action visible only to users with Approve permission on BOM (RBAC Matrix, Section 4.7, Part 1).</w:t>
            </w:r>
          </w:p>
        </w:tc>
      </w:tr>
    </w:tbl>
    <w:p>
      <w:pPr>
        <w:spacing w:after="160"/>
      </w:pPr>
    </w:p>
    <w:p>
      <w:pPr>
        <w:pStyle w:val="Heading3"/>
        <w:spacing w:after="120" w:before="240"/>
      </w:pPr>
      <w:r>
        <w:rPr>
          <w:b/>
          <w:bCs/>
        </w:rPr>
        <w:t xml:space="preserve">SCR-06 — Costing Workbench</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|LOGO| Costing &gt; Costing Workbench                    |</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|Nav | Plant [v]  Period [v]  Mode: (o)Standard ()Actual|</w:t>
      </w:r>
    </w:p>
    <w:p>
      <w:pPr>
        <w:shd w:fill="F2F2F2"/>
        <w:spacing w:after="0"/>
      </w:pPr>
      <w:r>
        <w:rPr>
          <w:rFonts w:ascii="Consolas" w:cs="Consolas" w:eastAsia="Consolas" w:hAnsi="Consolas"/>
          <w:color w:val="333333"/>
          <w:sz w:val="16"/>
          <w:szCs w:val="16"/>
        </w:rPr>
        <w:t xml:space="preserve">|    |                                                |</w:t>
      </w:r>
    </w:p>
    <w:p>
      <w:pPr>
        <w:shd w:fill="F2F2F2"/>
        <w:spacing w:after="0"/>
      </w:pPr>
      <w:r>
        <w:rPr>
          <w:rFonts w:ascii="Consolas" w:cs="Consolas" w:eastAsia="Consolas" w:hAnsi="Consolas"/>
          <w:color w:val="333333"/>
          <w:sz w:val="16"/>
          <w:szCs w:val="16"/>
        </w:rPr>
        <w:t xml:space="preserve">|    |  1. Inventory Valuation     [Run]  [Status: OK] |</w:t>
      </w:r>
    </w:p>
    <w:p>
      <w:pPr>
        <w:shd w:fill="F2F2F2"/>
        <w:spacing w:after="0"/>
      </w:pPr>
      <w:r>
        <w:rPr>
          <w:rFonts w:ascii="Consolas" w:cs="Consolas" w:eastAsia="Consolas" w:hAnsi="Consolas"/>
          <w:color w:val="333333"/>
          <w:sz w:val="16"/>
          <w:szCs w:val="16"/>
        </w:rPr>
        <w:t xml:space="preserve">|    |  2. BOM Cost Roll-up        [Run]  [Status: OK] |</w:t>
      </w:r>
    </w:p>
    <w:p>
      <w:pPr>
        <w:shd w:fill="F2F2F2"/>
        <w:spacing w:after="0"/>
      </w:pPr>
      <w:r>
        <w:rPr>
          <w:rFonts w:ascii="Consolas" w:cs="Consolas" w:eastAsia="Consolas" w:hAnsi="Consolas"/>
          <w:color w:val="333333"/>
          <w:sz w:val="16"/>
          <w:szCs w:val="16"/>
        </w:rPr>
        <w:t xml:space="preserve">|    |  3. Overhead Allocation     [Run]  [Status: --] |</w:t>
      </w:r>
    </w:p>
    <w:p>
      <w:pPr>
        <w:shd w:fill="F2F2F2"/>
        <w:spacing w:after="0"/>
      </w:pPr>
      <w:r>
        <w:rPr>
          <w:rFonts w:ascii="Consolas" w:cs="Consolas" w:eastAsia="Consolas" w:hAnsi="Consolas"/>
          <w:color w:val="333333"/>
          <w:sz w:val="16"/>
          <w:szCs w:val="16"/>
        </w:rPr>
        <w:t xml:space="preserve">|    |  4. Product Costing         [Run]  [Status: --] |</w:t>
      </w:r>
    </w:p>
    <w:p>
      <w:pPr>
        <w:shd w:fill="F2F2F2"/>
        <w:spacing w:after="0"/>
      </w:pPr>
      <w:r>
        <w:rPr>
          <w:rFonts w:ascii="Consolas" w:cs="Consolas" w:eastAsia="Consolas" w:hAnsi="Consolas"/>
          <w:color w:val="333333"/>
          <w:sz w:val="16"/>
          <w:szCs w:val="16"/>
        </w:rPr>
        <w:t xml:space="preserve">|    |  5. Standard vs Actual      [Run]  [Status: --] |</w:t>
      </w:r>
    </w:p>
    <w:p>
      <w:pPr>
        <w:shd w:fill="F2F2F2"/>
        <w:spacing w:after="0"/>
      </w:pPr>
      <w:r>
        <w:rPr>
          <w:rFonts w:ascii="Consolas" w:cs="Consolas" w:eastAsia="Consolas" w:hAnsi="Consolas"/>
          <w:color w:val="333333"/>
          <w:sz w:val="16"/>
          <w:szCs w:val="16"/>
        </w:rPr>
        <w:t xml:space="preserve">|    |  6. Reconciliation          [Run]  [Status: --]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Orchestration screen sequencing the costing engines for a plant/period (supports FR-INV-001, FR-BOM-001, FR-COST-001–003, FR-REC-001).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Sidebar → Costing → Costing Workbench.</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Filters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Plant, Period, Mode (Standard/Actual).</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Table/list</w:t>
            </w:r>
          </w:p>
        </w:tc>
        <w:tc>
          <w:tcPr>
            <w:tcW w:type="dxa" w:w="7600"/>
            <w:tcMar>
              <w:top w:type="dxa" w:w="60"/>
              <w:left w:type="dxa" w:w="100"/>
              <w:bottom w:type="dxa" w:w="60"/>
              <w:right w:type="dxa" w:w="100"/>
            </w:tcMar>
            <w:vAlign w:val="center"/>
          </w:tcPr>
          <w:p>
            <w:pPr>
              <w:jc w:val="left"/>
            </w:pPr>
            <w:r>
              <w:rPr>
                <w:b w:val="false"/>
                <w:bCs w:val="false"/>
                <w:sz w:val="18"/>
                <w:szCs w:val="18"/>
              </w:rPr>
              <w:t xml:space="preserve">Ordered engine steps with a Run action and a status indicator per step (Not Run / Running / OK / Error).</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Run (per step); Run All (executes remaining steps in sequence); View Result (per completed step).</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Validation messages</w:t>
            </w:r>
          </w:p>
        </w:tc>
        <w:tc>
          <w:tcPr>
            <w:tcW w:type="dxa" w:w="7600"/>
            <w:tcMar>
              <w:top w:type="dxa" w:w="60"/>
              <w:left w:type="dxa" w:w="100"/>
              <w:bottom w:type="dxa" w:w="60"/>
              <w:right w:type="dxa" w:w="100"/>
            </w:tcMar>
            <w:vAlign w:val="center"/>
          </w:tcPr>
          <w:p>
            <w:pPr>
              <w:jc w:val="left"/>
            </w:pPr>
            <w:r>
              <w:rPr>
                <w:b w:val="false"/>
                <w:bCs w:val="false"/>
                <w:sz w:val="18"/>
                <w:szCs w:val="18"/>
              </w:rPr>
              <w:t xml:space="preserve">“Step 2 requires Step 1 to complete first” (enforces the engine dependency order from Figure 31.5, Part 3).</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All steps show “Not Run” for a fresh period.</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Running step shows a progress spinner; screen polls Background Jobs (Section 25.4, Part 3) for long-running steps.</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Step shows a red “Error” badge with a link to the specific exception/blocking issue.</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Green “OK” badge per step; once all steps are OK, a banner offers “Proceed to Period Close.”</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Run controls hidden for roles without Run permission (Management/Auditor see status read-only).</w:t>
            </w:r>
          </w:p>
        </w:tc>
      </w:tr>
    </w:tbl>
    <w:p>
      <w:pPr>
        <w:spacing w:after="160"/>
      </w:pPr>
    </w:p>
    <w:p>
      <w:pPr>
        <w:pStyle w:val="Heading3"/>
        <w:spacing w:after="120" w:before="240"/>
      </w:pPr>
      <w:r>
        <w:rPr>
          <w:b/>
          <w:bCs/>
        </w:rPr>
        <w:t xml:space="preserve">SCR-07 — Audit Desk</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|LOGO| Audit &gt; Audit Desk                              |</w:t>
      </w:r>
    </w:p>
    <w:p>
      <w:pPr>
        <w:shd w:fill="F2F2F2"/>
        <w:spacing w:after="0"/>
      </w:pPr>
      <w:r>
        <w:rPr>
          <w:rFonts w:ascii="Consolas" w:cs="Consolas" w:eastAsia="Consolas" w:hAnsi="Consolas"/>
          <w:color w:val="333333"/>
          <w:sz w:val="16"/>
          <w:szCs w:val="16"/>
        </w:rPr>
        <w:t xml:space="preserve">+----+-----------------------------------------------+</w:t>
      </w:r>
    </w:p>
    <w:p>
      <w:pPr>
        <w:shd w:fill="F2F2F2"/>
        <w:spacing w:after="0"/>
      </w:pPr>
      <w:r>
        <w:rPr>
          <w:rFonts w:ascii="Consolas" w:cs="Consolas" w:eastAsia="Consolas" w:hAnsi="Consolas"/>
          <w:color w:val="333333"/>
          <w:sz w:val="16"/>
          <w:szCs w:val="16"/>
        </w:rPr>
        <w:t xml:space="preserve">|Nav | Filter: Module [v] Severity [v] Status [v]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Module | Severity | Description   | Status | |</w:t>
      </w:r>
    </w:p>
    <w:p>
      <w:pPr>
        <w:shd w:fill="F2F2F2"/>
        <w:spacing w:after="0"/>
      </w:pPr>
      <w:r>
        <w:rPr>
          <w:rFonts w:ascii="Consolas" w:cs="Consolas" w:eastAsia="Consolas" w:hAnsi="Consolas"/>
          <w:color w:val="333333"/>
          <w:sz w:val="16"/>
          <w:szCs w:val="16"/>
        </w:rPr>
        <w:t xml:space="preserve">|    |  | Recon  |  High    | TB variance...| Open   | |</w:t>
      </w:r>
    </w:p>
    <w:p>
      <w:pPr>
        <w:shd w:fill="F2F2F2"/>
        <w:spacing w:after="0"/>
      </w:pPr>
      <w:r>
        <w:rPr>
          <w:rFonts w:ascii="Consolas" w:cs="Consolas" w:eastAsia="Consolas" w:hAnsi="Consolas"/>
          <w:color w:val="333333"/>
          <w:sz w:val="16"/>
          <w:szCs w:val="16"/>
        </w:rPr>
        <w:t xml:space="preserve">|    |  | Costing|  Med     | Missing OH...  | Open   | |</w:t>
      </w:r>
    </w:p>
    <w:p>
      <w:pPr>
        <w:shd w:fill="F2F2F2"/>
        <w:spacing w:after="0"/>
      </w:pPr>
      <w:r>
        <w:rPr>
          <w:rFonts w:ascii="Consolas" w:cs="Consolas" w:eastAsia="Consolas" w:hAnsi="Consolas"/>
          <w:color w:val="333333"/>
          <w:sz w:val="16"/>
          <w:szCs w:val="16"/>
        </w:rPr>
        <w:t xml:space="preserve">|    |  +-------------------------------------------+ |</w:t>
      </w:r>
    </w:p>
    <w:p>
      <w:pPr>
        <w:shd w:fill="F2F2F2"/>
        <w:spacing w:after="0"/>
      </w:pPr>
      <w:r>
        <w:rPr>
          <w:rFonts w:ascii="Consolas" w:cs="Consolas" w:eastAsia="Consolas" w:hAnsi="Consolas"/>
          <w:color w:val="333333"/>
          <w:sz w:val="16"/>
          <w:szCs w:val="16"/>
        </w:rPr>
        <w:t xml:space="preserve">|    |  [ View Evidence ]  [ Approve ]  [ Reject ]     |</w:t>
      </w:r>
    </w:p>
    <w:p>
      <w:pPr>
        <w:shd w:fill="F2F2F2"/>
        <w:spacing w:after="0"/>
      </w:pPr>
      <w:r>
        <w:rPr>
          <w:rFonts w:ascii="Consolas" w:cs="Consolas" w:eastAsia="Consolas" w:hAnsi="Consolas"/>
          <w:color w:val="333333"/>
          <w:sz w:val="16"/>
          <w:szCs w:val="16"/>
        </w:rPr>
        <w:t xml:space="preserv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760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600"/>
            <w:shd w:fill="1F3864" w:color="auto" w:val="clear"/>
            <w:tcMar>
              <w:top w:type="dxa" w:w="60"/>
              <w:left w:type="dxa" w:w="100"/>
              <w:bottom w:type="dxa" w:w="60"/>
              <w:right w:type="dxa" w:w="100"/>
            </w:tcMar>
            <w:vAlign w:val="center"/>
          </w:tcPr>
          <w:p>
            <w:pPr>
              <w:jc w:val="left"/>
            </w:pPr>
            <w:r>
              <w:rPr>
                <w:b/>
                <w:bCs/>
                <w:color w:val="FFFFFF"/>
                <w:sz w:val="18"/>
                <w:szCs w:val="18"/>
              </w:rPr>
              <w:t xml:space="preserve">Specification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600"/>
            <w:tcMar>
              <w:top w:type="dxa" w:w="60"/>
              <w:left w:type="dxa" w:w="100"/>
              <w:bottom w:type="dxa" w:w="60"/>
              <w:right w:type="dxa" w:w="100"/>
            </w:tcMar>
            <w:vAlign w:val="center"/>
          </w:tcPr>
          <w:p>
            <w:pPr>
              <w:jc w:val="left"/>
            </w:pPr>
            <w:r>
              <w:rPr>
                <w:b w:val="false"/>
                <w:bCs w:val="false"/>
                <w:sz w:val="18"/>
                <w:szCs w:val="18"/>
              </w:rPr>
              <w:t xml:space="preserve">Consolidated exception review and sign-off (FR-AUD-001).</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User role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Auditor / Reviewer, CMA.</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Navigation path</w:t>
            </w:r>
          </w:p>
        </w:tc>
        <w:tc>
          <w:tcPr>
            <w:tcW w:type="dxa" w:w="7600"/>
            <w:tcMar>
              <w:top w:type="dxa" w:w="60"/>
              <w:left w:type="dxa" w:w="100"/>
              <w:bottom w:type="dxa" w:w="60"/>
              <w:right w:type="dxa" w:w="100"/>
            </w:tcMar>
            <w:vAlign w:val="center"/>
          </w:tcPr>
          <w:p>
            <w:pPr>
              <w:jc w:val="left"/>
            </w:pPr>
            <w:r>
              <w:rPr>
                <w:b w:val="false"/>
                <w:bCs w:val="false"/>
                <w:sz w:val="18"/>
                <w:szCs w:val="18"/>
              </w:rPr>
              <w:t xml:space="preserve">Sidebar → Audit → Audit Desk.</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Filters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Module, Severity, Status, Period, Plant.</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Table columns</w:t>
            </w:r>
          </w:p>
        </w:tc>
        <w:tc>
          <w:tcPr>
            <w:tcW w:type="dxa" w:w="7600"/>
            <w:tcMar>
              <w:top w:type="dxa" w:w="60"/>
              <w:left w:type="dxa" w:w="100"/>
              <w:bottom w:type="dxa" w:w="60"/>
              <w:right w:type="dxa" w:w="100"/>
            </w:tcMar>
            <w:vAlign w:val="center"/>
          </w:tcPr>
          <w:p>
            <w:pPr>
              <w:jc w:val="left"/>
            </w:pPr>
            <w:r>
              <w:rPr>
                <w:b w:val="false"/>
                <w:bCs w:val="false"/>
                <w:sz w:val="18"/>
                <w:szCs w:val="18"/>
              </w:rPr>
              <w:t xml:space="preserve">Module, Severity (badge), Description, Raised At, Status, Assigned To.</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Buttons/actions</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View Evidence (opens Data Lineage drill-down, Section 21.2, Part 3); Approve (with mandatory reason); Reject (send back for correction).</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Validation messages</w:t>
            </w:r>
          </w:p>
        </w:tc>
        <w:tc>
          <w:tcPr>
            <w:tcW w:type="dxa" w:w="7600"/>
            <w:tcMar>
              <w:top w:type="dxa" w:w="60"/>
              <w:left w:type="dxa" w:w="100"/>
              <w:bottom w:type="dxa" w:w="60"/>
              <w:right w:type="dxa" w:w="100"/>
            </w:tcMar>
            <w:vAlign w:val="center"/>
          </w:tcPr>
          <w:p>
            <w:pPr>
              <w:jc w:val="left"/>
            </w:pPr>
            <w:r>
              <w:rPr>
                <w:b w:val="false"/>
                <w:bCs w:val="false"/>
                <w:sz w:val="18"/>
                <w:szCs w:val="18"/>
              </w:rPr>
              <w:t xml:space="preserve">“A resolution note is required to approve or reject this exception.”</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Empty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“No open exceptions for this selection — you're all caught up.”</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Loading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Table skeleton while exceptions load.</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Error state</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N/A beyond standard load-failure banner.</w:t>
            </w:r>
          </w:p>
        </w:tc>
      </w:tr>
      <w:tr>
        <w:tc>
          <w:tcPr>
            <w:tcW w:type="dxa" w:w="2000"/>
            <w:tcMar>
              <w:top w:type="dxa" w:w="60"/>
              <w:left w:type="dxa" w:w="100"/>
              <w:bottom w:type="dxa" w:w="60"/>
              <w:right w:type="dxa" w:w="100"/>
            </w:tcMar>
            <w:vAlign w:val="center"/>
          </w:tcPr>
          <w:p>
            <w:pPr>
              <w:jc w:val="left"/>
            </w:pPr>
            <w:r>
              <w:rPr>
                <w:b w:val="false"/>
                <w:bCs w:val="false"/>
                <w:sz w:val="18"/>
                <w:szCs w:val="18"/>
              </w:rPr>
              <w:t xml:space="preserve">Success state</w:t>
            </w:r>
          </w:p>
        </w:tc>
        <w:tc>
          <w:tcPr>
            <w:tcW w:type="dxa" w:w="7600"/>
            <w:tcMar>
              <w:top w:type="dxa" w:w="60"/>
              <w:left w:type="dxa" w:w="100"/>
              <w:bottom w:type="dxa" w:w="60"/>
              <w:right w:type="dxa" w:w="100"/>
            </w:tcMar>
            <w:vAlign w:val="center"/>
          </w:tcPr>
          <w:p>
            <w:pPr>
              <w:jc w:val="left"/>
            </w:pPr>
            <w:r>
              <w:rPr>
                <w:b w:val="false"/>
                <w:bCs w:val="false"/>
                <w:sz w:val="18"/>
                <w:szCs w:val="18"/>
              </w:rPr>
              <w:t xml:space="preserve">Row moves to Resolved status; audit_trail entry created.</w:t>
            </w:r>
          </w:p>
        </w:tc>
      </w:tr>
      <w:tr>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Permission behaviour</w:t>
            </w:r>
          </w:p>
        </w:tc>
        <w:tc>
          <w:tcPr>
            <w:tcW w:type="dxa" w:w="76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Approve/Reject visible only to Auditor/CMA per RBAC; Management sees a read-only exception summary.</w:t>
            </w:r>
          </w:p>
        </w:tc>
      </w:tr>
    </w:tbl>
    <w:p>
      <w:pPr>
        <w:spacing w:after="160"/>
      </w:pPr>
    </w:p>
    <w:p>
      <w:pPr>
        <w:pStyle w:val="Heading2"/>
        <w:spacing w:after="160" w:before="320"/>
      </w:pPr>
      <w:r>
        <w:rPr>
          <w:b/>
          <w:bCs/>
        </w:rPr>
        <w:t xml:space="preserve">30.2 Remaining Screens — Summary Catalogue</w:t>
      </w:r>
    </w:p>
    <w:tbl>
      <w:tblPr>
        <w:tblW w:type="dxa" w:w="9400"/>
        <w:tblBorders>
          <w:top w:val="single" w:color="BFBFBF" w:sz="2"/>
          <w:left w:val="single" w:color="BFBFBF" w:sz="2"/>
          <w:bottom w:val="single" w:color="BFBFBF" w:sz="2"/>
          <w:right w:val="single" w:color="BFBFBF" w:sz="2"/>
          <w:insideH w:val="single" w:color="D9D9D9" w:sz="2"/>
          <w:insideV w:val="single" w:color="D9D9D9" w:sz="2"/>
        </w:tblBorders>
      </w:tblPr>
      <w:tblGrid>
        <w:gridCol w:w="2900"/>
        <w:gridCol w:w="4300"/>
        <w:gridCol w:w="2200"/>
      </w:tblGrid>
      <w:tr>
        <w:trPr>
          <w:tblHeader/>
        </w:trPr>
        <w:tc>
          <w:tcPr>
            <w:tcW w:type="dxa" w:w="2900"/>
            <w:shd w:fill="1F3864" w:color="auto" w:val="clear"/>
            <w:tcMar>
              <w:top w:type="dxa" w:w="60"/>
              <w:left w:type="dxa" w:w="100"/>
              <w:bottom w:type="dxa" w:w="60"/>
              <w:right w:type="dxa" w:w="100"/>
            </w:tcMar>
            <w:vAlign w:val="center"/>
          </w:tcPr>
          <w:p>
            <w:pPr>
              <w:jc w:val="left"/>
            </w:pPr>
            <w:r>
              <w:rPr>
                <w:b/>
                <w:bCs/>
                <w:color w:val="FFFFFF"/>
                <w:sz w:val="18"/>
                <w:szCs w:val="18"/>
              </w:rPr>
              <w:t xml:space="preserve">Screen</w:t>
            </w:r>
          </w:p>
        </w:tc>
        <w:tc>
          <w:tcPr>
            <w:tcW w:type="dxa" w:w="43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Role(s)</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User Master</w:t>
            </w:r>
          </w:p>
        </w:tc>
        <w:tc>
          <w:tcPr>
            <w:tcW w:type="dxa" w:w="4300"/>
            <w:tcMar>
              <w:top w:type="dxa" w:w="60"/>
              <w:left w:type="dxa" w:w="100"/>
              <w:bottom w:type="dxa" w:w="60"/>
              <w:right w:type="dxa" w:w="100"/>
            </w:tcMar>
            <w:vAlign w:val="center"/>
          </w:tcPr>
          <w:p>
            <w:pPr>
              <w:jc w:val="left"/>
            </w:pPr>
            <w:r>
              <w:rPr>
                <w:b w:val="false"/>
                <w:bCs w:val="false"/>
                <w:sz w:val="18"/>
                <w:szCs w:val="18"/>
              </w:rPr>
              <w:t xml:space="preserve">Create/edit users and role assignments (FR-USER-001).</w:t>
            </w:r>
          </w:p>
        </w:tc>
        <w:tc>
          <w:tcPr>
            <w:tcW w:type="dxa" w:w="2200"/>
            <w:tcMar>
              <w:top w:type="dxa" w:w="60"/>
              <w:left w:type="dxa" w:w="100"/>
              <w:bottom w:type="dxa" w:w="60"/>
              <w:right w:type="dxa" w:w="100"/>
            </w:tcMar>
            <w:vAlign w:val="center"/>
          </w:tcPr>
          <w:p>
            <w:pPr>
              <w:jc w:val="left"/>
            </w:pPr>
            <w:r>
              <w:rPr>
                <w:b w:val="false"/>
                <w:bCs w:val="false"/>
                <w:sz w:val="18"/>
                <w:szCs w:val="18"/>
              </w:rPr>
              <w:t xml:space="preserve">Platform Admin, Customer Admin</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Role Master</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 roles (system + tenant-custom).</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Platform Admin</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Menu Master / Permission Master</w:t>
            </w:r>
          </w:p>
        </w:tc>
        <w:tc>
          <w:tcPr>
            <w:tcW w:type="dxa" w:w="4300"/>
            <w:tcMar>
              <w:top w:type="dxa" w:w="60"/>
              <w:left w:type="dxa" w:w="100"/>
              <w:bottom w:type="dxa" w:w="60"/>
              <w:right w:type="dxa" w:w="100"/>
            </w:tcMar>
            <w:vAlign w:val="center"/>
          </w:tcPr>
          <w:p>
            <w:pPr>
              <w:jc w:val="left"/>
            </w:pPr>
            <w:r>
              <w:rPr>
                <w:b w:val="false"/>
                <w:bCs w:val="false"/>
                <w:sz w:val="18"/>
                <w:szCs w:val="18"/>
              </w:rPr>
              <w:t xml:space="preserve">Configure menu tree and fine-grained permissions.</w:t>
            </w:r>
          </w:p>
        </w:tc>
        <w:tc>
          <w:tcPr>
            <w:tcW w:type="dxa" w:w="2200"/>
            <w:tcMar>
              <w:top w:type="dxa" w:w="60"/>
              <w:left w:type="dxa" w:w="100"/>
              <w:bottom w:type="dxa" w:w="60"/>
              <w:right w:type="dxa" w:w="100"/>
            </w:tcMar>
            <w:vAlign w:val="center"/>
          </w:tcPr>
          <w:p>
            <w:pPr>
              <w:jc w:val="left"/>
            </w:pPr>
            <w:r>
              <w:rPr>
                <w:b w:val="false"/>
                <w:bCs w:val="false"/>
                <w:sz w:val="18"/>
                <w:szCs w:val="18"/>
              </w:rPr>
              <w:t xml:space="preserve">Platform Admin</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Customer / Tenant Management</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Onboard and manage tenants.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Platform Admin</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Company / Division / Plant / Warehouse Master</w:t>
            </w:r>
          </w:p>
        </w:tc>
        <w:tc>
          <w:tcPr>
            <w:tcW w:type="dxa" w:w="4300"/>
            <w:tcMar>
              <w:top w:type="dxa" w:w="60"/>
              <w:left w:type="dxa" w:w="100"/>
              <w:bottom w:type="dxa" w:w="60"/>
              <w:right w:type="dxa" w:w="100"/>
            </w:tcMar>
            <w:vAlign w:val="center"/>
          </w:tcPr>
          <w:p>
            <w:pPr>
              <w:jc w:val="left"/>
            </w:pPr>
            <w:r>
              <w:rPr>
                <w:b w:val="false"/>
                <w:bCs w:val="false"/>
                <w:sz w:val="18"/>
                <w:szCs w:val="18"/>
              </w:rPr>
              <w:t xml:space="preserve">Maintain the org hierarchy (org_units).</w:t>
            </w:r>
          </w:p>
        </w:tc>
        <w:tc>
          <w:tcPr>
            <w:tcW w:type="dxa" w:w="2200"/>
            <w:tcMar>
              <w:top w:type="dxa" w:w="60"/>
              <w:left w:type="dxa" w:w="100"/>
              <w:bottom w:type="dxa" w:w="60"/>
              <w:right w:type="dxa" w:w="100"/>
            </w:tcMar>
            <w:vAlign w:val="center"/>
          </w:tcPr>
          <w:p>
            <w:pPr>
              <w:jc w:val="left"/>
            </w:pPr>
            <w:r>
              <w:rPr>
                <w:b w:val="false"/>
                <w:bCs w:val="false"/>
                <w:sz w:val="18"/>
                <w:szCs w:val="18"/>
              </w:rPr>
              <w:t xml:space="preserve">Customer Admin</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Financial Period Master</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 periods and view lock status.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Customer Admin</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Item / Product Master</w:t>
            </w:r>
          </w:p>
        </w:tc>
        <w:tc>
          <w:tcPr>
            <w:tcW w:type="dxa" w:w="4300"/>
            <w:tcMar>
              <w:top w:type="dxa" w:w="60"/>
              <w:left w:type="dxa" w:w="100"/>
              <w:bottom w:type="dxa" w:w="60"/>
              <w:right w:type="dxa" w:w="100"/>
            </w:tcMar>
            <w:vAlign w:val="center"/>
          </w:tcPr>
          <w:p>
            <w:pPr>
              <w:jc w:val="left"/>
            </w:pPr>
            <w:r>
              <w:rPr>
                <w:b w:val="false"/>
                <w:bCs w:val="false"/>
                <w:sz w:val="18"/>
                <w:szCs w:val="18"/>
              </w:rPr>
              <w:t xml:space="preserve">Maintain items (MD-01/02).</w:t>
            </w:r>
          </w:p>
        </w:tc>
        <w:tc>
          <w:tcPr>
            <w:tcW w:type="dxa" w:w="22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UOM Master / UOM Conversion</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Maintain units and conversion factors.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Standard Cost Master</w:t>
            </w:r>
          </w:p>
        </w:tc>
        <w:tc>
          <w:tcPr>
            <w:tcW w:type="dxa" w:w="4300"/>
            <w:tcMar>
              <w:top w:type="dxa" w:w="60"/>
              <w:left w:type="dxa" w:w="100"/>
              <w:bottom w:type="dxa" w:w="60"/>
              <w:right w:type="dxa" w:w="100"/>
            </w:tcMar>
            <w:vAlign w:val="center"/>
          </w:tcPr>
          <w:p>
            <w:pPr>
              <w:jc w:val="left"/>
            </w:pPr>
            <w:r>
              <w:rPr>
                <w:b w:val="false"/>
                <w:bCs w:val="false"/>
                <w:sz w:val="18"/>
                <w:szCs w:val="18"/>
              </w:rPr>
              <w:t xml:space="preserve">Maintain standard rates (MD-16).</w:t>
            </w:r>
          </w:p>
        </w:tc>
        <w:tc>
          <w:tcPr>
            <w:tcW w:type="dxa" w:w="22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Allocation Rule Master</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Configure overhead allocation basis/driver.</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Cost Centre / Profit Centre / GL Classification / Account Master</w:t>
            </w:r>
          </w:p>
        </w:tc>
        <w:tc>
          <w:tcPr>
            <w:tcW w:type="dxa" w:w="4300"/>
            <w:tcMar>
              <w:top w:type="dxa" w:w="60"/>
              <w:left w:type="dxa" w:w="100"/>
              <w:bottom w:type="dxa" w:w="60"/>
              <w:right w:type="dxa" w:w="100"/>
            </w:tcMar>
            <w:vAlign w:val="center"/>
          </w:tcPr>
          <w:p>
            <w:pPr>
              <w:jc w:val="left"/>
            </w:pPr>
            <w:r>
              <w:rPr>
                <w:b w:val="false"/>
                <w:bCs w:val="false"/>
                <w:sz w:val="18"/>
                <w:szCs w:val="18"/>
              </w:rPr>
              <w:t xml:space="preserve">Maintain financial classification masters.</w:t>
            </w:r>
          </w:p>
        </w:tc>
        <w:tc>
          <w:tcPr>
            <w:tcW w:type="dxa" w:w="22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History</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Historical list of all uploads with filters.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Auditor</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Source System Master / Mapping Dictionary</w:t>
            </w:r>
          </w:p>
        </w:tc>
        <w:tc>
          <w:tcPr>
            <w:tcW w:type="dxa" w:w="4300"/>
            <w:tcMar>
              <w:top w:type="dxa" w:w="60"/>
              <w:left w:type="dxa" w:w="100"/>
              <w:bottom w:type="dxa" w:w="60"/>
              <w:right w:type="dxa" w:w="100"/>
            </w:tcMar>
            <w:vAlign w:val="center"/>
          </w:tcPr>
          <w:p>
            <w:pPr>
              <w:jc w:val="left"/>
            </w:pPr>
            <w:r>
              <w:rPr>
                <w:b w:val="false"/>
                <w:bCs w:val="false"/>
                <w:sz w:val="18"/>
                <w:szCs w:val="18"/>
              </w:rPr>
              <w:t xml:space="preserve">Manage reusable source layouts and mapping library.</w:t>
            </w:r>
          </w:p>
        </w:tc>
        <w:tc>
          <w:tcPr>
            <w:tcW w:type="dxa" w:w="22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Centre / Data Quality</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Review validation findings and data-quality score (FR-VAL-001).</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Auditor</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Trial Balance</w:t>
            </w:r>
          </w:p>
        </w:tc>
        <w:tc>
          <w:tcPr>
            <w:tcW w:type="dxa" w:w="4300"/>
            <w:tcMar>
              <w:top w:type="dxa" w:w="60"/>
              <w:left w:type="dxa" w:w="100"/>
              <w:bottom w:type="dxa" w:w="60"/>
              <w:right w:type="dxa" w:w="100"/>
            </w:tcMar>
            <w:vAlign w:val="center"/>
          </w:tcPr>
          <w:p>
            <w:pPr>
              <w:jc w:val="left"/>
            </w:pPr>
            <w:r>
              <w:rPr>
                <w:b w:val="false"/>
                <w:bCs w:val="false"/>
                <w:sz w:val="18"/>
                <w:szCs w:val="18"/>
              </w:rPr>
              <w:t xml:space="preserve">View/manage uploaded TB.</w:t>
            </w:r>
          </w:p>
        </w:tc>
        <w:tc>
          <w:tcPr>
            <w:tcW w:type="dxa" w:w="22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Valuation / BOM Explosion / Cost Roll-up / Overhead Allocation / Product Costing / Standard vs Actual / Variance Analysis / Yield Analysis / Cost Bridge / Cost Investigation</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Individual engine result screens, each reachable from the Costing Workbench (SCR-06).</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Management (read)</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TB / Inventory / Production / Consumption / Costing Reconciliation</w:t>
            </w:r>
          </w:p>
        </w:tc>
        <w:tc>
          <w:tcPr>
            <w:tcW w:type="dxa" w:w="4300"/>
            <w:tcMar>
              <w:top w:type="dxa" w:w="60"/>
              <w:left w:type="dxa" w:w="100"/>
              <w:bottom w:type="dxa" w:w="60"/>
              <w:right w:type="dxa" w:w="100"/>
            </w:tcMar>
            <w:vAlign w:val="center"/>
          </w:tcPr>
          <w:p>
            <w:pPr>
              <w:jc w:val="left"/>
            </w:pPr>
            <w:r>
              <w:rPr>
                <w:b w:val="false"/>
                <w:bCs w:val="false"/>
                <w:sz w:val="18"/>
                <w:szCs w:val="18"/>
              </w:rPr>
              <w:t xml:space="preserve">Reconciliation result screens (FR-REC-001).</w:t>
            </w:r>
          </w:p>
        </w:tc>
        <w:tc>
          <w:tcPr>
            <w:tcW w:type="dxa" w:w="2200"/>
            <w:tcMar>
              <w:top w:type="dxa" w:w="60"/>
              <w:left w:type="dxa" w:w="100"/>
              <w:bottom w:type="dxa" w:w="60"/>
              <w:right w:type="dxa" w:w="100"/>
            </w:tcMar>
            <w:vAlign w:val="center"/>
          </w:tcPr>
          <w:p>
            <w:pPr>
              <w:jc w:val="left"/>
            </w:pPr>
            <w:r>
              <w:rPr>
                <w:b w:val="false"/>
                <w:bCs w:val="false"/>
                <w:sz w:val="18"/>
                <w:szCs w:val="18"/>
              </w:rPr>
              <w:t xml:space="preserve">CMA, Auditor</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 Management</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Feeds into Audit Desk (SCR-07); standalone filtered view.</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Auditor</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Audit Trail / Data Lineage</w:t>
            </w:r>
          </w:p>
        </w:tc>
        <w:tc>
          <w:tcPr>
            <w:tcW w:type="dxa" w:w="4300"/>
            <w:tcMar>
              <w:top w:type="dxa" w:w="60"/>
              <w:left w:type="dxa" w:w="100"/>
              <w:bottom w:type="dxa" w:w="60"/>
              <w:right w:type="dxa" w:w="100"/>
            </w:tcMar>
            <w:vAlign w:val="center"/>
          </w:tcPr>
          <w:p>
            <w:pPr>
              <w:jc w:val="left"/>
            </w:pPr>
            <w:r>
              <w:rPr>
                <w:b w:val="false"/>
                <w:bCs w:val="false"/>
                <w:sz w:val="18"/>
                <w:szCs w:val="18"/>
              </w:rPr>
              <w:t xml:space="preserve">Browse audit_trail; “View Evidence” drill-down target.</w:t>
            </w:r>
          </w:p>
        </w:tc>
        <w:tc>
          <w:tcPr>
            <w:tcW w:type="dxa" w:w="2200"/>
            <w:tcMar>
              <w:top w:type="dxa" w:w="60"/>
              <w:left w:type="dxa" w:w="100"/>
              <w:bottom w:type="dxa" w:w="60"/>
              <w:right w:type="dxa" w:w="100"/>
            </w:tcMar>
            <w:vAlign w:val="center"/>
          </w:tcPr>
          <w:p>
            <w:pPr>
              <w:jc w:val="left"/>
            </w:pPr>
            <w:r>
              <w:rPr>
                <w:b w:val="false"/>
                <w:bCs w:val="false"/>
                <w:sz w:val="18"/>
                <w:szCs w:val="18"/>
              </w:rPr>
              <w:t xml:space="preserve">Auditor, CMA</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 / Costing Versions</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Lock/reopen a period; browse version history (FR-AUD-002).</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Auditor</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Management / CMA / Product Dashboard</w:t>
            </w:r>
          </w:p>
        </w:tc>
        <w:tc>
          <w:tcPr>
            <w:tcW w:type="dxa" w:w="4300"/>
            <w:tcMar>
              <w:top w:type="dxa" w:w="60"/>
              <w:left w:type="dxa" w:w="100"/>
              <w:bottom w:type="dxa" w:w="60"/>
              <w:right w:type="dxa" w:w="100"/>
            </w:tcMar>
            <w:vAlign w:val="center"/>
          </w:tcPr>
          <w:p>
            <w:pPr>
              <w:jc w:val="left"/>
            </w:pPr>
            <w:r>
              <w:rPr>
                <w:b w:val="false"/>
                <w:bCs w:val="false"/>
                <w:sz w:val="18"/>
                <w:szCs w:val="18"/>
              </w:rPr>
              <w:t xml:space="preserve">Section 13 (Part 3) component specifications.</w:t>
            </w:r>
          </w:p>
        </w:tc>
        <w:tc>
          <w:tcPr>
            <w:tcW w:type="dxa" w:w="2200"/>
            <w:tcMar>
              <w:top w:type="dxa" w:w="60"/>
              <w:left w:type="dxa" w:w="100"/>
              <w:bottom w:type="dxa" w:w="60"/>
              <w:right w:type="dxa" w:w="100"/>
            </w:tcMar>
            <w:vAlign w:val="center"/>
          </w:tcPr>
          <w:p>
            <w:pPr>
              <w:jc w:val="left"/>
            </w:pPr>
            <w:r>
              <w:rPr>
                <w:b w:val="false"/>
                <w:bCs w:val="false"/>
                <w:sz w:val="18"/>
                <w:szCs w:val="18"/>
              </w:rPr>
              <w:t xml:space="preserve">Per role</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AI Insights</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Review/accept/reject AI observations and mapping suggestions.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Reports (all, Section 14, Part 3)</w:t>
            </w:r>
          </w:p>
        </w:tc>
        <w:tc>
          <w:tcPr>
            <w:tcW w:type="dxa" w:w="4300"/>
            <w:tcMar>
              <w:top w:type="dxa" w:w="60"/>
              <w:left w:type="dxa" w:w="100"/>
              <w:bottom w:type="dxa" w:w="60"/>
              <w:right w:type="dxa" w:w="100"/>
            </w:tcMar>
            <w:vAlign w:val="center"/>
          </w:tcPr>
          <w:p>
            <w:pPr>
              <w:jc w:val="left"/>
            </w:pPr>
            <w:r>
              <w:rPr>
                <w:b w:val="false"/>
                <w:bCs w:val="false"/>
                <w:sz w:val="18"/>
                <w:szCs w:val="18"/>
              </w:rPr>
              <w:t xml:space="preserve">Filtered report views with export.</w:t>
            </w:r>
          </w:p>
        </w:tc>
        <w:tc>
          <w:tcPr>
            <w:tcW w:type="dxa" w:w="2200"/>
            <w:tcMar>
              <w:top w:type="dxa" w:w="60"/>
              <w:left w:type="dxa" w:w="100"/>
              <w:bottom w:type="dxa" w:w="60"/>
              <w:right w:type="dxa" w:w="100"/>
            </w:tcMar>
            <w:vAlign w:val="center"/>
          </w:tcPr>
          <w:p>
            <w:pPr>
              <w:jc w:val="left"/>
            </w:pPr>
            <w:r>
              <w:rPr>
                <w:b w:val="false"/>
                <w:bCs w:val="false"/>
                <w:sz w:val="18"/>
                <w:szCs w:val="18"/>
              </w:rPr>
              <w:t xml:space="preserve">All (scoped)</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Notifications</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In-app notification centre (Section 24, Part 3).</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All</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Background Jobs / System Logs</w:t>
            </w:r>
          </w:p>
        </w:tc>
        <w:tc>
          <w:tcPr>
            <w:tcW w:type="dxa" w:w="4300"/>
            <w:tcMar>
              <w:top w:type="dxa" w:w="60"/>
              <w:left w:type="dxa" w:w="100"/>
              <w:bottom w:type="dxa" w:w="60"/>
              <w:right w:type="dxa" w:w="100"/>
            </w:tcMar>
            <w:vAlign w:val="center"/>
          </w:tcPr>
          <w:p>
            <w:pPr>
              <w:jc w:val="left"/>
            </w:pPr>
            <w:r>
              <w:rPr>
                <w:b w:val="false"/>
                <w:bCs w:val="false"/>
                <w:sz w:val="18"/>
                <w:szCs w:val="18"/>
              </w:rPr>
              <w:t xml:space="preserve">Job status/progress and technical logs.</w:t>
            </w:r>
          </w:p>
        </w:tc>
        <w:tc>
          <w:tcPr>
            <w:tcW w:type="dxa" w:w="2200"/>
            <w:tcMar>
              <w:top w:type="dxa" w:w="60"/>
              <w:left w:type="dxa" w:w="100"/>
              <w:bottom w:type="dxa" w:w="60"/>
              <w:right w:type="dxa" w:w="100"/>
            </w:tcMar>
            <w:vAlign w:val="center"/>
          </w:tcPr>
          <w:p>
            <w:pPr>
              <w:jc w:val="left"/>
            </w:pPr>
            <w:r>
              <w:rPr>
                <w:b w:val="false"/>
                <w:bCs w:val="false"/>
                <w:sz w:val="18"/>
                <w:szCs w:val="18"/>
              </w:rPr>
              <w:t xml:space="preserve">Platform Admin, CMA (own jobs)</w:t>
            </w:r>
          </w:p>
        </w:tc>
      </w:tr>
      <w:tr>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Configuration</w:t>
            </w:r>
          </w:p>
        </w:tc>
        <w:tc>
          <w:tcPr>
            <w:tcW w:type="dxa" w:w="4300"/>
            <w:shd w:fill="F2F2F2" w:color="auto" w:val="clear"/>
            <w:tcMar>
              <w:top w:type="dxa" w:w="60"/>
              <w:left w:type="dxa" w:w="100"/>
              <w:bottom w:type="dxa" w:w="60"/>
              <w:right w:type="dxa" w:w="100"/>
            </w:tcMar>
            <w:vAlign w:val="center"/>
          </w:tcPr>
          <w:p>
            <w:pPr>
              <w:jc w:val="left"/>
            </w:pPr>
            <w:r>
              <w:rPr>
                <w:b w:val="false"/>
                <w:bCs w:val="false"/>
                <w:sz w:val="18"/>
                <w:szCs w:val="18"/>
              </w:rPr>
              <w:t xml:space="preserve">Platform/tenant configuration screens.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Platform Admin</w:t>
            </w:r>
          </w:p>
        </w:tc>
      </w:tr>
    </w:tbl>
    <w:p>
      <w:r>
        <w:br w:type="page"/>
      </w:r>
    </w:p>
    <w:p>
      <w:pPr>
        <w:pStyle w:val="Heading1"/>
        <w:spacing w:after="240" w:before="480"/>
      </w:pPr>
      <w:r>
        <w:rPr>
          <w:b/>
          <w:bCs/>
        </w:rPr>
        <w:t xml:space="preserve">33. Deployment Architecture</w:t>
      </w:r>
    </w:p>
    <w:p>
      <w:pPr>
        <w:spacing w:after="160"/>
      </w:pPr>
      <w:r>
        <w:t xml:space="preserve">The academic deployment targets a single-server (or single-VM) topology; the component separation below is preserved logically even where multiple components share one physical/virtual machine, so the design can be split across servers later without rework.</w:t>
      </w:r>
    </w:p>
    <w:p>
      <w:pPr>
        <w:pStyle w:val="Heading2"/>
        <w:spacing w:after="160" w:before="320"/>
      </w:pPr>
      <w:r>
        <w:rPr>
          <w:b/>
          <w:bCs/>
        </w:rPr>
        <w:t xml:space="preserve">33.1 Deployment Diagram</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Browser[User Browser] --&gt;|HTTPS| WebServer[Web Server: Apache/Nginx]</w:t>
      </w:r>
    </w:p>
    <w:p>
      <w:pPr>
        <w:shd w:fill="1E1E1E"/>
        <w:spacing w:after="0"/>
      </w:pPr>
      <w:r>
        <w:rPr>
          <w:rFonts w:ascii="Consolas" w:cs="Consolas" w:eastAsia="Consolas" w:hAnsi="Consolas"/>
          <w:color w:val="D4D4D4"/>
          <w:sz w:val="17"/>
          <w:szCs w:val="17"/>
        </w:rPr>
        <w:t xml:space="preserve">    WebServer --&gt; PHP[PHP Application]</w:t>
      </w:r>
    </w:p>
    <w:p>
      <w:pPr>
        <w:shd w:fill="1E1E1E"/>
        <w:spacing w:after="0"/>
      </w:pPr>
      <w:r>
        <w:rPr>
          <w:rFonts w:ascii="Consolas" w:cs="Consolas" w:eastAsia="Consolas" w:hAnsi="Consolas"/>
          <w:color w:val="D4D4D4"/>
          <w:sz w:val="17"/>
          <w:szCs w:val="17"/>
        </w:rPr>
        <w:t xml:space="preserve">    PHP --&gt; BL[Business Logic / Services]</w:t>
      </w:r>
    </w:p>
    <w:p>
      <w:pPr>
        <w:shd w:fill="1E1E1E"/>
        <w:spacing w:after="0"/>
      </w:pPr>
      <w:r>
        <w:rPr>
          <w:rFonts w:ascii="Consolas" w:cs="Consolas" w:eastAsia="Consolas" w:hAnsi="Consolas"/>
          <w:color w:val="D4D4D4"/>
          <w:sz w:val="17"/>
          <w:szCs w:val="17"/>
        </w:rPr>
        <w:t xml:space="preserve">    BL --&gt; PG[(PostgreSQL Database)]</w:t>
      </w:r>
    </w:p>
    <w:p>
      <w:pPr>
        <w:shd w:fill="1E1E1E"/>
        <w:spacing w:after="0"/>
      </w:pPr>
      <w:r>
        <w:rPr>
          <w:rFonts w:ascii="Consolas" w:cs="Consolas" w:eastAsia="Consolas" w:hAnsi="Consolas"/>
          <w:color w:val="D4D4D4"/>
          <w:sz w:val="17"/>
          <w:szCs w:val="17"/>
        </w:rPr>
        <w:t xml:space="preserve">    BL --&gt; FS[(File Storage)]</w:t>
      </w:r>
    </w:p>
    <w:p>
      <w:pPr>
        <w:shd w:fill="1E1E1E"/>
        <w:spacing w:after="0"/>
      </w:pPr>
      <w:r>
        <w:rPr>
          <w:rFonts w:ascii="Consolas" w:cs="Consolas" w:eastAsia="Consolas" w:hAnsi="Consolas"/>
          <w:color w:val="D4D4D4"/>
          <w:sz w:val="17"/>
          <w:szCs w:val="17"/>
        </w:rPr>
        <w:t xml:space="preserve">    BL --&gt; AISvc[(External AI Service)]</w:t>
      </w:r>
    </w:p>
    <w:p>
      <w:pPr>
        <w:shd w:fill="1E1E1E"/>
        <w:spacing w:after="0"/>
      </w:pPr>
      <w:r>
        <w:rPr>
          <w:rFonts w:ascii="Consolas" w:cs="Consolas" w:eastAsia="Consolas" w:hAnsi="Consolas"/>
          <w:color w:val="D4D4D4"/>
          <w:sz w:val="17"/>
          <w:szCs w:val="17"/>
        </w:rPr>
        <w:t xml:space="preserve">    PHP --&gt; BGWorker[Background Job Worker / Cron]</w:t>
      </w:r>
    </w:p>
    <w:p>
      <w:pPr>
        <w:shd w:fill="1E1E1E"/>
        <w:spacing w:after="0"/>
      </w:pPr>
      <w:r>
        <w:rPr>
          <w:rFonts w:ascii="Consolas" w:cs="Consolas" w:eastAsia="Consolas" w:hAnsi="Consolas"/>
          <w:color w:val="D4D4D4"/>
          <w:sz w:val="17"/>
          <w:szCs w:val="17"/>
        </w:rPr>
        <w:t xml:space="preserve">    BGWorker --&gt; PG</w:t>
      </w:r>
    </w:p>
    <w:p>
      <w:pPr>
        <w:shd w:fill="1E1E1E"/>
        <w:spacing w:after="0"/>
      </w:pPr>
      <w:r>
        <w:rPr>
          <w:rFonts w:ascii="Consolas" w:cs="Consolas" w:eastAsia="Consolas" w:hAnsi="Consolas"/>
          <w:color w:val="D4D4D4"/>
          <w:sz w:val="17"/>
          <w:szCs w:val="17"/>
        </w:rPr>
        <w:t xml:space="preserve">    BGWorker --&gt; FS</w:t>
      </w:r>
    </w:p>
    <w:p>
      <w:pPr>
        <w:shd w:fill="1E1E1E"/>
        <w:spacing w:after="0"/>
      </w:pPr>
      <w:r>
        <w:rPr>
          <w:rFonts w:ascii="Consolas" w:cs="Consolas" w:eastAsia="Consolas" w:hAnsi="Consolas"/>
          <w:color w:val="D4D4D4"/>
          <w:sz w:val="17"/>
          <w:szCs w:val="17"/>
        </w:rPr>
        <w:t xml:space="preserve">    PHP --&gt; LogStore[(Application &amp; Query Logs)]</w:t>
      </w:r>
    </w:p>
    <w:p>
      <w:pPr>
        <w:shd w:fill="1E1E1E"/>
        <w:spacing w:after="0"/>
      </w:pPr>
      <w:r>
        <w:rPr>
          <w:rFonts w:ascii="Consolas" w:cs="Consolas" w:eastAsia="Consolas" w:hAnsi="Consolas"/>
          <w:color w:val="D4D4D4"/>
          <w:sz w:val="17"/>
          <w:szCs w:val="17"/>
        </w:rPr>
        <w:t xml:space="preserve">    PG --&gt; Backup[(Backup Storage)]</w:t>
      </w:r>
    </w:p>
    <w:p>
      <w:pPr>
        <w:shd w:fill="1E1E1E"/>
        <w:spacing w:after="0"/>
      </w:pPr>
      <w:r>
        <w:rPr>
          <w:rFonts w:ascii="Consolas" w:cs="Consolas" w:eastAsia="Consolas" w:hAnsi="Consolas"/>
          <w:color w:val="D4D4D4"/>
          <w:sz w:val="17"/>
          <w:szCs w:val="17"/>
        </w:rPr>
        <w:t xml:space="preserve">    FS --&gt; Backup</w:t>
      </w:r>
    </w:p>
    <w:p>
      <w:pPr>
        <w:spacing w:after="160" w:before="60"/>
      </w:pPr>
      <w:r>
        <w:rPr>
          <w:i/>
          <w:iCs/>
          <w:color w:val="595959"/>
          <w:sz w:val="18"/>
          <w:szCs w:val="18"/>
        </w:rPr>
        <w:t xml:space="preserve">Figure 33.1: Deployment topology for the academic MVP.</w:t>
      </w:r>
    </w:p>
    <w:p>
      <w:pPr>
        <w:pStyle w:val="Heading2"/>
        <w:spacing w:after="160" w:before="320"/>
      </w:pPr>
      <w:r>
        <w:rPr>
          <w:b/>
          <w:bCs/>
        </w:rPr>
        <w:t xml:space="preserve">33.2 Component Placement</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70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7000"/>
            <w:shd w:fill="1F3864" w:color="auto" w:val="clear"/>
            <w:tcMar>
              <w:top w:type="dxa" w:w="60"/>
              <w:left w:type="dxa" w:w="100"/>
              <w:bottom w:type="dxa" w:w="60"/>
              <w:right w:type="dxa" w:w="100"/>
            </w:tcMar>
            <w:vAlign w:val="center"/>
          </w:tcPr>
          <w:p>
            <w:pPr>
              <w:jc w:val="left"/>
            </w:pPr>
            <w:r>
              <w:rPr>
                <w:b/>
                <w:bCs/>
                <w:color w:val="FFFFFF"/>
                <w:sz w:val="18"/>
                <w:szCs w:val="18"/>
              </w:rPr>
              <w:t xml:space="preserve">Proposed Placement (Academic MVP)</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Web Server + PHP Application</w:t>
            </w:r>
          </w:p>
        </w:tc>
        <w:tc>
          <w:tcPr>
            <w:tcW w:type="dxa" w:w="7000"/>
            <w:tcMar>
              <w:top w:type="dxa" w:w="60"/>
              <w:left w:type="dxa" w:w="100"/>
              <w:bottom w:type="dxa" w:w="60"/>
              <w:right w:type="dxa" w:w="100"/>
            </w:tcMar>
            <w:vAlign w:val="center"/>
          </w:tcPr>
          <w:p>
            <w:pPr>
              <w:jc w:val="left"/>
            </w:pPr>
            <w:r>
              <w:rPr>
                <w:b w:val="false"/>
                <w:bCs w:val="false"/>
                <w:sz w:val="18"/>
                <w:szCs w:val="18"/>
              </w:rPr>
              <w:t xml:space="preserve">Single Linux server/VM (Apache or Nginx + PHP-FPM — Proposed, To Be Confirmed).</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PostgreSQL Database</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Same server as the application for the MVP, or a separate small VM — Proposed, To Be Confirmed based on available infrastructure.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File Storage</w:t>
            </w:r>
          </w:p>
        </w:tc>
        <w:tc>
          <w:tcPr>
            <w:tcW w:type="dxa" w:w="7000"/>
            <w:tcMar>
              <w:top w:type="dxa" w:w="60"/>
              <w:left w:type="dxa" w:w="100"/>
              <w:bottom w:type="dxa" w:w="60"/>
              <w:right w:type="dxa" w:w="100"/>
            </w:tcMar>
            <w:vAlign w:val="center"/>
          </w:tcPr>
          <w:p>
            <w:pPr>
              <w:jc w:val="left"/>
            </w:pPr>
            <w:r>
              <w:rPr>
                <w:b w:val="false"/>
                <w:bCs w:val="false"/>
                <w:sz w:val="18"/>
                <w:szCs w:val="18"/>
              </w:rPr>
              <w:t xml:space="preserve">Local filesystem on the application server, in a directory outside the web root (Section 20.7, Part 3).</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Background Job Worker</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PHP CLI scripts triggered by cron (simplest for MVP) — Proposed; a dedicated queue worker process is a Phase 2/3 upgrade.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AI Service</w:t>
            </w:r>
          </w:p>
        </w:tc>
        <w:tc>
          <w:tcPr>
            <w:tcW w:type="dxa" w:w="7000"/>
            <w:tcMar>
              <w:top w:type="dxa" w:w="60"/>
              <w:left w:type="dxa" w:w="100"/>
              <w:bottom w:type="dxa" w:w="60"/>
              <w:right w:type="dxa" w:w="100"/>
            </w:tcMar>
            <w:vAlign w:val="center"/>
          </w:tcPr>
          <w:p>
            <w:pPr>
              <w:jc w:val="left"/>
            </w:pPr>
            <w:r>
              <w:rPr>
                <w:b w:val="false"/>
                <w:bCs w:val="false"/>
                <w:sz w:val="18"/>
                <w:szCs w:val="18"/>
              </w:rPr>
              <w:t xml:space="preserve">External, accessed over HTTPS from the AI Integration Layer; not self-hosted.</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Backup Storage</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Separate storage location (could be as simple as an off-server directory or cloud bucket) — Proposed, To Be Confirmed.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Logging/Monitoring</w:t>
            </w:r>
          </w:p>
        </w:tc>
        <w:tc>
          <w:tcPr>
            <w:tcW w:type="dxa" w:w="7000"/>
            <w:tcMar>
              <w:top w:type="dxa" w:w="60"/>
              <w:left w:type="dxa" w:w="100"/>
              <w:bottom w:type="dxa" w:w="60"/>
              <w:right w:type="dxa" w:w="100"/>
            </w:tcMar>
            <w:vAlign w:val="center"/>
          </w:tcPr>
          <w:p>
            <w:pPr>
              <w:jc w:val="left"/>
            </w:pPr>
            <w:r>
              <w:rPr>
                <w:b w:val="false"/>
                <w:bCs w:val="false"/>
                <w:sz w:val="18"/>
                <w:szCs w:val="18"/>
              </w:rPr>
              <w:t xml:space="preserve">Local application/query log files for the MVP; centralised log aggregation is a Phase 2/3 upgrade.</w:t>
            </w:r>
          </w:p>
        </w:tc>
      </w:tr>
    </w:tbl>
    <w:p>
      <w:pPr>
        <w:pStyle w:val="Heading2"/>
        <w:spacing w:after="160" w:before="320"/>
      </w:pPr>
      <w:r>
        <w:rPr>
          <w:b/>
          <w:bCs/>
        </w:rPr>
        <w:t xml:space="preserve">33.3 Environments</w:t>
      </w:r>
    </w:p>
    <w:p>
      <w:pPr>
        <w:pStyle w:val="ListParagraph"/>
        <w:numPr>
          <w:ilvl w:val="0"/>
          <w:numId w:val="2"/>
        </w:numPr>
        <w:spacing w:after="80"/>
      </w:pPr>
      <w:r>
        <w:t xml:space="preserve">Development — local developer machine(s), running PHP's built-in server or a local Apache/Nginx + local PostgreSQL instance.</w:t>
      </w:r>
    </w:p>
    <w:p>
      <w:pPr>
        <w:pStyle w:val="ListParagraph"/>
        <w:numPr>
          <w:ilvl w:val="0"/>
          <w:numId w:val="2"/>
        </w:numPr>
        <w:spacing w:after="80"/>
      </w:pPr>
      <w:r>
        <w:t xml:space="preserve">Academic Evaluation / Demonstration — the single-server topology above, hosting representative demonstration tenants.</w:t>
      </w:r>
    </w:p>
    <w:p>
      <w:pPr>
        <w:pStyle w:val="ListParagraph"/>
        <w:numPr>
          <w:ilvl w:val="0"/>
          <w:numId w:val="2"/>
        </w:numPr>
        <w:spacing w:after="80"/>
      </w:pPr>
      <w:r>
        <w:t xml:space="preserve">(Phase 2/3) Production — not in scope for this academic project; noted only to confirm the design does not preclude a future multi-server production deployment (Section 25.5, Part 3).</w:t>
      </w:r>
    </w:p>
    <w:p>
      <w:r>
        <w:br w:type="page"/>
      </w:r>
    </w:p>
    <w:p>
      <w:pPr>
        <w:pStyle w:val="Heading1"/>
        <w:spacing w:after="240" w:before="480"/>
      </w:pPr>
      <w:r>
        <w:rPr>
          <w:b/>
          <w:bCs/>
        </w:rPr>
        <w:t xml:space="preserve">34. Assumptions, Constraints and Open Functional Decisions</w:t>
      </w:r>
    </w:p>
    <w:p>
      <w:pPr>
        <w:spacing w:after="160"/>
      </w:pPr>
      <w:r>
        <w:t xml:space="preserve">Every area the source functional note leaves open is listed here with its classification: Defined (source note is explicit), Partially Defined (source note gives direction but not full detail), To Be Confirmed (no source guidance; a decision is needed from the project guide/stakeholder), or Proposed (an engineering assumption has been made in this SRS to keep the specification implementable, pending confirmation).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800"/>
        <w:gridCol w:w="54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Area</w:t>
            </w:r>
          </w:p>
        </w:tc>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Classification</w:t>
            </w:r>
          </w:p>
        </w:tc>
        <w:tc>
          <w:tcPr>
            <w:tcW w:type="dxa" w:w="5400"/>
            <w:shd w:fill="1F3864" w:color="auto" w:val="clear"/>
            <w:tcMar>
              <w:top w:type="dxa" w:w="60"/>
              <w:left w:type="dxa" w:w="100"/>
              <w:bottom w:type="dxa" w:w="60"/>
              <w:right w:type="dxa" w:w="100"/>
            </w:tcMar>
            <w:vAlign w:val="center"/>
          </w:tcPr>
          <w:p>
            <w:pPr>
              <w:jc w:val="left"/>
            </w:pPr>
            <w:r>
              <w:rPr>
                <w:b/>
                <w:bCs/>
                <w:color w:val="FFFFFF"/>
                <w:sz w:val="18"/>
                <w:szCs w:val="18"/>
              </w:rPr>
              <w:t xml:space="preserve">Note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Standard chart of accounts</w:t>
            </w:r>
          </w:p>
        </w:tc>
        <w:tc>
          <w:tcPr>
            <w:tcW w:type="dxa" w:w="1800"/>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tcMar>
              <w:top w:type="dxa" w:w="60"/>
              <w:left w:type="dxa" w:w="100"/>
              <w:bottom w:type="dxa" w:w="60"/>
              <w:right w:type="dxa" w:w="100"/>
            </w:tcMar>
            <w:vAlign w:val="center"/>
          </w:tcPr>
          <w:p>
            <w:pPr>
              <w:jc w:val="left"/>
            </w:pPr>
            <w:r>
              <w:rPr>
                <w:b w:val="false"/>
                <w:bCs w:val="false"/>
                <w:sz w:val="18"/>
                <w:szCs w:val="18"/>
              </w:rPr>
              <w:t xml:space="preserve">No specific chart of accounts is mandated; Account Master (MD) is generic and tenant-configurable.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classification (material/labour/overhead categories)</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Partially Defined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BR-COST-001's five components are defined; the detailed sub-classification within “Other Direct Cost” is Proposed / TBC.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Item hierarchy</w:t>
            </w:r>
          </w:p>
        </w:tc>
        <w:tc>
          <w:tcPr>
            <w:tcW w:type="dxa" w:w="1800"/>
            <w:tcMar>
              <w:top w:type="dxa" w:w="60"/>
              <w:left w:type="dxa" w:w="100"/>
              <w:bottom w:type="dxa" w:w="60"/>
              <w:right w:type="dxa" w:w="100"/>
            </w:tcMar>
            <w:vAlign w:val="center"/>
          </w:tcPr>
          <w:p>
            <w:pPr>
              <w:jc w:val="left"/>
            </w:pPr>
            <w:r>
              <w:rPr>
                <w:b w:val="false"/>
                <w:bCs w:val="false"/>
                <w:sz w:val="18"/>
                <w:szCs w:val="18"/>
              </w:rPr>
              <w:t xml:space="preserve">Partially 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Item Category exists (MD-03) but depth/structure of the category hierarchy is Proposed, single-level for MVP.</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BOM structure</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Multi-level, effective-dated, versioned, circular-reference-checked (BR-BOM-001/002).</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Scrap treatment</w:t>
            </w:r>
          </w:p>
        </w:tc>
        <w:tc>
          <w:tcPr>
            <w:tcW w:type="dxa" w:w="1800"/>
            <w:tcMar>
              <w:top w:type="dxa" w:w="60"/>
              <w:left w:type="dxa" w:w="100"/>
              <w:bottom w:type="dxa" w:w="60"/>
              <w:right w:type="dxa" w:w="100"/>
            </w:tcMar>
            <w:vAlign w:val="center"/>
          </w:tcPr>
          <w:p>
            <w:pPr>
              <w:jc w:val="left"/>
            </w:pPr>
            <w:r>
              <w:rPr>
                <w:b w:val="false"/>
                <w:bCs w:val="false"/>
                <w:sz w:val="18"/>
                <w:szCs w:val="18"/>
              </w:rPr>
              <w:t xml:space="preserve">Partially 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A basic scrap % per BOM line is defined (MD-15); full scrap-cost accounting (separate scrap value/disposal) is Phase 2 (Section 8.3, Part 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Yield</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Partially Defined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Basic yield variance is MVP; a full Yield Analysis workbench is Phase 2.</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WIP</w:t>
            </w:r>
          </w:p>
        </w:tc>
        <w:tc>
          <w:tcPr>
            <w:tcW w:type="dxa" w:w="1800"/>
            <w:tcMar>
              <w:top w:type="dxa" w:w="60"/>
              <w:left w:type="dxa" w:w="100"/>
              <w:bottom w:type="dxa" w:w="60"/>
              <w:right w:type="dxa" w:w="100"/>
            </w:tcMar>
            <w:vAlign w:val="center"/>
          </w:tcPr>
          <w:p>
            <w:pPr>
              <w:jc w:val="left"/>
            </w:pPr>
            <w:r>
              <w:rPr>
                <w:b w:val="false"/>
                <w:bCs w:val="false"/>
                <w:sz w:val="18"/>
                <w:szCs w:val="18"/>
              </w:rPr>
              <w:t xml:space="preserve">Proposed / Phase 2</w:t>
            </w:r>
          </w:p>
        </w:tc>
        <w:tc>
          <w:tcPr>
            <w:tcW w:type="dxa" w:w="5400"/>
            <w:tcMar>
              <w:top w:type="dxa" w:w="60"/>
              <w:left w:type="dxa" w:w="100"/>
              <w:bottom w:type="dxa" w:w="60"/>
              <w:right w:type="dxa" w:w="100"/>
            </w:tcMar>
            <w:vAlign w:val="center"/>
          </w:tcPr>
          <w:p>
            <w:pPr>
              <w:jc w:val="left"/>
            </w:pPr>
            <w:r>
              <w:rPr>
                <w:b w:val="false"/>
                <w:bCs w:val="false"/>
                <w:sz w:val="18"/>
                <w:szCs w:val="18"/>
              </w:rPr>
              <w:t xml:space="preserve">Not costed in MVP; flagged throughout as Phase 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By-products</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 / Phase 2</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No treatment defined in the source note; Proposed as Phase 2 alongside Scrap/Co-product.</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Co-products</w:t>
            </w:r>
          </w:p>
        </w:tc>
        <w:tc>
          <w:tcPr>
            <w:tcW w:type="dxa" w:w="1800"/>
            <w:tcMar>
              <w:top w:type="dxa" w:w="60"/>
              <w:left w:type="dxa" w:w="100"/>
              <w:bottom w:type="dxa" w:w="60"/>
              <w:right w:type="dxa" w:w="100"/>
            </w:tcMar>
            <w:vAlign w:val="center"/>
          </w:tcPr>
          <w:p>
            <w:pPr>
              <w:jc w:val="left"/>
            </w:pPr>
            <w:r>
              <w:rPr>
                <w:b w:val="false"/>
                <w:bCs w:val="false"/>
                <w:sz w:val="18"/>
                <w:szCs w:val="18"/>
              </w:rPr>
              <w:t xml:space="preserve">To Be Confirmed / Phase 2</w:t>
            </w:r>
          </w:p>
        </w:tc>
        <w:tc>
          <w:tcPr>
            <w:tcW w:type="dxa" w:w="5400"/>
            <w:tcMar>
              <w:top w:type="dxa" w:w="60"/>
              <w:left w:type="dxa" w:w="100"/>
              <w:bottom w:type="dxa" w:w="60"/>
              <w:right w:type="dxa" w:w="100"/>
            </w:tcMar>
            <w:vAlign w:val="center"/>
          </w:tcPr>
          <w:p>
            <w:pPr>
              <w:jc w:val="left"/>
            </w:pPr>
            <w:r>
              <w:rPr>
                <w:b w:val="false"/>
                <w:bCs w:val="false"/>
                <w:sz w:val="18"/>
                <w:szCs w:val="18"/>
              </w:rPr>
              <w:t xml:space="preserve">As above.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Subcontracting</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Not addressed in the source note; treatment as a BOM component with a Vendor reference is Proposed for a future revision.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Rework</w:t>
            </w:r>
          </w:p>
        </w:tc>
        <w:tc>
          <w:tcPr>
            <w:tcW w:type="dxa" w:w="1800"/>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tcMar>
              <w:top w:type="dxa" w:w="60"/>
              <w:left w:type="dxa" w:w="100"/>
              <w:bottom w:type="dxa" w:w="60"/>
              <w:right w:type="dxa" w:w="100"/>
            </w:tcMar>
            <w:vAlign w:val="center"/>
          </w:tcPr>
          <w:p>
            <w:pPr>
              <w:jc w:val="left"/>
            </w:pPr>
            <w:r>
              <w:rPr>
                <w:b w:val="false"/>
                <w:bCs w:val="false"/>
                <w:sz w:val="18"/>
                <w:szCs w:val="18"/>
              </w:rPr>
              <w:t xml:space="preserve">Not addressed in the source note.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Negative inventory</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BR-INV-002 proposes blocking with an override option; exact override authority is To Be Confirmed.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Inventory adjustment</w:t>
            </w:r>
          </w:p>
        </w:tc>
        <w:tc>
          <w:tcPr>
            <w:tcW w:type="dxa" w:w="1800"/>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Modelled as a transaction type within Inventory Transactions (Section 11, Part 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valuation rules</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Four methods specified (FIFO, Periodic WAC, Moving WAC, Specific Cost); BR-INV-001 identity defined.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Overhead allocation</w:t>
            </w:r>
          </w:p>
        </w:tc>
        <w:tc>
          <w:tcPr>
            <w:tcW w:type="dxa" w:w="1800"/>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Basis/driver model defined (FR-COST-002); exact default bases per cost pool are To Be Confirmed per tenant.</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 costing</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Rate × hours via Labour Rate Master.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Machine costing</w:t>
            </w:r>
          </w:p>
        </w:tc>
        <w:tc>
          <w:tcPr>
            <w:tcW w:type="dxa" w:w="1800"/>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Rate × hours via Machine Rate Master.</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Currency conversion</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Currency Master exists (Section 9.3, Part 1); multi-currency consolidation logic is not detailed in the source note.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Fiscal periods</w:t>
            </w:r>
          </w:p>
        </w:tc>
        <w:tc>
          <w:tcPr>
            <w:tcW w:type="dxa" w:w="1800"/>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Period Master with Open/Locked states (Section 12.2, Part 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Consolidation (multi-company)</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 Cost report exists (RPT-013) but formal multi-company consolidation rules are not defined.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Decision costing (Make-or-Buy, Cost Simulation)</w:t>
            </w:r>
          </w:p>
        </w:tc>
        <w:tc>
          <w:tcPr>
            <w:tcW w:type="dxa" w:w="1800"/>
            <w:tcMar>
              <w:top w:type="dxa" w:w="60"/>
              <w:left w:type="dxa" w:w="100"/>
              <w:bottom w:type="dxa" w:w="60"/>
              <w:right w:type="dxa" w:w="100"/>
            </w:tcMar>
            <w:vAlign w:val="center"/>
          </w:tcPr>
          <w:p>
            <w:pPr>
              <w:jc w:val="left"/>
            </w:pPr>
            <w:r>
              <w:rPr>
                <w:b w:val="false"/>
                <w:bCs w:val="false"/>
                <w:sz w:val="18"/>
                <w:szCs w:val="18"/>
              </w:rPr>
              <w:t xml:space="preserve">Proposed / Phase 2</w:t>
            </w:r>
          </w:p>
        </w:tc>
        <w:tc>
          <w:tcPr>
            <w:tcW w:type="dxa" w:w="5400"/>
            <w:tcMar>
              <w:top w:type="dxa" w:w="60"/>
              <w:left w:type="dxa" w:w="100"/>
              <w:bottom w:type="dxa" w:w="60"/>
              <w:right w:type="dxa" w:w="100"/>
            </w:tcMar>
            <w:vAlign w:val="center"/>
          </w:tcPr>
          <w:p>
            <w:pPr>
              <w:jc w:val="left"/>
            </w:pPr>
            <w:r>
              <w:rPr>
                <w:b w:val="false"/>
                <w:bCs w:val="false"/>
                <w:sz w:val="18"/>
                <w:szCs w:val="18"/>
              </w:rPr>
              <w:t xml:space="preserve">Named in the source note's module list; detailed as Phase 2 throughout this SRS.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Full state machine and lock/reopen rules defined (FR-AUD-002, BR-PER-001/002).</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Audit requirements</w:t>
            </w:r>
          </w:p>
        </w:tc>
        <w:tc>
          <w:tcPr>
            <w:tcW w:type="dxa" w:w="1800"/>
            <w:tcMar>
              <w:top w:type="dxa" w:w="60"/>
              <w:left w:type="dxa" w:w="100"/>
              <w:bottom w:type="dxa" w:w="60"/>
              <w:right w:type="dxa" w:w="100"/>
            </w:tcMar>
            <w:vAlign w:val="center"/>
          </w:tcPr>
          <w:p>
            <w:pPr>
              <w:jc w:val="left"/>
            </w:pPr>
            <w:r>
              <w:rPr>
                <w:b w:val="false"/>
                <w:bCs w:val="false"/>
                <w:sz w:val="18"/>
                <w:szCs w:val="18"/>
              </w:rPr>
              <w:t xml:space="preserve">Defined</w:t>
            </w:r>
          </w:p>
        </w:tc>
        <w:tc>
          <w:tcPr>
            <w:tcW w:type="dxa" w:w="5400"/>
            <w:tcMar>
              <w:top w:type="dxa" w:w="60"/>
              <w:left w:type="dxa" w:w="100"/>
              <w:bottom w:type="dxa" w:w="60"/>
              <w:right w:type="dxa" w:w="100"/>
            </w:tcMar>
            <w:vAlign w:val="center"/>
          </w:tcPr>
          <w:p>
            <w:pPr>
              <w:jc w:val="left"/>
            </w:pPr>
            <w:r>
              <w:rPr>
                <w:b w:val="false"/>
                <w:bCs w:val="false"/>
                <w:sz w:val="18"/>
                <w:szCs w:val="18"/>
              </w:rPr>
              <w:t xml:space="preserve">Audit Trail scope defined (Section 21.1, Part 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Data retention</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No retention period specified in the source note; Proposed: retain indefinitely for the academic project, revisit for a real deployment.</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AI governance</w:t>
            </w:r>
          </w:p>
        </w:tc>
        <w:tc>
          <w:tcPr>
            <w:tcW w:type="dxa" w:w="1800"/>
            <w:tcMar>
              <w:top w:type="dxa" w:w="60"/>
              <w:left w:type="dxa" w:w="100"/>
              <w:bottom w:type="dxa" w:w="60"/>
              <w:right w:type="dxa" w:w="100"/>
            </w:tcMar>
            <w:vAlign w:val="center"/>
          </w:tcPr>
          <w:p>
            <w:pPr>
              <w:jc w:val="left"/>
            </w:pPr>
            <w:r>
              <w:rPr>
                <w:b w:val="false"/>
                <w:bCs w:val="false"/>
                <w:sz w:val="18"/>
                <w:szCs w:val="18"/>
              </w:rPr>
              <w:t xml:space="preserve">Defined (principles) / Proposed (mechanics)</w:t>
            </w:r>
          </w:p>
        </w:tc>
        <w:tc>
          <w:tcPr>
            <w:tcW w:type="dxa" w:w="5400"/>
            <w:tcMar>
              <w:top w:type="dxa" w:w="60"/>
              <w:left w:type="dxa" w:w="100"/>
              <w:bottom w:type="dxa" w:w="60"/>
              <w:right w:type="dxa" w:w="100"/>
            </w:tcMar>
            <w:vAlign w:val="center"/>
          </w:tcPr>
          <w:p>
            <w:pPr>
              <w:jc w:val="left"/>
            </w:pPr>
            <w:r>
              <w:rPr>
                <w:b w:val="false"/>
                <w:bCs w:val="false"/>
                <w:sz w:val="18"/>
                <w:szCs w:val="18"/>
              </w:rPr>
              <w:t xml:space="preserve">Governance principles are firmly defined (Section 23.2, Part 3); the exact Costing Integrity Score formula is Proposed / TBC.</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Customer (tenant) count</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Not specified; small number of demonstration tenants assumed for academic evaluation.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Maximum file size</w:t>
            </w:r>
          </w:p>
        </w:tc>
        <w:tc>
          <w:tcPr>
            <w:tcW w:type="dxa" w:w="1800"/>
            <w:tcMar>
              <w:top w:type="dxa" w:w="60"/>
              <w:left w:type="dxa" w:w="100"/>
              <w:bottom w:type="dxa" w:w="60"/>
              <w:right w:type="dxa" w:w="100"/>
            </w:tcMar>
            <w:vAlign w:val="center"/>
          </w:tcPr>
          <w:p>
            <w:pPr>
              <w:jc w:val="left"/>
            </w:pPr>
            <w:r>
              <w:rPr>
                <w:b w:val="false"/>
                <w:bCs w:val="false"/>
                <w:sz w:val="18"/>
                <w:szCs w:val="18"/>
              </w:rPr>
              <w:t xml:space="preserve">Proposed</w:t>
            </w:r>
          </w:p>
        </w:tc>
        <w:tc>
          <w:tcPr>
            <w:tcW w:type="dxa" w:w="5400"/>
            <w:tcMar>
              <w:top w:type="dxa" w:w="60"/>
              <w:left w:type="dxa" w:w="100"/>
              <w:bottom w:type="dxa" w:w="60"/>
              <w:right w:type="dxa" w:w="100"/>
            </w:tcMar>
            <w:vAlign w:val="center"/>
          </w:tcPr>
          <w:p>
            <w:pPr>
              <w:jc w:val="left"/>
            </w:pPr>
            <w:r>
              <w:rPr>
                <w:b w:val="false"/>
                <w:bCs w:val="false"/>
                <w:sz w:val="18"/>
                <w:szCs w:val="18"/>
              </w:rPr>
              <w:t xml:space="preserve">Proposed Target stated in Section 25.1 (Part 3), To Be Confirmed.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Transaction volume</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Design targets multi-year/multi-plant scale (Section 25.2, Part 3) though the demo dataset will be small.</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Concurrent users</w:t>
            </w:r>
          </w:p>
        </w:tc>
        <w:tc>
          <w:tcPr>
            <w:tcW w:type="dxa" w:w="1800"/>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5400"/>
            <w:tcMar>
              <w:top w:type="dxa" w:w="60"/>
              <w:left w:type="dxa" w:w="100"/>
              <w:bottom w:type="dxa" w:w="60"/>
              <w:right w:type="dxa" w:w="100"/>
            </w:tcMar>
            <w:vAlign w:val="center"/>
          </w:tcPr>
          <w:p>
            <w:pPr>
              <w:jc w:val="left"/>
            </w:pPr>
            <w:r>
              <w:rPr>
                <w:b w:val="false"/>
                <w:bCs w:val="false"/>
                <w:sz w:val="18"/>
                <w:szCs w:val="18"/>
              </w:rPr>
              <w:t xml:space="preserve">Not specified; assumed low (single-digit) concurrent users for the academic deployment.</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Processing time targets</w:t>
            </w:r>
          </w:p>
        </w:tc>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See NFR-PERF-001–004 (Section 6.1, Part 3), all marked Proposed Target — To Be Confirmed.</w:t>
            </w:r>
          </w:p>
        </w:tc>
      </w:tr>
    </w:tbl>
    <w:p>
      <w:r>
        <w:br w:type="page"/>
      </w:r>
    </w:p>
    <w:p>
      <w:pPr>
        <w:pStyle w:val="Heading1"/>
        <w:spacing w:after="240" w:before="480"/>
      </w:pPr>
      <w:r>
        <w:rPr>
          <w:b/>
          <w:bCs/>
        </w:rPr>
        <w:t xml:space="preserve">35. Risks and Mitigation</w:t>
      </w:r>
    </w:p>
    <w:p>
      <w:pPr>
        <w:spacing w:after="160"/>
      </w:pPr>
      <w:r>
        <w:t xml:space="preserve">Probability values are intentionally omitted or marked Proposed where the source note gives no basis for a specific figure, per the instruction not to assign arbitrary probabilities.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000"/>
        <w:gridCol w:w="2400"/>
        <w:gridCol w:w="1400"/>
        <w:gridCol w:w="1400"/>
        <w:gridCol w:w="2600"/>
        <w:gridCol w:w="80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Risk ID</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Risk</w:t>
            </w:r>
          </w:p>
        </w:tc>
        <w:tc>
          <w:tcPr>
            <w:tcW w:type="dxa" w:w="1400"/>
            <w:shd w:fill="1F3864" w:color="auto" w:val="clear"/>
            <w:tcMar>
              <w:top w:type="dxa" w:w="60"/>
              <w:left w:type="dxa" w:w="100"/>
              <w:bottom w:type="dxa" w:w="60"/>
              <w:right w:type="dxa" w:w="100"/>
            </w:tcMar>
            <w:vAlign w:val="center"/>
          </w:tcPr>
          <w:p>
            <w:pPr>
              <w:jc w:val="left"/>
            </w:pPr>
            <w:r>
              <w:rPr>
                <w:b/>
                <w:bCs/>
                <w:color w:val="FFFFFF"/>
                <w:sz w:val="18"/>
                <w:szCs w:val="18"/>
              </w:rPr>
              <w:t xml:space="preserve">Impact</w:t>
            </w:r>
          </w:p>
        </w:tc>
        <w:tc>
          <w:tcPr>
            <w:tcW w:type="dxa" w:w="1400"/>
            <w:shd w:fill="1F3864" w:color="auto" w:val="clear"/>
            <w:tcMar>
              <w:top w:type="dxa" w:w="60"/>
              <w:left w:type="dxa" w:w="100"/>
              <w:bottom w:type="dxa" w:w="60"/>
              <w:right w:type="dxa" w:w="100"/>
            </w:tcMar>
            <w:vAlign w:val="center"/>
          </w:tcPr>
          <w:p>
            <w:pPr>
              <w:jc w:val="left"/>
            </w:pPr>
            <w:r>
              <w:rPr>
                <w:b/>
                <w:bCs/>
                <w:color w:val="FFFFFF"/>
                <w:sz w:val="18"/>
                <w:szCs w:val="18"/>
              </w:rPr>
              <w:t xml:space="preserve">Probability</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Mitigation</w:t>
            </w:r>
          </w:p>
        </w:tc>
        <w:tc>
          <w:tcPr>
            <w:tcW w:type="dxa" w:w="800"/>
            <w:shd w:fill="1F3864" w:color="auto" w:val="clear"/>
            <w:tcMar>
              <w:top w:type="dxa" w:w="60"/>
              <w:left w:type="dxa" w:w="100"/>
              <w:bottom w:type="dxa" w:w="60"/>
              <w:right w:type="dxa" w:w="100"/>
            </w:tcMar>
            <w:vAlign w:val="center"/>
          </w:tcPr>
          <w:p>
            <w:pPr>
              <w:jc w:val="left"/>
            </w:pPr>
            <w:r>
              <w:rPr>
                <w:b/>
                <w:bCs/>
                <w:color w:val="FFFFFF"/>
                <w:sz w:val="18"/>
                <w:szCs w:val="18"/>
              </w:rPr>
              <w:t xml:space="preserve">Owner</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RSK-01</w:t>
            </w:r>
          </w:p>
        </w:tc>
        <w:tc>
          <w:tcPr>
            <w:tcW w:type="dxa" w:w="2400"/>
            <w:tcMar>
              <w:top w:type="dxa" w:w="60"/>
              <w:left w:type="dxa" w:w="100"/>
              <w:bottom w:type="dxa" w:w="60"/>
              <w:right w:type="dxa" w:w="100"/>
            </w:tcMar>
            <w:vAlign w:val="center"/>
          </w:tcPr>
          <w:p>
            <w:pPr>
              <w:jc w:val="left"/>
            </w:pPr>
            <w:r>
              <w:rPr>
                <w:b w:val="false"/>
                <w:bCs w:val="false"/>
                <w:sz w:val="18"/>
                <w:szCs w:val="18"/>
              </w:rPr>
              <w:t xml:space="preserve">Incorrect costing calculations (engine bugs, formula errors)</w:t>
            </w:r>
          </w:p>
        </w:tc>
        <w:tc>
          <w:tcPr>
            <w:tcW w:type="dxa" w:w="1400"/>
            <w:tcMar>
              <w:top w:type="dxa" w:w="60"/>
              <w:left w:type="dxa" w:w="100"/>
              <w:bottom w:type="dxa" w:w="60"/>
              <w:right w:type="dxa" w:w="100"/>
            </w:tcMar>
            <w:vAlign w:val="center"/>
          </w:tcPr>
          <w:p>
            <w:pPr>
              <w:jc w:val="left"/>
            </w:pPr>
            <w:r>
              <w:rPr>
                <w:b w:val="false"/>
                <w:bCs w:val="false"/>
                <w:sz w:val="18"/>
                <w:szCs w:val="18"/>
              </w:rPr>
              <w:t xml:space="preserve">High — undermines the platform's core value</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tcMar>
              <w:top w:type="dxa" w:w="60"/>
              <w:left w:type="dxa" w:w="100"/>
              <w:bottom w:type="dxa" w:w="60"/>
              <w:right w:type="dxa" w:w="100"/>
            </w:tcMar>
            <w:vAlign w:val="center"/>
          </w:tcPr>
          <w:p>
            <w:pPr>
              <w:jc w:val="left"/>
            </w:pPr>
            <w:r>
              <w:rPr>
                <w:b w:val="false"/>
                <w:bCs w:val="false"/>
                <w:sz w:val="18"/>
                <w:szCs w:val="18"/>
              </w:rPr>
              <w:t xml:space="preserve">Golden Reference Dataset regression testing (Section 27.5–27.6); DB-level CHECK constraints as a second line of defence (Section 17.15, Part 2)</w:t>
            </w:r>
          </w:p>
        </w:tc>
        <w:tc>
          <w:tcPr>
            <w:tcW w:type="dxa" w:w="800"/>
            <w:tcMar>
              <w:top w:type="dxa" w:w="60"/>
              <w:left w:type="dxa" w:w="100"/>
              <w:bottom w:type="dxa" w:w="60"/>
              <w:right w:type="dxa" w:w="100"/>
            </w:tcMar>
            <w:vAlign w:val="center"/>
          </w:tcPr>
          <w:p>
            <w:pPr>
              <w:jc w:val="left"/>
            </w:pPr>
            <w:r>
              <w:rPr>
                <w:b w:val="false"/>
                <w:bCs w:val="false"/>
                <w:sz w:val="18"/>
                <w:szCs w:val="18"/>
              </w:rPr>
              <w:t xml:space="preserve">Development team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RSK-02</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Poor source data quality from customers</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 — degrades trust in results</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High, TBC</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Data Quality Score, layered validation (Section 19, Part 3), CMA review before Finalise</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CMA / Development team</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RSK-03</w:t>
            </w:r>
          </w:p>
        </w:tc>
        <w:tc>
          <w:tcPr>
            <w:tcW w:type="dxa" w:w="2400"/>
            <w:tcMar>
              <w:top w:type="dxa" w:w="60"/>
              <w:left w:type="dxa" w:w="100"/>
              <w:bottom w:type="dxa" w:w="60"/>
              <w:right w:type="dxa" w:w="100"/>
            </w:tcMar>
            <w:vAlign w:val="center"/>
          </w:tcPr>
          <w:p>
            <w:pPr>
              <w:jc w:val="left"/>
            </w:pPr>
            <w:r>
              <w:rPr>
                <w:b w:val="false"/>
                <w:bCs w:val="false"/>
                <w:sz w:val="18"/>
                <w:szCs w:val="18"/>
              </w:rPr>
              <w:t xml:space="preserve">Incorrect mappings causing silent misclassification</w:t>
            </w:r>
          </w:p>
        </w:tc>
        <w:tc>
          <w:tcPr>
            <w:tcW w:type="dxa" w:w="1400"/>
            <w:tcMar>
              <w:top w:type="dxa" w:w="60"/>
              <w:left w:type="dxa" w:w="100"/>
              <w:bottom w:type="dxa" w:w="60"/>
              <w:right w:type="dxa" w:w="100"/>
            </w:tcMar>
            <w:vAlign w:val="center"/>
          </w:tcPr>
          <w:p>
            <w:pPr>
              <w:jc w:val="left"/>
            </w:pPr>
            <w:r>
              <w:rPr>
                <w:b w:val="false"/>
                <w:bCs w:val="false"/>
                <w:sz w:val="18"/>
                <w:szCs w:val="18"/>
              </w:rPr>
              <w:t xml:space="preserve">High — wrong figures without an obvious error</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tcMar>
              <w:top w:type="dxa" w:w="60"/>
              <w:left w:type="dxa" w:w="100"/>
              <w:bottom w:type="dxa" w:w="60"/>
              <w:right w:type="dxa" w:w="100"/>
            </w:tcMar>
            <w:vAlign w:val="center"/>
          </w:tcPr>
          <w:p>
            <w:pPr>
              <w:jc w:val="left"/>
            </w:pPr>
            <w:r>
              <w:rPr>
                <w:b w:val="false"/>
                <w:bCs w:val="false"/>
                <w:sz w:val="18"/>
                <w:szCs w:val="18"/>
              </w:rPr>
              <w:t xml:space="preserve">Mandatory-field mapping enforcement (BR-MAP-001), AI-assisted suggestions reviewed by a human, reconciliation as a downstream check</w:t>
            </w:r>
          </w:p>
        </w:tc>
        <w:tc>
          <w:tcPr>
            <w:tcW w:type="dxa" w:w="8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RSK-04</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Incomplete BOM data blocking or skewing product costing</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BR-BOM-001/002 validation; exception routing to Cost Investigation</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RSK-05</w:t>
            </w:r>
          </w:p>
        </w:tc>
        <w:tc>
          <w:tcPr>
            <w:tcW w:type="dxa" w:w="2400"/>
            <w:tcMar>
              <w:top w:type="dxa" w:w="60"/>
              <w:left w:type="dxa" w:w="100"/>
              <w:bottom w:type="dxa" w:w="60"/>
              <w:right w:type="dxa" w:w="100"/>
            </w:tcMar>
            <w:vAlign w:val="center"/>
          </w:tcPr>
          <w:p>
            <w:pPr>
              <w:jc w:val="left"/>
            </w:pPr>
            <w:r>
              <w:rPr>
                <w:b w:val="false"/>
                <w:bCs w:val="false"/>
                <w:sz w:val="18"/>
                <w:szCs w:val="18"/>
              </w:rPr>
              <w:t xml:space="preserve">Incorrect master data (rates, allocation rules)</w:t>
            </w:r>
          </w:p>
        </w:tc>
        <w:tc>
          <w:tcPr>
            <w:tcW w:type="dxa" w:w="1400"/>
            <w:tcMar>
              <w:top w:type="dxa" w:w="60"/>
              <w:left w:type="dxa" w:w="100"/>
              <w:bottom w:type="dxa" w:w="60"/>
              <w:right w:type="dxa" w:w="100"/>
            </w:tcMar>
            <w:vAlign w:val="center"/>
          </w:tcPr>
          <w:p>
            <w:pPr>
              <w:jc w:val="left"/>
            </w:pPr>
            <w:r>
              <w:rPr>
                <w:b w:val="false"/>
                <w:bCs w:val="false"/>
                <w:sz w:val="18"/>
                <w:szCs w:val="18"/>
              </w:rPr>
              <w:t xml:space="preserve">Medium–High</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tcMar>
              <w:top w:type="dxa" w:w="60"/>
              <w:left w:type="dxa" w:w="100"/>
              <w:bottom w:type="dxa" w:w="60"/>
              <w:right w:type="dxa" w:w="100"/>
            </w:tcMar>
            <w:vAlign w:val="center"/>
          </w:tcPr>
          <w:p>
            <w:pPr>
              <w:jc w:val="left"/>
            </w:pPr>
            <w:r>
              <w:rPr>
                <w:b w:val="false"/>
                <w:bCs w:val="false"/>
                <w:sz w:val="18"/>
                <w:szCs w:val="18"/>
              </w:rPr>
              <w:t xml:space="preserve">Master Data Governance approval workflow (Section 8.4, Part 2)</w:t>
            </w:r>
          </w:p>
        </w:tc>
        <w:tc>
          <w:tcPr>
            <w:tcW w:type="dxa" w:w="8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RSK-06</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 data leakage across customers</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High — breach of trust/compliance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Low (with controls), TBC</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Central tenant-scoping in the Data Access Layer (BR-SEC-002); TC-044 test case</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Development team</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RSK-07</w:t>
            </w:r>
          </w:p>
        </w:tc>
        <w:tc>
          <w:tcPr>
            <w:tcW w:type="dxa" w:w="2400"/>
            <w:tcMar>
              <w:top w:type="dxa" w:w="60"/>
              <w:left w:type="dxa" w:w="100"/>
              <w:bottom w:type="dxa" w:w="60"/>
              <w:right w:type="dxa" w:w="100"/>
            </w:tcMar>
            <w:vAlign w:val="center"/>
          </w:tcPr>
          <w:p>
            <w:pPr>
              <w:jc w:val="left"/>
            </w:pPr>
            <w:r>
              <w:rPr>
                <w:b w:val="false"/>
                <w:bCs w:val="false"/>
                <w:sz w:val="18"/>
                <w:szCs w:val="18"/>
              </w:rPr>
              <w:t xml:space="preserve">Performance issues under realistic data volumes</w:t>
            </w:r>
          </w:p>
        </w:tc>
        <w:tc>
          <w:tcPr>
            <w:tcW w:type="dxa" w:w="14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tcMar>
              <w:top w:type="dxa" w:w="60"/>
              <w:left w:type="dxa" w:w="100"/>
              <w:bottom w:type="dxa" w:w="60"/>
              <w:right w:type="dxa" w:w="100"/>
            </w:tcMar>
            <w:vAlign w:val="center"/>
          </w:tcPr>
          <w:p>
            <w:pPr>
              <w:jc w:val="left"/>
            </w:pPr>
            <w:r>
              <w:rPr>
                <w:b w:val="false"/>
                <w:bCs w:val="false"/>
                <w:sz w:val="18"/>
                <w:szCs w:val="18"/>
              </w:rPr>
              <w:t xml:space="preserve">Indexing strategy (Section 17.6, Part 2); background processing for heavy operations (Section 25.4, Part 3)</w:t>
            </w:r>
          </w:p>
        </w:tc>
        <w:tc>
          <w:tcPr>
            <w:tcW w:type="dxa" w:w="800"/>
            <w:tcMar>
              <w:top w:type="dxa" w:w="60"/>
              <w:left w:type="dxa" w:w="100"/>
              <w:bottom w:type="dxa" w:w="60"/>
              <w:right w:type="dxa" w:w="100"/>
            </w:tcMar>
            <w:vAlign w:val="center"/>
          </w:tcPr>
          <w:p>
            <w:pPr>
              <w:jc w:val="left"/>
            </w:pPr>
            <w:r>
              <w:rPr>
                <w:b w:val="false"/>
                <w:bCs w:val="false"/>
                <w:sz w:val="18"/>
                <w:szCs w:val="18"/>
              </w:rPr>
              <w:t xml:space="preserve">Development team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RSK-08</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Large file processing timeouts/failures</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Background job processing above a row-count threshold (Section 25.1, Part 3)</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Development team</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RSK-09</w:t>
            </w:r>
          </w:p>
        </w:tc>
        <w:tc>
          <w:tcPr>
            <w:tcW w:type="dxa" w:w="2400"/>
            <w:tcMar>
              <w:top w:type="dxa" w:w="60"/>
              <w:left w:type="dxa" w:w="100"/>
              <w:bottom w:type="dxa" w:w="60"/>
              <w:right w:type="dxa" w:w="100"/>
            </w:tcMar>
            <w:vAlign w:val="center"/>
          </w:tcPr>
          <w:p>
            <w:pPr>
              <w:jc w:val="left"/>
            </w:pPr>
            <w:r>
              <w:rPr>
                <w:b w:val="false"/>
                <w:bCs w:val="false"/>
                <w:sz w:val="18"/>
                <w:szCs w:val="18"/>
              </w:rPr>
              <w:t xml:space="preserve">Database scalability limits as data grows</w:t>
            </w:r>
          </w:p>
        </w:tc>
        <w:tc>
          <w:tcPr>
            <w:tcW w:type="dxa" w:w="1400"/>
            <w:tcMar>
              <w:top w:type="dxa" w:w="60"/>
              <w:left w:type="dxa" w:w="100"/>
              <w:bottom w:type="dxa" w:w="60"/>
              <w:right w:type="dxa" w:w="100"/>
            </w:tcMar>
            <w:vAlign w:val="center"/>
          </w:tcPr>
          <w:p>
            <w:pPr>
              <w:jc w:val="left"/>
            </w:pPr>
            <w:r>
              <w:rPr>
                <w:b w:val="false"/>
                <w:bCs w:val="false"/>
                <w:sz w:val="18"/>
                <w:szCs w:val="18"/>
              </w:rPr>
              <w:t xml:space="preserve">Low for academic scope; Medium for future production</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Proposed: Low, TBC</w:t>
            </w:r>
          </w:p>
        </w:tc>
        <w:tc>
          <w:tcPr>
            <w:tcW w:type="dxa" w:w="2600"/>
            <w:tcMar>
              <w:top w:type="dxa" w:w="60"/>
              <w:left w:type="dxa" w:w="100"/>
              <w:bottom w:type="dxa" w:w="60"/>
              <w:right w:type="dxa" w:w="100"/>
            </w:tcMar>
            <w:vAlign w:val="center"/>
          </w:tcPr>
          <w:p>
            <w:pPr>
              <w:jc w:val="left"/>
            </w:pPr>
            <w:r>
              <w:rPr>
                <w:b w:val="false"/>
                <w:bCs w:val="false"/>
                <w:sz w:val="18"/>
                <w:szCs w:val="18"/>
              </w:rPr>
              <w:t xml:space="preserve">Schema/index design avoids known anti-patterns (Section 17, Part 2); horizontal/read-replica scaling noted as Phase 2/3</w:t>
            </w:r>
          </w:p>
        </w:tc>
        <w:tc>
          <w:tcPr>
            <w:tcW w:type="dxa" w:w="800"/>
            <w:tcMar>
              <w:top w:type="dxa" w:w="60"/>
              <w:left w:type="dxa" w:w="100"/>
              <w:bottom w:type="dxa" w:w="60"/>
              <w:right w:type="dxa" w:w="100"/>
            </w:tcMar>
            <w:vAlign w:val="center"/>
          </w:tcPr>
          <w:p>
            <w:pPr>
              <w:jc w:val="left"/>
            </w:pPr>
            <w:r>
              <w:rPr>
                <w:b w:val="false"/>
                <w:bCs w:val="false"/>
                <w:sz w:val="18"/>
                <w:szCs w:val="18"/>
              </w:rPr>
              <w:t xml:space="preserve">Development team</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RSK-10</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Incorrect AI recommendations misleading the CMA</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Medium — mitigated by human-in-the-loop design</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BR-AI-001/003 governance: no silent auto-apply, mandatory Fact/Inference labelling and confidence, override always available</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CMA / Development team</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RSK-11</w:t>
            </w:r>
          </w:p>
        </w:tc>
        <w:tc>
          <w:tcPr>
            <w:tcW w:type="dxa" w:w="2400"/>
            <w:tcMar>
              <w:top w:type="dxa" w:w="60"/>
              <w:left w:type="dxa" w:w="100"/>
              <w:bottom w:type="dxa" w:w="60"/>
              <w:right w:type="dxa" w:w="100"/>
            </w:tcMar>
            <w:vAlign w:val="center"/>
          </w:tcPr>
          <w:p>
            <w:pPr>
              <w:jc w:val="left"/>
            </w:pPr>
            <w:r>
              <w:rPr>
                <w:b w:val="false"/>
                <w:bCs w:val="false"/>
                <w:sz w:val="18"/>
                <w:szCs w:val="18"/>
              </w:rPr>
              <w:t xml:space="preserve">Financial reporting errors reaching Management undetected</w:t>
            </w:r>
          </w:p>
        </w:tc>
        <w:tc>
          <w:tcPr>
            <w:tcW w:type="dxa" w:w="1400"/>
            <w:tcMar>
              <w:top w:type="dxa" w:w="60"/>
              <w:left w:type="dxa" w:w="100"/>
              <w:bottom w:type="dxa" w:w="60"/>
              <w:right w:type="dxa" w:w="100"/>
            </w:tcMar>
            <w:vAlign w:val="center"/>
          </w:tcPr>
          <w:p>
            <w:pPr>
              <w:jc w:val="left"/>
            </w:pPr>
            <w:r>
              <w:rPr>
                <w:b w:val="false"/>
                <w:bCs w:val="false"/>
                <w:sz w:val="18"/>
                <w:szCs w:val="18"/>
              </w:rPr>
              <w:t xml:space="preserve">High</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Proposed: Low (with controls), TBC</w:t>
            </w:r>
          </w:p>
        </w:tc>
        <w:tc>
          <w:tcPr>
            <w:tcW w:type="dxa" w:w="2600"/>
            <w:tcMar>
              <w:top w:type="dxa" w:w="60"/>
              <w:left w:type="dxa" w:w="100"/>
              <w:bottom w:type="dxa" w:w="60"/>
              <w:right w:type="dxa" w:w="100"/>
            </w:tcMar>
            <w:vAlign w:val="center"/>
          </w:tcPr>
          <w:p>
            <w:pPr>
              <w:jc w:val="left"/>
            </w:pPr>
            <w:r>
              <w:rPr>
                <w:b w:val="false"/>
                <w:bCs w:val="false"/>
                <w:sz w:val="18"/>
                <w:szCs w:val="18"/>
              </w:rPr>
              <w:t xml:space="preserve">Reconciliation gate before Period Close (BR-REC-001, BR-AUD-001); Audit Desk sign-off</w:t>
            </w:r>
          </w:p>
        </w:tc>
        <w:tc>
          <w:tcPr>
            <w:tcW w:type="dxa" w:w="800"/>
            <w:tcMar>
              <w:top w:type="dxa" w:w="60"/>
              <w:left w:type="dxa" w:w="100"/>
              <w:bottom w:type="dxa" w:w="60"/>
              <w:right w:type="dxa" w:w="100"/>
            </w:tcMar>
            <w:vAlign w:val="center"/>
          </w:tcPr>
          <w:p>
            <w:pPr>
              <w:jc w:val="left"/>
            </w:pPr>
            <w:r>
              <w:rPr>
                <w:b w:val="false"/>
                <w:bCs w:val="false"/>
                <w:sz w:val="18"/>
                <w:szCs w:val="18"/>
              </w:rPr>
              <w:t xml:space="preserve">CMA / Auditor</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RSK-12</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Security vulnerabilities (injection, XSS, CSRF, broken access control)</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Medium, TBC</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20 (Part 3) security requirements; parameterised queries only, no PDO but also no string-concatenated SQL</w:t>
            </w:r>
          </w:p>
        </w:tc>
        <w:tc>
          <w:tcPr>
            <w:tcW w:type="dxa" w:w="800"/>
            <w:shd w:fill="F2F2F2" w:color="auto" w:val="clear"/>
            <w:tcMar>
              <w:top w:type="dxa" w:w="60"/>
              <w:left w:type="dxa" w:w="100"/>
              <w:bottom w:type="dxa" w:w="60"/>
              <w:right w:type="dxa" w:w="100"/>
            </w:tcMar>
            <w:vAlign w:val="center"/>
          </w:tcPr>
          <w:p>
            <w:pPr>
              <w:jc w:val="left"/>
            </w:pPr>
            <w:r>
              <w:rPr>
                <w:b w:val="false"/>
                <w:bCs w:val="false"/>
                <w:sz w:val="18"/>
                <w:szCs w:val="18"/>
              </w:rPr>
              <w:t xml:space="preserve">Development team</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RSK-13</w:t>
            </w:r>
          </w:p>
        </w:tc>
        <w:tc>
          <w:tcPr>
            <w:tcW w:type="dxa" w:w="2400"/>
            <w:tcMar>
              <w:top w:type="dxa" w:w="60"/>
              <w:left w:type="dxa" w:w="100"/>
              <w:bottom w:type="dxa" w:w="60"/>
              <w:right w:type="dxa" w:w="100"/>
            </w:tcMar>
            <w:vAlign w:val="center"/>
          </w:tcPr>
          <w:p>
            <w:pPr>
              <w:jc w:val="left"/>
            </w:pPr>
            <w:r>
              <w:rPr>
                <w:b w:val="false"/>
                <w:bCs w:val="false"/>
                <w:sz w:val="18"/>
                <w:szCs w:val="18"/>
              </w:rPr>
              <w:t xml:space="preserve">Requirement ambiguity in the source functional note</w:t>
            </w:r>
          </w:p>
        </w:tc>
        <w:tc>
          <w:tcPr>
            <w:tcW w:type="dxa" w:w="1400"/>
            <w:tcMar>
              <w:top w:type="dxa" w:w="60"/>
              <w:left w:type="dxa" w:w="100"/>
              <w:bottom w:type="dxa" w:w="60"/>
              <w:right w:type="dxa" w:w="100"/>
            </w:tcMar>
            <w:vAlign w:val="center"/>
          </w:tcPr>
          <w:p>
            <w:pPr>
              <w:jc w:val="left"/>
            </w:pPr>
            <w:r>
              <w:rPr>
                <w:b w:val="false"/>
                <w:bCs w:val="false"/>
                <w:sz w:val="18"/>
                <w:szCs w:val="18"/>
              </w:rPr>
              <w:t xml:space="preserve">Medium — risk of building the wrong thing</w:t>
            </w:r>
          </w:p>
        </w:tc>
        <w:tc>
          <w:tcPr>
            <w:tcW w:type="dxa" w:w="1400"/>
            <w:tcMar>
              <w:top w:type="dxa" w:w="60"/>
              <w:left w:type="dxa" w:w="100"/>
              <w:bottom w:type="dxa" w:w="60"/>
              <w:right w:type="dxa" w:w="100"/>
            </w:tcMar>
            <w:vAlign w:val="center"/>
          </w:tcPr>
          <w:p>
            <w:pPr>
              <w:jc w:val="left"/>
            </w:pPr>
            <w:r>
              <w:rPr>
                <w:b w:val="false"/>
                <w:bCs w:val="false"/>
                <w:sz w:val="18"/>
                <w:szCs w:val="18"/>
              </w:rPr>
              <w:t xml:space="preserve">N/A — addressed by process, not probability</w:t>
            </w:r>
          </w:p>
        </w:tc>
        <w:tc>
          <w:tcPr>
            <w:tcW w:type="dxa" w:w="2600"/>
            <w:tcMar>
              <w:top w:type="dxa" w:w="60"/>
              <w:left w:type="dxa" w:w="100"/>
              <w:bottom w:type="dxa" w:w="60"/>
              <w:right w:type="dxa" w:w="100"/>
            </w:tcMar>
            <w:vAlign w:val="center"/>
          </w:tcPr>
          <w:p>
            <w:pPr>
              <w:jc w:val="left"/>
            </w:pPr>
            <w:r>
              <w:rPr>
                <w:b w:val="false"/>
                <w:bCs w:val="false"/>
                <w:sz w:val="18"/>
                <w:szCs w:val="18"/>
              </w:rPr>
              <w:t xml:space="preserve">Every ambiguous area explicitly flagged Proposed/TBC throughout this SRS (Section 34) rather than silently assumed</w:t>
            </w:r>
          </w:p>
        </w:tc>
        <w:tc>
          <w:tcPr>
            <w:tcW w:type="dxa" w:w="800"/>
            <w:tcMar>
              <w:top w:type="dxa" w:w="60"/>
              <w:left w:type="dxa" w:w="100"/>
              <w:bottom w:type="dxa" w:w="60"/>
              <w:right w:type="dxa" w:w="100"/>
            </w:tcMar>
            <w:vAlign w:val="center"/>
          </w:tcPr>
          <w:p>
            <w:pPr>
              <w:jc w:val="left"/>
            </w:pPr>
            <w:r>
              <w:rPr>
                <w:b w:val="false"/>
                <w:bCs w:val="false"/>
                <w:sz w:val="18"/>
                <w:szCs w:val="18"/>
              </w:rPr>
              <w:t xml:space="preserve">Project guide review</w:t>
            </w:r>
          </w:p>
        </w:tc>
      </w:tr>
    </w:tbl>
    <w:p>
      <w:r>
        <w:br w:type="page"/>
      </w:r>
    </w:p>
    <w:p>
      <w:pPr>
        <w:pStyle w:val="Heading1"/>
        <w:spacing w:after="240" w:before="480"/>
      </w:pPr>
      <w:r>
        <w:rPr>
          <w:b/>
          <w:bCs/>
        </w:rPr>
        <w:t xml:space="preserve">36. MVP Scope</w:t>
      </w:r>
    </w:p>
    <w:p>
      <w:pPr>
        <w:spacing w:after="160"/>
      </w:pPr>
      <w:r>
        <w:t xml:space="preserve">This is the authoritative statement of what is Implemented/MVP for this academic project, consolidating the Phase markers used throughout Parts 1–4 in one place, per the source note's instruction not to present future capability as implemented MVP functionality.</w:t>
      </w:r>
    </w:p>
    <w:p>
      <w:pPr>
        <w:pStyle w:val="Heading2"/>
        <w:spacing w:after="160" w:before="320"/>
      </w:pPr>
      <w:r>
        <w:rPr>
          <w:b/>
          <w:bCs/>
        </w:rPr>
        <w:t xml:space="preserve">36.1 MVP / Phase 1 — In Scope</w:t>
      </w:r>
    </w:p>
    <w:p>
      <w:pPr>
        <w:pStyle w:val="ListParagraph"/>
        <w:numPr>
          <w:ilvl w:val="0"/>
          <w:numId w:val="2"/>
        </w:numPr>
        <w:spacing w:after="80"/>
      </w:pPr>
      <w:r>
        <w:t xml:space="preserve">Multi-tenant administration: Tenant, Company/Division/Plant/Warehouse hierarchy, User/Role management, RBAC (Sections 4, 8, 9, Part 1).</w:t>
      </w:r>
    </w:p>
    <w:p>
      <w:pPr>
        <w:pStyle w:val="ListParagraph"/>
        <w:numPr>
          <w:ilvl w:val="0"/>
          <w:numId w:val="2"/>
        </w:numPr>
        <w:spacing w:after="80"/>
      </w:pPr>
      <w:r>
        <w:t xml:space="preserve">Upload Centre, Source Data Management, Mapping (manual + AI-assisted), Validation, Data Quality Score (Sections 5.2–5.3, Part 2).</w:t>
      </w:r>
    </w:p>
    <w:p>
      <w:pPr>
        <w:pStyle w:val="ListParagraph"/>
        <w:numPr>
          <w:ilvl w:val="0"/>
          <w:numId w:val="2"/>
        </w:numPr>
        <w:spacing w:after="80"/>
      </w:pPr>
      <w:r>
        <w:t xml:space="preserve">Master Data: Item, Product, UOM (+ conversion), Cost Centre, Profit Centre, GL Classification, Cost Component, Labour/Machine Rate, BOM, Standard Cost, Allocation Rule (Section 10, Part 2).</w:t>
      </w:r>
    </w:p>
    <w:p>
      <w:pPr>
        <w:pStyle w:val="ListParagraph"/>
        <w:numPr>
          <w:ilvl w:val="0"/>
          <w:numId w:val="2"/>
        </w:numPr>
        <w:spacing w:after="80"/>
      </w:pPr>
      <w:r>
        <w:t xml:space="preserve">Inventory Valuation: FIFO, Periodic WAC, Moving WAC, Specific Cost (FR-INV-001).</w:t>
      </w:r>
    </w:p>
    <w:p>
      <w:pPr>
        <w:pStyle w:val="ListParagraph"/>
        <w:numPr>
          <w:ilvl w:val="0"/>
          <w:numId w:val="2"/>
        </w:numPr>
        <w:spacing w:after="80"/>
      </w:pPr>
      <w:r>
        <w:t xml:space="preserve">BOM: multi-level maintenance, explosion, cost roll-up (FR-BOM-001).</w:t>
      </w:r>
    </w:p>
    <w:p>
      <w:pPr>
        <w:pStyle w:val="ListParagraph"/>
        <w:numPr>
          <w:ilvl w:val="0"/>
          <w:numId w:val="2"/>
        </w:numPr>
        <w:spacing w:after="80"/>
      </w:pPr>
      <w:r>
        <w:t xml:space="preserve">Product Costing: Standard and Actual modes, Overhead Allocation, Standard vs Actual, basic Variance and Yield (FR-COST-001–003).</w:t>
      </w:r>
    </w:p>
    <w:p>
      <w:pPr>
        <w:pStyle w:val="ListParagraph"/>
        <w:numPr>
          <w:ilvl w:val="0"/>
          <w:numId w:val="2"/>
        </w:numPr>
        <w:spacing w:after="80"/>
      </w:pPr>
      <w:r>
        <w:t xml:space="preserve">Reconciliation: TB, Inventory, Production, Consumption, Costing (FR-REC-001).</w:t>
      </w:r>
    </w:p>
    <w:p>
      <w:pPr>
        <w:pStyle w:val="ListParagraph"/>
        <w:numPr>
          <w:ilvl w:val="0"/>
          <w:numId w:val="2"/>
        </w:numPr>
        <w:spacing w:after="80"/>
      </w:pPr>
      <w:r>
        <w:t xml:space="preserve">Audit Desk, Exception Management, Audit Trail, Data Lineage, Period Close, Costing Versioning (FR-AUD-001–002, Section 21).</w:t>
      </w:r>
    </w:p>
    <w:p>
      <w:pPr>
        <w:pStyle w:val="ListParagraph"/>
        <w:numPr>
          <w:ilvl w:val="0"/>
          <w:numId w:val="2"/>
        </w:numPr>
        <w:spacing w:after="80"/>
      </w:pPr>
      <w:r>
        <w:t xml:space="preserve">Management, CMA and Product Dashboards; the full Report catalogue except the three Phase 2 reports (Section 14, Part 3).</w:t>
      </w:r>
    </w:p>
    <w:p>
      <w:pPr>
        <w:pStyle w:val="ListParagraph"/>
        <w:numPr>
          <w:ilvl w:val="0"/>
          <w:numId w:val="2"/>
        </w:numPr>
        <w:spacing w:after="80"/>
      </w:pPr>
      <w:r>
        <w:t xml:space="preserve">AI Layer: AI-Assisted Mapping, CMA AI Copilot / Natural Language Analytics, AI Governance, Costing Integrity Score (FR-MAP-002, FR-AI-001, Section 23).</w:t>
      </w:r>
    </w:p>
    <w:p>
      <w:pPr>
        <w:pStyle w:val="ListParagraph"/>
        <w:numPr>
          <w:ilvl w:val="0"/>
          <w:numId w:val="2"/>
        </w:numPr>
        <w:spacing w:after="80"/>
      </w:pPr>
      <w:r>
        <w:t xml:space="preserve">In-app Notifications, Background Processing for long-running jobs (Section 24–25, Part 3).</w:t>
      </w:r>
    </w:p>
    <w:p>
      <w:pPr>
        <w:pStyle w:val="Heading2"/>
        <w:spacing w:after="160" w:before="320"/>
      </w:pPr>
      <w:r>
        <w:rPr>
          <w:b/>
          <w:bCs/>
        </w:rPr>
        <w:t xml:space="preserve">36.2 Explicitly Deferred from MVP</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4200"/>
        <w:gridCol w:w="5400"/>
      </w:tblGrid>
      <w:tr>
        <w:trPr>
          <w:tblHeader/>
        </w:trPr>
        <w:tc>
          <w:tcPr>
            <w:tcW w:type="dxa" w:w="4200"/>
            <w:shd w:fill="1F3864" w:color="auto" w:val="clear"/>
            <w:tcMar>
              <w:top w:type="dxa" w:w="60"/>
              <w:left w:type="dxa" w:w="100"/>
              <w:bottom w:type="dxa" w:w="60"/>
              <w:right w:type="dxa" w:w="100"/>
            </w:tcMar>
            <w:vAlign w:val="center"/>
          </w:tcPr>
          <w:p>
            <w:pPr>
              <w:jc w:val="left"/>
            </w:pPr>
            <w:r>
              <w:rPr>
                <w:b/>
                <w:bCs/>
                <w:color w:val="FFFFFF"/>
                <w:sz w:val="18"/>
                <w:szCs w:val="18"/>
              </w:rPr>
              <w:t xml:space="preserve">Item</w:t>
            </w:r>
          </w:p>
        </w:tc>
        <w:tc>
          <w:tcPr>
            <w:tcW w:type="dxa" w:w="5400"/>
            <w:shd w:fill="1F3864" w:color="auto" w:val="clear"/>
            <w:tcMar>
              <w:top w:type="dxa" w:w="60"/>
              <w:left w:type="dxa" w:w="100"/>
              <w:bottom w:type="dxa" w:w="60"/>
              <w:right w:type="dxa" w:w="100"/>
            </w:tcMar>
            <w:vAlign w:val="center"/>
          </w:tcPr>
          <w:p>
            <w:pPr>
              <w:jc w:val="left"/>
            </w:pPr>
            <w:r>
              <w:rPr>
                <w:b/>
                <w:bCs/>
                <w:color w:val="FFFFFF"/>
                <w:sz w:val="18"/>
                <w:szCs w:val="18"/>
              </w:rPr>
              <w:t xml:space="preserve">Deferred To</w:t>
            </w:r>
          </w:p>
        </w:tc>
      </w:tr>
      <w:tr>
        <w:tc>
          <w:tcPr>
            <w:tcW w:type="dxa" w:w="4200"/>
            <w:tcMar>
              <w:top w:type="dxa" w:w="60"/>
              <w:left w:type="dxa" w:w="100"/>
              <w:bottom w:type="dxa" w:w="60"/>
              <w:right w:type="dxa" w:w="100"/>
            </w:tcMar>
            <w:vAlign w:val="center"/>
          </w:tcPr>
          <w:p>
            <w:pPr>
              <w:jc w:val="left"/>
            </w:pPr>
            <w:r>
              <w:rPr>
                <w:b w:val="false"/>
                <w:bCs w:val="false"/>
                <w:sz w:val="18"/>
                <w:szCs w:val="18"/>
              </w:rPr>
              <w:t xml:space="preserve">WIP costing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Scrap / By-product / Co-product full cost treatment</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tcMar>
              <w:top w:type="dxa" w:w="60"/>
              <w:left w:type="dxa" w:w="100"/>
              <w:bottom w:type="dxa" w:w="60"/>
              <w:right w:type="dxa" w:w="100"/>
            </w:tcMar>
            <w:vAlign w:val="center"/>
          </w:tcPr>
          <w:p>
            <w:pPr>
              <w:jc w:val="left"/>
            </w:pPr>
            <w:r>
              <w:rPr>
                <w:b w:val="false"/>
                <w:bCs w:val="false"/>
                <w:sz w:val="18"/>
                <w:szCs w:val="18"/>
              </w:rPr>
              <w:t xml:space="preserve">Cost Simulation / What-if Analysis</w:t>
            </w:r>
          </w:p>
        </w:tc>
        <w:tc>
          <w:tcPr>
            <w:tcW w:type="dxa" w:w="5400"/>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Make-or-Buy analysis</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tcMar>
              <w:top w:type="dxa" w:w="60"/>
              <w:left w:type="dxa" w:w="100"/>
              <w:bottom w:type="dxa" w:w="60"/>
              <w:right w:type="dxa" w:w="100"/>
            </w:tcMar>
            <w:vAlign w:val="center"/>
          </w:tcPr>
          <w:p>
            <w:pPr>
              <w:jc w:val="left"/>
            </w:pPr>
            <w:r>
              <w:rPr>
                <w:b w:val="false"/>
                <w:bCs w:val="false"/>
                <w:sz w:val="18"/>
                <w:szCs w:val="18"/>
              </w:rPr>
              <w:t xml:space="preserve">Cost Centre Analytics, Machine/Capacity Analytics</w:t>
            </w:r>
          </w:p>
        </w:tc>
        <w:tc>
          <w:tcPr>
            <w:tcW w:type="dxa" w:w="5400"/>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Profitability (requires sales data source)</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tcMar>
              <w:top w:type="dxa" w:w="60"/>
              <w:left w:type="dxa" w:w="100"/>
              <w:bottom w:type="dxa" w:w="60"/>
              <w:right w:type="dxa" w:w="100"/>
            </w:tcMar>
            <w:vAlign w:val="center"/>
          </w:tcPr>
          <w:p>
            <w:pPr>
              <w:jc w:val="left"/>
            </w:pPr>
            <w:r>
              <w:rPr>
                <w:b w:val="false"/>
                <w:bCs w:val="false"/>
                <w:sz w:val="18"/>
                <w:szCs w:val="18"/>
              </w:rPr>
              <w:t xml:space="preserve">Inventory Analytics (ageing, slow-moving)</w:t>
            </w:r>
          </w:p>
        </w:tc>
        <w:tc>
          <w:tcPr>
            <w:tcW w:type="dxa" w:w="5400"/>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ERP API integrations, scheduled imports</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3</w:t>
            </w:r>
          </w:p>
        </w:tc>
      </w:tr>
      <w:tr>
        <w:tc>
          <w:tcPr>
            <w:tcW w:type="dxa" w:w="4200"/>
            <w:tcMar>
              <w:top w:type="dxa" w:w="60"/>
              <w:left w:type="dxa" w:w="100"/>
              <w:bottom w:type="dxa" w:w="60"/>
              <w:right w:type="dxa" w:w="100"/>
            </w:tcMar>
            <w:vAlign w:val="center"/>
          </w:tcPr>
          <w:p>
            <w:pPr>
              <w:jc w:val="left"/>
            </w:pPr>
            <w:r>
              <w:rPr>
                <w:b w:val="false"/>
                <w:bCs w:val="false"/>
                <w:sz w:val="18"/>
                <w:szCs w:val="18"/>
              </w:rPr>
              <w:t xml:space="preserve">Cost360 public API for external BI tools</w:t>
            </w:r>
          </w:p>
        </w:tc>
        <w:tc>
          <w:tcPr>
            <w:tcW w:type="dxa" w:w="5400"/>
            <w:tcMar>
              <w:top w:type="dxa" w:w="60"/>
              <w:left w:type="dxa" w:w="100"/>
              <w:bottom w:type="dxa" w:w="60"/>
              <w:right w:type="dxa" w:w="100"/>
            </w:tcMar>
            <w:vAlign w:val="center"/>
          </w:tcPr>
          <w:p>
            <w:pPr>
              <w:jc w:val="left"/>
            </w:pPr>
            <w:r>
              <w:rPr>
                <w:b w:val="false"/>
                <w:bCs w:val="false"/>
                <w:sz w:val="18"/>
                <w:szCs w:val="18"/>
              </w:rPr>
              <w:t xml:space="preserve">Phase 3</w:t>
            </w:r>
          </w:p>
        </w:tc>
      </w:tr>
      <w:tr>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Predictive costing, forecasting, margin prediction, advanced anomaly detection, benchmarking</w:t>
            </w:r>
          </w:p>
        </w:tc>
        <w:tc>
          <w:tcPr>
            <w:tcW w:type="dxa" w:w="54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3</w:t>
            </w:r>
          </w:p>
        </w:tc>
      </w:tr>
    </w:tbl>
    <w:p>
      <w:r>
        <w:br w:type="page"/>
      </w:r>
    </w:p>
    <w:p>
      <w:pPr>
        <w:pStyle w:val="Heading1"/>
        <w:spacing w:after="240" w:before="480"/>
      </w:pPr>
      <w:r>
        <w:rPr>
          <w:b/>
          <w:bCs/>
        </w:rPr>
        <w:t xml:space="preserve">37. Future Scope / Roadmap</w:t>
      </w:r>
    </w:p>
    <w:p>
      <w:pPr>
        <w:pStyle w:val="Heading2"/>
        <w:spacing w:after="160" w:before="320"/>
      </w:pPr>
      <w:r>
        <w:rPr>
          <w:b/>
          <w:bCs/>
        </w:rPr>
        <w:t xml:space="preserve">37.1 Phase 2</w:t>
      </w:r>
    </w:p>
    <w:p>
      <w:pPr>
        <w:pStyle w:val="ListParagraph"/>
        <w:numPr>
          <w:ilvl w:val="0"/>
          <w:numId w:val="2"/>
        </w:numPr>
        <w:spacing w:after="80"/>
      </w:pPr>
      <w:r>
        <w:t xml:space="preserve">Advanced overhead allocation (multiple driver bases per pool, activity-based costing options)</w:t>
      </w:r>
    </w:p>
    <w:p>
      <w:pPr>
        <w:pStyle w:val="ListParagraph"/>
        <w:numPr>
          <w:ilvl w:val="0"/>
          <w:numId w:val="2"/>
        </w:numPr>
        <w:spacing w:after="80"/>
      </w:pPr>
      <w:r>
        <w:t xml:space="preserve">WIP valuation</w:t>
      </w:r>
    </w:p>
    <w:p>
      <w:pPr>
        <w:pStyle w:val="ListParagraph"/>
        <w:numPr>
          <w:ilvl w:val="0"/>
          <w:numId w:val="2"/>
        </w:numPr>
        <w:spacing w:after="80"/>
      </w:pPr>
      <w:r>
        <w:t xml:space="preserve">Scrap / by-product / co-product full cost treatment</w:t>
      </w:r>
    </w:p>
    <w:p>
      <w:pPr>
        <w:pStyle w:val="ListParagraph"/>
        <w:numPr>
          <w:ilvl w:val="0"/>
          <w:numId w:val="2"/>
        </w:numPr>
        <w:spacing w:after="80"/>
      </w:pPr>
      <w:r>
        <w:t xml:space="preserve">Advanced variance analysis (mix/volume variances beyond the MVP's price/usage/rate/efficiency set)</w:t>
      </w:r>
    </w:p>
    <w:p>
      <w:pPr>
        <w:pStyle w:val="ListParagraph"/>
        <w:numPr>
          <w:ilvl w:val="0"/>
          <w:numId w:val="2"/>
        </w:numPr>
        <w:spacing w:after="80"/>
      </w:pPr>
      <w:r>
        <w:t xml:space="preserve">Full Cost Bridge and Cost Investigation workbenches</w:t>
      </w:r>
    </w:p>
    <w:p>
      <w:pPr>
        <w:pStyle w:val="ListParagraph"/>
        <w:numPr>
          <w:ilvl w:val="0"/>
          <w:numId w:val="2"/>
        </w:numPr>
        <w:spacing w:after="80"/>
      </w:pPr>
      <w:r>
        <w:t xml:space="preserve">Product Profitability (requires a sales data source to be defined)</w:t>
      </w:r>
    </w:p>
    <w:p>
      <w:pPr>
        <w:pStyle w:val="ListParagraph"/>
        <w:numPr>
          <w:ilvl w:val="0"/>
          <w:numId w:val="2"/>
        </w:numPr>
        <w:spacing w:after="80"/>
      </w:pPr>
      <w:r>
        <w:t xml:space="preserve">Inventory Ageing analytics</w:t>
      </w:r>
    </w:p>
    <w:p>
      <w:pPr>
        <w:pStyle w:val="ListParagraph"/>
        <w:numPr>
          <w:ilvl w:val="0"/>
          <w:numId w:val="2"/>
        </w:numPr>
        <w:spacing w:after="80"/>
      </w:pPr>
      <w:r>
        <w:t xml:space="preserve">Cost Centre and Machine/Capacity Analytics</w:t>
      </w:r>
    </w:p>
    <w:p>
      <w:pPr>
        <w:pStyle w:val="ListParagraph"/>
        <w:numPr>
          <w:ilvl w:val="0"/>
          <w:numId w:val="2"/>
        </w:numPr>
        <w:spacing w:after="80"/>
      </w:pPr>
      <w:r>
        <w:t xml:space="preserve">Cost Simulation / What-if Analysis</w:t>
      </w:r>
    </w:p>
    <w:p>
      <w:pPr>
        <w:pStyle w:val="ListParagraph"/>
        <w:numPr>
          <w:ilvl w:val="0"/>
          <w:numId w:val="2"/>
        </w:numPr>
        <w:spacing w:after="80"/>
      </w:pPr>
      <w:r>
        <w:t xml:space="preserve">Make-or-Buy decision support</w:t>
      </w:r>
    </w:p>
    <w:p>
      <w:pPr>
        <w:pStyle w:val="Heading2"/>
        <w:spacing w:after="160" w:before="320"/>
      </w:pPr>
      <w:r>
        <w:rPr>
          <w:b/>
          <w:bCs/>
        </w:rPr>
        <w:t xml:space="preserve">37.2 Phase 3</w:t>
      </w:r>
    </w:p>
    <w:p>
      <w:pPr>
        <w:pStyle w:val="ListParagraph"/>
        <w:numPr>
          <w:ilvl w:val="0"/>
          <w:numId w:val="2"/>
        </w:numPr>
        <w:spacing w:after="80"/>
      </w:pPr>
      <w:r>
        <w:t xml:space="preserve">Additional ERP integrations and scheduled/API-based imports (replacing manual upload)</w:t>
      </w:r>
    </w:p>
    <w:p>
      <w:pPr>
        <w:pStyle w:val="ListParagraph"/>
        <w:numPr>
          <w:ilvl w:val="0"/>
          <w:numId w:val="2"/>
        </w:numPr>
        <w:spacing w:after="80"/>
      </w:pPr>
      <w:r>
        <w:t xml:space="preserve">A formal Cost360 public API architecture</w:t>
      </w:r>
    </w:p>
    <w:p>
      <w:pPr>
        <w:pStyle w:val="ListParagraph"/>
        <w:numPr>
          <w:ilvl w:val="0"/>
          <w:numId w:val="2"/>
        </w:numPr>
        <w:spacing w:after="80"/>
      </w:pPr>
      <w:r>
        <w:t xml:space="preserve">Predictive costing and cost forecasting</w:t>
      </w:r>
    </w:p>
    <w:p>
      <w:pPr>
        <w:pStyle w:val="ListParagraph"/>
        <w:numPr>
          <w:ilvl w:val="0"/>
          <w:numId w:val="2"/>
        </w:numPr>
        <w:spacing w:after="80"/>
      </w:pPr>
      <w:r>
        <w:t xml:space="preserve">Margin prediction</w:t>
      </w:r>
    </w:p>
    <w:p>
      <w:pPr>
        <w:pStyle w:val="ListParagraph"/>
        <w:numPr>
          <w:ilvl w:val="0"/>
          <w:numId w:val="2"/>
        </w:numPr>
        <w:spacing w:after="80"/>
      </w:pPr>
      <w:r>
        <w:t xml:space="preserve">Advanced AI Copilot (proactive, cross-module recommendations)</w:t>
      </w:r>
    </w:p>
    <w:p>
      <w:pPr>
        <w:pStyle w:val="ListParagraph"/>
        <w:numPr>
          <w:ilvl w:val="0"/>
          <w:numId w:val="2"/>
        </w:numPr>
        <w:spacing w:after="80"/>
      </w:pPr>
      <w:r>
        <w:t xml:space="preserve">Benchmarking against industry/peer data</w:t>
      </w:r>
    </w:p>
    <w:p>
      <w:pPr>
        <w:pStyle w:val="ListParagraph"/>
        <w:numPr>
          <w:ilvl w:val="0"/>
          <w:numId w:val="2"/>
        </w:numPr>
        <w:spacing w:after="80"/>
      </w:pPr>
      <w:r>
        <w:t xml:space="preserve">Advanced multi-company consolidation</w:t>
      </w:r>
    </w:p>
    <w:p>
      <w:pPr>
        <w:pStyle w:val="ListParagraph"/>
        <w:numPr>
          <w:ilvl w:val="0"/>
          <w:numId w:val="2"/>
        </w:numPr>
        <w:spacing w:after="80"/>
      </w:pPr>
      <w:r>
        <w:t xml:space="preserve">Product-mix analysis and capacity optimisation</w:t>
      </w:r>
    </w:p>
    <w:p>
      <w:pPr>
        <w:pStyle w:val="ListParagraph"/>
        <w:numPr>
          <w:ilvl w:val="0"/>
          <w:numId w:val="2"/>
        </w:numPr>
        <w:spacing w:after="80"/>
      </w:pPr>
      <w:r>
        <w:t xml:space="preserve">Advanced decision-costing tools</w:t>
      </w:r>
    </w:p>
    <w:p>
      <w:pPr>
        <w:pStyle w:val="ListParagraph"/>
        <w:numPr>
          <w:ilvl w:val="0"/>
          <w:numId w:val="2"/>
        </w:numPr>
        <w:spacing w:after="80"/>
      </w:pPr>
      <w:r>
        <w:t xml:space="preserve">Automated anomaly detection beyond threshold-based Warnings</w:t>
      </w:r>
    </w:p>
    <w:p>
      <w:pPr>
        <w:spacing w:after="160"/>
      </w:pPr>
      <w:r>
        <w:t xml:space="preserve">This phasing is a Proposed roadmap interpretation of the source note's own MVP/Phase 2/Phase 3 module list, organised so that Phase 1 delivers a complete, internally consistent, auditable costing pipeline end-to-end (upload through period close) before any analytics/decision-support layer is added — a working core is prioritised over a partially-working full feature set.</w:t>
      </w:r>
    </w:p>
    <w:p>
      <w:r>
        <w:br w:type="page"/>
      </w:r>
    </w:p>
    <w:p>
      <w:pPr>
        <w:pStyle w:val="Heading1"/>
        <w:spacing w:after="240" w:before="480"/>
      </w:pPr>
      <w:r>
        <w:rPr>
          <w:b/>
          <w:bCs/>
        </w:rPr>
        <w:t xml:space="preserve">38. Glossary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800"/>
        <w:gridCol w:w="780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Term</w:t>
            </w:r>
          </w:p>
        </w:tc>
        <w:tc>
          <w:tcPr>
            <w:tcW w:type="dxa" w:w="7800"/>
            <w:shd w:fill="1F3864" w:color="auto" w:val="clear"/>
            <w:tcMar>
              <w:top w:type="dxa" w:w="60"/>
              <w:left w:type="dxa" w:w="100"/>
              <w:bottom w:type="dxa" w:w="60"/>
              <w:right w:type="dxa" w:w="100"/>
            </w:tcMar>
            <w:vAlign w:val="center"/>
          </w:tcPr>
          <w:p>
            <w:pPr>
              <w:jc w:val="left"/>
            </w:pPr>
            <w:r>
              <w:rPr>
                <w:b/>
                <w:bCs/>
                <w:color w:val="FFFFFF"/>
                <w:sz w:val="18"/>
                <w:szCs w:val="18"/>
              </w:rPr>
              <w:t xml:space="preserve">Definition</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Actual Cost</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cost computed from actually-recorded transactions (as opposed to Standard Cost), for a period.</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AI</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Artificial Intelligence — in Cost360, used for mapping suggestions and natural-language analytics, always under human review (Section 23, Part 3).</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Audit Trail</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immutable, append-only log of material actions across the platform (Section 21, Part 3).</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BOM</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Bill of Materials — the list of components and quantities required to produce one unit of a parent item, potentially multi-level.</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Cost Bridge</w:t>
            </w:r>
          </w:p>
        </w:tc>
        <w:tc>
          <w:tcPr>
            <w:tcW w:type="dxa" w:w="7800"/>
            <w:tcMar>
              <w:top w:type="dxa" w:w="60"/>
              <w:left w:type="dxa" w:w="100"/>
              <w:bottom w:type="dxa" w:w="60"/>
              <w:right w:type="dxa" w:w="100"/>
            </w:tcMar>
            <w:vAlign w:val="center"/>
          </w:tcPr>
          <w:p>
            <w:pPr>
              <w:jc w:val="left"/>
            </w:pPr>
            <w:r>
              <w:rPr>
                <w:b w:val="false"/>
                <w:bCs w:val="false"/>
                <w:sz w:val="18"/>
                <w:szCs w:val="18"/>
              </w:rPr>
              <w:t xml:space="preserve">A waterfall view showing how a product's cost moves from Standard to Actual through named variance segments.</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Centre</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An organisational unit to which costs are pooled/tracked for control and allocation purposes.</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Cost Driver</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measurable quantity (e.g. machine hours) used as the basis for allocating an overhead cost pool.</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Cost Pool</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An aggregated bucket of indirect/overhead cost awaiting allocation to cost objects.</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Costing Integrity Score</w:t>
            </w:r>
          </w:p>
        </w:tc>
        <w:tc>
          <w:tcPr>
            <w:tcW w:type="dxa" w:w="7800"/>
            <w:tcMar>
              <w:top w:type="dxa" w:w="60"/>
              <w:left w:type="dxa" w:w="100"/>
              <w:bottom w:type="dxa" w:w="60"/>
              <w:right w:type="dxa" w:w="100"/>
            </w:tcMar>
            <w:vAlign w:val="center"/>
          </w:tcPr>
          <w:p>
            <w:pPr>
              <w:jc w:val="left"/>
            </w:pPr>
            <w:r>
              <w:rPr>
                <w:b w:val="false"/>
                <w:bCs w:val="false"/>
                <w:sz w:val="18"/>
                <w:szCs w:val="18"/>
              </w:rPr>
              <w:t xml:space="preserve">A composite score (Section 13.2, Part 3) reflecting data quality, reconciliation health and exception backlog for a period/plant — formula Proposed / To Be Confirmed.</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Cost &amp; Management Accountant — the primary operating role in Cost360 (Section 4.3, Part 1).</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Data Lineage</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traceable chain from a displayed figure back to its originating source file row (Section 21.2, Part 3).</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FIFO</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First-In-First-Out — an inventory valuation method that consumes the oldest cost layer first.</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GL</w:t>
            </w:r>
          </w:p>
        </w:tc>
        <w:tc>
          <w:tcPr>
            <w:tcW w:type="dxa" w:w="7800"/>
            <w:tcMar>
              <w:top w:type="dxa" w:w="60"/>
              <w:left w:type="dxa" w:w="100"/>
              <w:bottom w:type="dxa" w:w="60"/>
              <w:right w:type="dxa" w:w="100"/>
            </w:tcMar>
            <w:vAlign w:val="center"/>
          </w:tcPr>
          <w:p>
            <w:pPr>
              <w:jc w:val="left"/>
            </w:pPr>
            <w:r>
              <w:rPr>
                <w:b w:val="false"/>
                <w:bCs w:val="false"/>
                <w:sz w:val="18"/>
                <w:szCs w:val="18"/>
              </w:rPr>
              <w:t xml:space="preserve">General Ledger — the accounting system of record for financial postings.</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MVP</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Minimum Viable Product — the Phase 1 scope defined in Section 36.</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MWAC</w:t>
            </w:r>
          </w:p>
        </w:tc>
        <w:tc>
          <w:tcPr>
            <w:tcW w:type="dxa" w:w="7800"/>
            <w:tcMar>
              <w:top w:type="dxa" w:w="60"/>
              <w:left w:type="dxa" w:w="100"/>
              <w:bottom w:type="dxa" w:w="60"/>
              <w:right w:type="dxa" w:w="100"/>
            </w:tcMar>
            <w:vAlign w:val="center"/>
          </w:tcPr>
          <w:p>
            <w:pPr>
              <w:jc w:val="left"/>
            </w:pPr>
            <w:r>
              <w:rPr>
                <w:b w:val="false"/>
                <w:bCs w:val="false"/>
                <w:sz w:val="18"/>
                <w:szCs w:val="18"/>
              </w:rPr>
              <w:t xml:space="preserve">Moving Weighted Average Cost — an inventory valuation method that recomputes the average cost after every receipt.</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NRV</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Net Realisable Value — estimated selling price less costs to complete and sell; relevant to inventory write-down considerations (not detailed as an MVP requirement).</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Overhead Allocation</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process of distributing indirect cost pools to cost objects (e.g. products) using a defined basis and driver.</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Periodic WAC</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Periodic Weighted Average Cost — an inventory valuation method computing a single average rate for the whole period.</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Product Cost</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total cost of producing one unit of a product: material + labour + process/machine + production overheads + other direct cost + allocated overheads (BR-COST-001).</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RBAC</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Role-Based Access Control — the permission model governing what each role can view/do (Section 4.7, Part 1).</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Reconciliation</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process of confirming Cost360's computed figures tie out to source financial/operational records within tolerance.</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SaaS</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Software as a Service — Cost360's deployment/delivery model.</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SKU</w:t>
            </w:r>
          </w:p>
        </w:tc>
        <w:tc>
          <w:tcPr>
            <w:tcW w:type="dxa" w:w="7800"/>
            <w:tcMar>
              <w:top w:type="dxa" w:w="60"/>
              <w:left w:type="dxa" w:w="100"/>
              <w:bottom w:type="dxa" w:w="60"/>
              <w:right w:type="dxa" w:w="100"/>
            </w:tcMar>
            <w:vAlign w:val="center"/>
          </w:tcPr>
          <w:p>
            <w:pPr>
              <w:jc w:val="left"/>
            </w:pPr>
            <w:r>
              <w:rPr>
                <w:b w:val="false"/>
                <w:bCs w:val="false"/>
                <w:sz w:val="18"/>
                <w:szCs w:val="18"/>
              </w:rPr>
              <w:t xml:space="preserve">Stock Keeping Unit — a distinct item/product identifier.</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Specific Cost</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An inventory valuation method costing each issue at the exact cost of its specific lot/serial.</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Standard Cost</w:t>
            </w:r>
          </w:p>
        </w:tc>
        <w:tc>
          <w:tcPr>
            <w:tcW w:type="dxa" w:w="7800"/>
            <w:tcMar>
              <w:top w:type="dxa" w:w="60"/>
              <w:left w:type="dxa" w:w="100"/>
              <w:bottom w:type="dxa" w:w="60"/>
              <w:right w:type="dxa" w:w="100"/>
            </w:tcMar>
            <w:vAlign w:val="center"/>
          </w:tcPr>
          <w:p>
            <w:pPr>
              <w:jc w:val="left"/>
            </w:pPr>
            <w:r>
              <w:rPr>
                <w:b w:val="false"/>
                <w:bCs w:val="false"/>
                <w:sz w:val="18"/>
                <w:szCs w:val="18"/>
              </w:rPr>
              <w:t xml:space="preserve">A predetermined/budgeted cost per item/component, used as the baseline for variance analysis.</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A Cost360 customer organisation; the top-level multi-tenancy boundary (Section 16.1, Part 2, tenants table).</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TB</w:t>
            </w:r>
          </w:p>
        </w:tc>
        <w:tc>
          <w:tcPr>
            <w:tcW w:type="dxa" w:w="7800"/>
            <w:tcMar>
              <w:top w:type="dxa" w:w="60"/>
              <w:left w:type="dxa" w:w="100"/>
              <w:bottom w:type="dxa" w:w="60"/>
              <w:right w:type="dxa" w:w="100"/>
            </w:tcMar>
            <w:vAlign w:val="center"/>
          </w:tcPr>
          <w:p>
            <w:pPr>
              <w:jc w:val="left"/>
            </w:pPr>
            <w:r>
              <w:rPr>
                <w:b w:val="false"/>
                <w:bCs w:val="false"/>
                <w:sz w:val="18"/>
                <w:szCs w:val="18"/>
              </w:rPr>
              <w:t xml:space="preserve">Trial Balance — the summarised list of GL account balances for a period, used as the reconciliation source of truth.</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UOM</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Unit of Measure.</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Variance</w:t>
            </w:r>
          </w:p>
        </w:tc>
        <w:tc>
          <w:tcPr>
            <w:tcW w:type="dxa" w:w="7800"/>
            <w:tcMar>
              <w:top w:type="dxa" w:w="60"/>
              <w:left w:type="dxa" w:w="100"/>
              <w:bottom w:type="dxa" w:w="60"/>
              <w:right w:type="dxa" w:w="100"/>
            </w:tcMar>
            <w:vAlign w:val="center"/>
          </w:tcPr>
          <w:p>
            <w:pPr>
              <w:jc w:val="left"/>
            </w:pPr>
            <w:r>
              <w:rPr>
                <w:b w:val="false"/>
                <w:bCs w:val="false"/>
                <w:sz w:val="18"/>
                <w:szCs w:val="18"/>
              </w:rPr>
              <w:t xml:space="preserve">The difference between Actual and Standard cost, decomposed into named sub-categories (price, usage, rate, efficiency, etc.).</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WAC</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Weighted Average Cost — general term covering Periodic and Moving WAC methods.</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WIP</w:t>
            </w:r>
          </w:p>
        </w:tc>
        <w:tc>
          <w:tcPr>
            <w:tcW w:type="dxa" w:w="7800"/>
            <w:tcMar>
              <w:top w:type="dxa" w:w="60"/>
              <w:left w:type="dxa" w:w="100"/>
              <w:bottom w:type="dxa" w:w="60"/>
              <w:right w:type="dxa" w:w="100"/>
            </w:tcMar>
            <w:vAlign w:val="center"/>
          </w:tcPr>
          <w:p>
            <w:pPr>
              <w:jc w:val="left"/>
            </w:pPr>
            <w:r>
              <w:rPr>
                <w:b w:val="false"/>
                <w:bCs w:val="false"/>
                <w:sz w:val="18"/>
                <w:szCs w:val="18"/>
              </w:rPr>
              <w:t xml:space="preserve">Work-in-Progress — partially completed production inventory (Phase 2 costing treatment).</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Yield</w:t>
            </w:r>
          </w:p>
        </w:tc>
        <w:tc>
          <w:tcPr>
            <w:tcW w:type="dxa" w:w="7800"/>
            <w:shd w:fill="F2F2F2" w:color="auto" w:val="clear"/>
            <w:tcMar>
              <w:top w:type="dxa" w:w="60"/>
              <w:left w:type="dxa" w:w="100"/>
              <w:bottom w:type="dxa" w:w="60"/>
              <w:right w:type="dxa" w:w="100"/>
            </w:tcMar>
            <w:vAlign w:val="center"/>
          </w:tcPr>
          <w:p>
            <w:pPr>
              <w:jc w:val="left"/>
            </w:pPr>
            <w:r>
              <w:rPr>
                <w:b w:val="false"/>
                <w:bCs w:val="false"/>
                <w:sz w:val="18"/>
                <w:szCs w:val="18"/>
              </w:rPr>
              <w:t xml:space="preserve">The ratio of actual usable output to expected output from a given input/process.</w:t>
            </w:r>
          </w:p>
        </w:tc>
      </w:tr>
    </w:tbl>
    <w:p>
      <w:r>
        <w:br w:type="page"/>
      </w:r>
    </w:p>
    <w:p>
      <w:pPr>
        <w:pStyle w:val="Heading1"/>
        <w:spacing w:after="240" w:before="480"/>
      </w:pPr>
      <w:r>
        <w:rPr>
          <w:b/>
          <w:bCs/>
        </w:rPr>
        <w:t xml:space="preserve">39. References</w:t>
      </w:r>
    </w:p>
    <w:p>
      <w:pPr>
        <w:pStyle w:val="ListParagraph"/>
        <w:numPr>
          <w:ilvl w:val="0"/>
          <w:numId w:val="2"/>
        </w:numPr>
        <w:spacing w:after="80"/>
      </w:pPr>
      <w:r>
        <w:t xml:space="preserve">Functional Requirement Note / Macro-Level Functional Specification for Cost360 (source document supplied for this project) — the primary source of truth for all business requirements in this SRS.</w:t>
      </w:r>
    </w:p>
    <w:p>
      <w:pPr>
        <w:pStyle w:val="ListParagraph"/>
        <w:numPr>
          <w:ilvl w:val="0"/>
          <w:numId w:val="2"/>
        </w:numPr>
        <w:spacing w:after="80"/>
      </w:pPr>
      <w:r>
        <w:t xml:space="preserve">IEEE 830-1998 — Recommended Practice for Software Requirements Specifications (structural reference for this document).</w:t>
      </w:r>
    </w:p>
    <w:p>
      <w:pPr>
        <w:pStyle w:val="ListParagraph"/>
        <w:numPr>
          <w:ilvl w:val="0"/>
          <w:numId w:val="2"/>
        </w:numPr>
        <w:spacing w:after="80"/>
      </w:pPr>
      <w:r>
        <w:t xml:space="preserve">ISO/IEC/IEEE 29148:2018 — Systems and software engineering — Life cycle processes — Requirements engineering (structural reference).</w:t>
      </w:r>
    </w:p>
    <w:p>
      <w:pPr>
        <w:pStyle w:val="ListParagraph"/>
        <w:numPr>
          <w:ilvl w:val="0"/>
          <w:numId w:val="2"/>
        </w:numPr>
        <w:spacing w:after="80"/>
      </w:pPr>
      <w:r>
        <w:t xml:space="preserve">PostgreSQL Official Documentation (postgresql.org/docs) — reference for the DDL and connectivity approach in Section 17 (Part 2).</w:t>
      </w:r>
    </w:p>
    <w:p>
      <w:pPr>
        <w:pStyle w:val="ListParagraph"/>
        <w:numPr>
          <w:ilvl w:val="0"/>
          <w:numId w:val="2"/>
        </w:numPr>
        <w:spacing w:after="80"/>
      </w:pPr>
      <w:r>
        <w:t xml:space="preserve">PHP Manual, PostgreSQL Functions (php.net/manual/en/book.pgsql.php) — reference for the pg_* connectivity functions used in Section 17.14 (Part 2).</w:t>
      </w:r>
    </w:p>
    <w:p>
      <w:pPr>
        <w:pStyle w:val="ListParagraph"/>
        <w:numPr>
          <w:ilvl w:val="0"/>
          <w:numId w:val="2"/>
        </w:numPr>
        <w:spacing w:after="80"/>
      </w:pPr>
      <w:r>
        <w:t xml:space="preserve">OWASP (Open Web Application Security Project) guidance — general reference for the security requirement classes in Section 20 (Part 3) (injection, XSS, CSRF, broken access control).</w:t>
      </w:r>
    </w:p>
    <w:p>
      <w:pPr>
        <w:pStyle w:val="ListParagraph"/>
        <w:numPr>
          <w:ilvl w:val="0"/>
          <w:numId w:val="2"/>
        </w:numPr>
        <w:spacing w:after="80"/>
      </w:pPr>
      <w:r>
        <w:t xml:space="preserve">Standard cost and management accounting terminology (variance analysis, standard costing, overhead absorption) as commonly taught in CMA/cost-accounting curricula — general domain reference for Sections 5, 18 and 38.</w:t>
      </w:r>
    </w:p>
    <w:p>
      <w:r>
        <w:br w:type="page"/>
      </w:r>
    </w:p>
    <w:p>
      <w:pPr>
        <w:pStyle w:val="Heading1"/>
        <w:spacing w:after="240" w:before="480"/>
      </w:pPr>
      <w:r>
        <w:rPr>
          <w:b/>
          <w:bCs/>
        </w:rPr>
        <w:t xml:space="preserve">40. Appendices</w:t>
      </w:r>
    </w:p>
    <w:p>
      <w:pPr>
        <w:pStyle w:val="Heading2"/>
        <w:spacing w:after="160" w:before="320"/>
      </w:pPr>
      <w:r>
        <w:rPr>
          <w:b/>
          <w:bCs/>
        </w:rPr>
        <w:t xml:space="preserve">Appendix A — How This Document Was Assembled</w:t>
      </w:r>
    </w:p>
    <w:p>
      <w:pPr>
        <w:spacing w:after="160"/>
      </w:pPr>
      <w:r>
        <w:t xml:space="preserve">This SRS was produced in four parts (Document Build Plan, Part 1, Document Control section) and is intended to be read as one continuous document once merged: Part 1 (Document Control, Introduction, Overall Description, System Context, Stakeholders/RBAC, Architecture, Menu) → Part 2 (Functional Requirements, Module Specifications, Master Data, Transactions, Database Design) → Part 3 (NFRs, Workflow/Dashboard/Report Specs, Business/Validation Rules, Security, Audit/Lineage, Integration, AI, Error Handling, Performance, Backup, Process Flows, UML) → Part 4 (this part: Screens, Deployment, Test Plan, Test Cases, RTM, Assumptions, Risks, MVP/Future Scope, Glossary, References, Appendices). To produce a single submission-ready file, copy each part's body content (after its own cover/contents page) into one Word document in this order and regenerate the Table of Contents field (Part 1) via Word's References → Update Table.</w:t>
      </w:r>
    </w:p>
    <w:p>
      <w:pPr>
        <w:pStyle w:val="Heading2"/>
        <w:spacing w:after="160" w:before="320"/>
      </w:pPr>
      <w:r>
        <w:rPr>
          <w:b/>
          <w:bCs/>
        </w:rPr>
        <w:t xml:space="preserve">Appendix B — Consolidated ID Index</w:t>
      </w:r>
    </w:p>
    <w:p>
      <w:pPr>
        <w:spacing w:after="160"/>
      </w:pPr>
      <w:r>
        <w:t xml:space="preserve">For quick lookup during review or viva, every identifier scheme used in this SRS and where it is defined:</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3800"/>
        <w:gridCol w:w="36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Prefix</w:t>
            </w:r>
          </w:p>
        </w:tc>
        <w:tc>
          <w:tcPr>
            <w:tcW w:type="dxa" w:w="3800"/>
            <w:shd w:fill="1F3864" w:color="auto" w:val="clear"/>
            <w:tcMar>
              <w:top w:type="dxa" w:w="60"/>
              <w:left w:type="dxa" w:w="100"/>
              <w:bottom w:type="dxa" w:w="60"/>
              <w:right w:type="dxa" w:w="100"/>
            </w:tcMar>
            <w:vAlign w:val="center"/>
          </w:tcPr>
          <w:p>
            <w:pPr>
              <w:jc w:val="left"/>
            </w:pPr>
            <w:r>
              <w:rPr>
                <w:b/>
                <w:bCs/>
                <w:color w:val="FFFFFF"/>
                <w:sz w:val="18"/>
                <w:szCs w:val="18"/>
              </w:rPr>
              <w:t xml:space="preserve">Meaning</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Defined In</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FR-xxx-NNN</w:t>
            </w:r>
          </w:p>
        </w:tc>
        <w:tc>
          <w:tcPr>
            <w:tcW w:type="dxa" w:w="3800"/>
            <w:tcMar>
              <w:top w:type="dxa" w:w="60"/>
              <w:left w:type="dxa" w:w="100"/>
              <w:bottom w:type="dxa" w:w="60"/>
              <w:right w:type="dxa" w:w="100"/>
            </w:tcMar>
            <w:vAlign w:val="center"/>
          </w:tcPr>
          <w:p>
            <w:pPr>
              <w:jc w:val="left"/>
            </w:pPr>
            <w:r>
              <w:rPr>
                <w:b w:val="false"/>
                <w:bCs w:val="false"/>
                <w:sz w:val="18"/>
                <w:szCs w:val="18"/>
              </w:rPr>
              <w:t xml:space="preserve">Functional Requirement</w:t>
            </w:r>
          </w:p>
        </w:tc>
        <w:tc>
          <w:tcPr>
            <w:tcW w:type="dxa" w:w="3600"/>
            <w:tcMar>
              <w:top w:type="dxa" w:w="60"/>
              <w:left w:type="dxa" w:w="100"/>
              <w:bottom w:type="dxa" w:w="60"/>
              <w:right w:type="dxa" w:w="100"/>
            </w:tcMar>
            <w:vAlign w:val="center"/>
          </w:tcPr>
          <w:p>
            <w:pPr>
              <w:jc w:val="left"/>
            </w:pPr>
            <w:r>
              <w:rPr>
                <w:b w:val="false"/>
                <w:bCs w:val="false"/>
                <w:sz w:val="18"/>
                <w:szCs w:val="18"/>
              </w:rPr>
              <w:t xml:space="preserve">Section 5, Part 2</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BR-xxx-NNN</w:t>
            </w:r>
          </w:p>
        </w:tc>
        <w:tc>
          <w:tcPr>
            <w:tcW w:type="dxa" w:w="3800"/>
            <w:shd w:fill="F2F2F2" w:color="auto" w:val="clear"/>
            <w:tcMar>
              <w:top w:type="dxa" w:w="60"/>
              <w:left w:type="dxa" w:w="100"/>
              <w:bottom w:type="dxa" w:w="60"/>
              <w:right w:type="dxa" w:w="100"/>
            </w:tcMar>
            <w:vAlign w:val="center"/>
          </w:tcPr>
          <w:p>
            <w:pPr>
              <w:jc w:val="left"/>
            </w:pPr>
            <w:r>
              <w:rPr>
                <w:b w:val="false"/>
                <w:bCs w:val="false"/>
                <w:sz w:val="18"/>
                <w:szCs w:val="18"/>
              </w:rPr>
              <w:t xml:space="preserve">Business Rule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18, Part 3</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NFR-xxx-NNN</w:t>
            </w:r>
          </w:p>
        </w:tc>
        <w:tc>
          <w:tcPr>
            <w:tcW w:type="dxa" w:w="3800"/>
            <w:tcMar>
              <w:top w:type="dxa" w:w="60"/>
              <w:left w:type="dxa" w:w="100"/>
              <w:bottom w:type="dxa" w:w="60"/>
              <w:right w:type="dxa" w:w="100"/>
            </w:tcMar>
            <w:vAlign w:val="center"/>
          </w:tcPr>
          <w:p>
            <w:pPr>
              <w:jc w:val="left"/>
            </w:pPr>
            <w:r>
              <w:rPr>
                <w:b w:val="false"/>
                <w:bCs w:val="false"/>
                <w:sz w:val="18"/>
                <w:szCs w:val="18"/>
              </w:rPr>
              <w:t xml:space="preserve">Non-Functional Requirement</w:t>
            </w:r>
          </w:p>
        </w:tc>
        <w:tc>
          <w:tcPr>
            <w:tcW w:type="dxa" w:w="3600"/>
            <w:tcMar>
              <w:top w:type="dxa" w:w="60"/>
              <w:left w:type="dxa" w:w="100"/>
              <w:bottom w:type="dxa" w:w="60"/>
              <w:right w:type="dxa" w:w="100"/>
            </w:tcMar>
            <w:vAlign w:val="center"/>
          </w:tcPr>
          <w:p>
            <w:pPr>
              <w:jc w:val="left"/>
            </w:pPr>
            <w:r>
              <w:rPr>
                <w:b w:val="false"/>
                <w:bCs w:val="false"/>
                <w:sz w:val="18"/>
                <w:szCs w:val="18"/>
              </w:rPr>
              <w:t xml:space="preserve">Section 6, Part 3</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MD-NN</w:t>
            </w:r>
          </w:p>
        </w:tc>
        <w:tc>
          <w:tcPr>
            <w:tcW w:type="dxa" w:w="3800"/>
            <w:shd w:fill="F2F2F2" w:color="auto" w:val="clear"/>
            <w:tcMar>
              <w:top w:type="dxa" w:w="60"/>
              <w:left w:type="dxa" w:w="100"/>
              <w:bottom w:type="dxa" w:w="60"/>
              <w:right w:type="dxa" w:w="100"/>
            </w:tcMar>
            <w:vAlign w:val="center"/>
          </w:tcPr>
          <w:p>
            <w:pPr>
              <w:jc w:val="left"/>
            </w:pPr>
            <w:r>
              <w:rPr>
                <w:b w:val="false"/>
                <w:bCs w:val="false"/>
                <w:sz w:val="18"/>
                <w:szCs w:val="18"/>
              </w:rPr>
              <w:t xml:space="preserve">Master Data entity</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10, Part 2</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RPT-NNN</w:t>
            </w:r>
          </w:p>
        </w:tc>
        <w:tc>
          <w:tcPr>
            <w:tcW w:type="dxa" w:w="3800"/>
            <w:tcMar>
              <w:top w:type="dxa" w:w="60"/>
              <w:left w:type="dxa" w:w="100"/>
              <w:bottom w:type="dxa" w:w="60"/>
              <w:right w:type="dxa" w:w="100"/>
            </w:tcMar>
            <w:vAlign w:val="center"/>
          </w:tcPr>
          <w:p>
            <w:pPr>
              <w:jc w:val="left"/>
            </w:pPr>
            <w:r>
              <w:rPr>
                <w:b w:val="false"/>
                <w:bCs w:val="false"/>
                <w:sz w:val="18"/>
                <w:szCs w:val="18"/>
              </w:rPr>
              <w:t xml:space="preserve">Report</w:t>
            </w:r>
          </w:p>
        </w:tc>
        <w:tc>
          <w:tcPr>
            <w:tcW w:type="dxa" w:w="3600"/>
            <w:tcMar>
              <w:top w:type="dxa" w:w="60"/>
              <w:left w:type="dxa" w:w="100"/>
              <w:bottom w:type="dxa" w:w="60"/>
              <w:right w:type="dxa" w:w="100"/>
            </w:tcMar>
            <w:vAlign w:val="center"/>
          </w:tcPr>
          <w:p>
            <w:pPr>
              <w:jc w:val="left"/>
            </w:pPr>
            <w:r>
              <w:rPr>
                <w:b w:val="false"/>
                <w:bCs w:val="false"/>
                <w:sz w:val="18"/>
                <w:szCs w:val="18"/>
              </w:rPr>
              <w:t xml:space="preserve">Section 14, Part 3</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SCR-NN</w:t>
            </w:r>
          </w:p>
        </w:tc>
        <w:tc>
          <w:tcPr>
            <w:tcW w:type="dxa" w:w="3800"/>
            <w:shd w:fill="F2F2F2" w:color="auto" w:val="clear"/>
            <w:tcMar>
              <w:top w:type="dxa" w:w="60"/>
              <w:left w:type="dxa" w:w="100"/>
              <w:bottom w:type="dxa" w:w="60"/>
              <w:right w:type="dxa" w:w="100"/>
            </w:tcMar>
            <w:vAlign w:val="center"/>
          </w:tcPr>
          <w:p>
            <w:pPr>
              <w:jc w:val="left"/>
            </w:pPr>
            <w:r>
              <w:rPr>
                <w:b w:val="false"/>
                <w:bCs w:val="false"/>
                <w:sz w:val="18"/>
                <w:szCs w:val="18"/>
              </w:rPr>
              <w:t xml:space="preserve">Priority Screen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30.1, this Part</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TC-NNN</w:t>
            </w:r>
          </w:p>
        </w:tc>
        <w:tc>
          <w:tcPr>
            <w:tcW w:type="dxa" w:w="3800"/>
            <w:tcMar>
              <w:top w:type="dxa" w:w="60"/>
              <w:left w:type="dxa" w:w="100"/>
              <w:bottom w:type="dxa" w:w="60"/>
              <w:right w:type="dxa" w:w="100"/>
            </w:tcMar>
            <w:vAlign w:val="center"/>
          </w:tcPr>
          <w:p>
            <w:pPr>
              <w:jc w:val="left"/>
            </w:pPr>
            <w:r>
              <w:rPr>
                <w:b w:val="false"/>
                <w:bCs w:val="false"/>
                <w:sz w:val="18"/>
                <w:szCs w:val="18"/>
              </w:rPr>
              <w:t xml:space="preserve">Test Case</w:t>
            </w:r>
          </w:p>
        </w:tc>
        <w:tc>
          <w:tcPr>
            <w:tcW w:type="dxa" w:w="3600"/>
            <w:tcMar>
              <w:top w:type="dxa" w:w="60"/>
              <w:left w:type="dxa" w:w="100"/>
              <w:bottom w:type="dxa" w:w="60"/>
              <w:right w:type="dxa" w:w="100"/>
            </w:tcMar>
            <w:vAlign w:val="center"/>
          </w:tcPr>
          <w:p>
            <w:pPr>
              <w:jc w:val="left"/>
            </w:pPr>
            <w:r>
              <w:rPr>
                <w:b w:val="false"/>
                <w:bCs w:val="false"/>
                <w:sz w:val="18"/>
                <w:szCs w:val="18"/>
              </w:rPr>
              <w:t xml:space="preserve">Section 28, this Part</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RSK-NN</w:t>
            </w:r>
          </w:p>
        </w:tc>
        <w:tc>
          <w:tcPr>
            <w:tcW w:type="dxa" w:w="3800"/>
            <w:shd w:fill="F2F2F2" w:color="auto" w:val="clear"/>
            <w:tcMar>
              <w:top w:type="dxa" w:w="60"/>
              <w:left w:type="dxa" w:w="100"/>
              <w:bottom w:type="dxa" w:w="60"/>
              <w:right w:type="dxa" w:w="100"/>
            </w:tcMar>
            <w:vAlign w:val="center"/>
          </w:tcPr>
          <w:p>
            <w:pPr>
              <w:jc w:val="left"/>
            </w:pPr>
            <w:r>
              <w:rPr>
                <w:b w:val="false"/>
                <w:bCs w:val="false"/>
                <w:sz w:val="18"/>
                <w:szCs w:val="18"/>
              </w:rPr>
              <w:t xml:space="preserve">Risk</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Section 35, this Part</w:t>
            </w:r>
          </w:p>
        </w:tc>
      </w:tr>
    </w:tbl>
    <w:p>
      <w:pPr>
        <w:spacing w:after="200"/>
      </w:pPr>
    </w:p>
    <w:p>
      <w:pPr>
        <w:pStyle w:val="Heading2"/>
        <w:spacing w:after="160" w:before="320"/>
      </w:pPr>
      <w:r>
        <w:rPr>
          <w:b/>
          <w:bCs/>
        </w:rPr>
        <w:t xml:space="preserve">Appendix C — Change Log for This SRS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2400"/>
        <w:gridCol w:w="57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Version</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Date</w:t>
            </w:r>
          </w:p>
        </w:tc>
        <w:tc>
          <w:tcPr>
            <w:tcW w:type="dxa" w:w="5700"/>
            <w:shd w:fill="1F3864" w:color="auto" w:val="clear"/>
            <w:tcMar>
              <w:top w:type="dxa" w:w="60"/>
              <w:left w:type="dxa" w:w="100"/>
              <w:bottom w:type="dxa" w:w="60"/>
              <w:right w:type="dxa" w:w="100"/>
            </w:tcMar>
            <w:vAlign w:val="center"/>
          </w:tcPr>
          <w:p>
            <w:pPr>
              <w:jc w:val="left"/>
            </w:pPr>
            <w:r>
              <w:rPr>
                <w:b/>
                <w:bCs/>
                <w:color w:val="FFFFFF"/>
                <w:sz w:val="18"/>
                <w:szCs w:val="18"/>
              </w:rPr>
              <w:t xml:space="preserve">Change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0.1</w:t>
            </w:r>
          </w:p>
        </w:tc>
        <w:tc>
          <w:tcPr>
            <w:tcW w:type="dxa" w:w="2400"/>
            <w:tcMar>
              <w:top w:type="dxa" w:w="60"/>
              <w:left w:type="dxa" w:w="100"/>
              <w:bottom w:type="dxa" w:w="60"/>
              <w:right w:type="dxa" w:w="100"/>
            </w:tcMar>
            <w:vAlign w:val="center"/>
          </w:tcPr>
          <w:p>
            <w:pPr>
              <w:jc w:val="left"/>
            </w:pPr>
            <w:r>
              <w:rPr>
                <w:b w:val="false"/>
                <w:bCs w:val="false"/>
                <w:sz w:val="18"/>
                <w:szCs w:val="18"/>
              </w:rPr>
              <w:t xml:space="preserve">22–23 Sep 2026</w:t>
            </w:r>
          </w:p>
        </w:tc>
        <w:tc>
          <w:tcPr>
            <w:tcW w:type="dxa" w:w="5700"/>
            <w:tcMar>
              <w:top w:type="dxa" w:w="60"/>
              <w:left w:type="dxa" w:w="100"/>
              <w:bottom w:type="dxa" w:w="60"/>
              <w:right w:type="dxa" w:w="100"/>
            </w:tcMar>
            <w:vAlign w:val="center"/>
          </w:tcPr>
          <w:p>
            <w:pPr>
              <w:jc w:val="left"/>
            </w:pPr>
            <w:r>
              <w:rPr>
                <w:b w:val="false"/>
                <w:bCs w:val="false"/>
                <w:sz w:val="18"/>
                <w:szCs w:val="18"/>
              </w:rPr>
              <w:t xml:space="preserve">Initial draft, Parts 1–4, assembled from the source functional requirement note.</w:t>
            </w:r>
          </w:p>
        </w:tc>
      </w:tr>
    </w:tbl>
    <w:p>
      <w:pPr>
        <w:spacing w:after="200"/>
      </w:pPr>
    </w:p>
    <w:p>
      <w:pPr>
        <w:pStyle w:val="Heading2"/>
        <w:spacing w:after="160" w:before="320"/>
      </w:pPr>
      <w:r>
        <w:rPr>
          <w:b/>
          <w:bCs/>
        </w:rPr>
        <w:t xml:space="preserve">Appendix D — Outstanding Items for Project-Guide Confirmation</w:t>
      </w:r>
    </w:p>
    <w:p>
      <w:pPr>
        <w:spacing w:after="160"/>
      </w:pPr>
      <w:r>
        <w:t xml:space="preserve">This is a short-list pulled from Section 34 (Part 4) — the items with the highest impact on implementation that should be confirmed earliest:</w:t>
      </w:r>
    </w:p>
    <w:p>
      <w:pPr>
        <w:pStyle w:val="ListParagraph"/>
        <w:numPr>
          <w:ilvl w:val="0"/>
          <w:numId w:val="2"/>
        </w:numPr>
        <w:spacing w:after="80"/>
      </w:pPr>
      <w:r>
        <w:t xml:space="preserve">Exact numeric targets for performance, file size and reconciliation tolerance (Sections 6.1, 25.1, 18.3 BR-REC-001).</w:t>
      </w:r>
    </w:p>
    <w:p>
      <w:pPr>
        <w:pStyle w:val="ListParagraph"/>
        <w:numPr>
          <w:ilvl w:val="0"/>
          <w:numId w:val="2"/>
        </w:numPr>
        <w:spacing w:after="80"/>
      </w:pPr>
      <w:r>
        <w:t xml:space="preserve">Whether negative-inventory override is permitted in MVP, and by whom (BR-INV-002).</w:t>
      </w:r>
    </w:p>
    <w:p>
      <w:pPr>
        <w:pStyle w:val="ListParagraph"/>
        <w:numPr>
          <w:ilvl w:val="0"/>
          <w:numId w:val="2"/>
        </w:numPr>
        <w:spacing w:after="80"/>
      </w:pPr>
      <w:r>
        <w:t xml:space="preserve">Exact password policy and session timeout parameters (BR-SEC-004/005).</w:t>
      </w:r>
    </w:p>
    <w:p>
      <w:pPr>
        <w:pStyle w:val="ListParagraph"/>
        <w:numPr>
          <w:ilvl w:val="0"/>
          <w:numId w:val="2"/>
        </w:numPr>
        <w:spacing w:after="80"/>
      </w:pPr>
      <w:r>
        <w:t xml:space="preserve">Whether Customer/Tenant, Company, Division, Plant, Warehouse are implemented as one self-referential org_units table (Proposed, Section 16.1, Part 2) or four separate tables.</w:t>
      </w:r>
    </w:p>
    <w:p>
      <w:pPr>
        <w:pStyle w:val="ListParagraph"/>
        <w:numPr>
          <w:ilvl w:val="0"/>
          <w:numId w:val="2"/>
        </w:numPr>
        <w:spacing w:after="80"/>
      </w:pPr>
      <w:r>
        <w:t xml:space="preserve">AI provider selection and whether the AI Layer ships as a working integration or a stubbed/mocked interface for the academic demonstration.</w:t>
      </w:r>
    </w:p>
    <w:p>
      <w:pPr>
        <w:pStyle w:val="ListParagraph"/>
        <w:numPr>
          <w:ilvl w:val="0"/>
          <w:numId w:val="2"/>
        </w:numPr>
        <w:spacing w:after="80"/>
      </w:pPr>
      <w:r>
        <w:t xml:space="preserve">Whether MFA is required for Platform Administrator accounts in MVP (Section 20.1, Part 3).</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Cost360 — Software Requirements Specification (Part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2026-09-24T06:38:21.815Z</dcterms:created>
  <dcterms:modified xsi:type="dcterms:W3CDTF">2026-09-24T06:38:21.819Z</dcterms:modified>
</cp:coreProperties>
</file>

<file path=docProps/custom.xml><?xml version="1.0" encoding="utf-8"?>
<Properties xmlns="http://schemas.openxmlformats.org/officeDocument/2006/custom-properties" xmlns:vt="http://schemas.openxmlformats.org/officeDocument/2006/docPropsVTypes"/>
</file>