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svg" ContentType="image/svg+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Calibri" w:hAnsi="Calibri" w:eastAsia="Calibri"/>
          <w:b/>
          <w:i w:val="0"/>
          <w:color w:val="2E74B5"/>
          <w:sz w:val="20"/>
        </w:rPr>
        <w:t>ARGUS UNIFIED</w:t>
      </w:r>
    </w:p>
    <w:p>
      <w:pPr>
        <w:pStyle w:val="Title"/>
      </w:pPr>
      <w:r>
        <w:t>Argus Unified — Complete System Walkthrough</w:t>
      </w:r>
    </w:p>
    <w:p>
      <w:pPr>
        <w:pStyle w:val="Subtitle"/>
      </w:pPr>
      <w:r>
        <w:t>Architecture, module integration, deployment, operator flow, algorithms, evidence, and current limits</w:t>
      </w:r>
    </w:p>
    <w:tbl>
      <w:tblPr>
        <w:tblStyle w:val="TableGrid"/>
        <w:tblW w:type="dxa" w:w="9360"/>
        <w:jc w:val="left"/>
        <w:tblLayout w:type="fixed"/>
        <w:tblLook w:firstColumn="1" w:firstRow="1" w:lastColumn="0" w:lastRow="0" w:noHBand="0" w:noVBand="1" w:val="04A0"/>
        <w:tblInd w:w="120" w:type="dxa"/>
      </w:tblPr>
      <w:tblGrid>
        <w:gridCol w:w="2050"/>
        <w:gridCol w:w="7310"/>
      </w:tblGrid>
      <w:tr>
        <w:tc>
          <w:tcPr>
            <w:tcW w:type="dxa" w:w="2050"/>
            <w:tcMar>
              <w:top w:w="80" w:type="dxa"/>
              <w:start w:w="120" w:type="dxa"/>
              <w:bottom w:w="80" w:type="dxa"/>
              <w:end w:w="120" w:type="dxa"/>
            </w:tcMar>
            <w:vAlign w:val="center"/>
            <w:shd w:fill="E8EEF5"/>
          </w:tcPr>
          <w:p>
            <w:r>
              <w:rPr>
                <w:rFonts w:ascii="Calibri" w:hAnsi="Calibri" w:eastAsia="Calibri"/>
                <w:b/>
                <w:i w:val="0"/>
                <w:color w:val="1F4D78"/>
                <w:sz w:val="18"/>
              </w:rPr>
              <w:t>Document status</w:t>
            </w:r>
          </w:p>
        </w:tc>
        <w:tc>
          <w:tcPr>
            <w:tcW w:type="dxa" w:w="7310"/>
            <w:tcMar>
              <w:top w:w="80" w:type="dxa"/>
              <w:start w:w="120" w:type="dxa"/>
              <w:bottom w:w="80" w:type="dxa"/>
              <w:end w:w="120" w:type="dxa"/>
            </w:tcMar>
            <w:vAlign w:val="center"/>
          </w:tcPr>
          <w:p>
            <w:r>
              <w:rPr>
                <w:rFonts w:ascii="Calibri" w:hAnsi="Calibri" w:eastAsia="Calibri"/>
                <w:b w:val="0"/>
                <w:i w:val="0"/>
                <w:color w:val="000000"/>
                <w:sz w:val="18"/>
              </w:rPr>
              <w:t>IMPLEMENTED / VERIFIED</w:t>
            </w:r>
          </w:p>
        </w:tc>
      </w:tr>
      <w:tr>
        <w:tc>
          <w:tcPr>
            <w:tcW w:type="dxa" w:w="2050"/>
            <w:tcMar>
              <w:top w:w="80" w:type="dxa"/>
              <w:start w:w="120" w:type="dxa"/>
              <w:bottom w:w="80" w:type="dxa"/>
              <w:end w:w="120" w:type="dxa"/>
            </w:tcMar>
            <w:vAlign w:val="center"/>
            <w:shd w:fill="E8EEF5"/>
          </w:tcPr>
          <w:p>
            <w:r>
              <w:rPr>
                <w:rFonts w:ascii="Calibri" w:hAnsi="Calibri" w:eastAsia="Calibri"/>
                <w:b/>
                <w:i w:val="0"/>
                <w:color w:val="1F4D78"/>
                <w:sz w:val="18"/>
              </w:rPr>
              <w:t>As of</w:t>
            </w:r>
          </w:p>
        </w:tc>
        <w:tc>
          <w:tcPr>
            <w:tcW w:type="dxa" w:w="7310"/>
            <w:tcMar>
              <w:top w:w="80" w:type="dxa"/>
              <w:start w:w="120" w:type="dxa"/>
              <w:bottom w:w="80" w:type="dxa"/>
              <w:end w:w="120" w:type="dxa"/>
            </w:tcMar>
            <w:vAlign w:val="center"/>
          </w:tcPr>
          <w:p>
            <w:r>
              <w:rPr>
                <w:rFonts w:ascii="Calibri" w:hAnsi="Calibri" w:eastAsia="Calibri"/>
                <w:b w:val="0"/>
                <w:i w:val="0"/>
                <w:color w:val="000000"/>
                <w:sz w:val="18"/>
              </w:rPr>
              <w:t>10 August 2026</w:t>
            </w:r>
          </w:p>
        </w:tc>
      </w:tr>
      <w:tr>
        <w:tc>
          <w:tcPr>
            <w:tcW w:type="dxa" w:w="2050"/>
            <w:tcMar>
              <w:top w:w="80" w:type="dxa"/>
              <w:start w:w="120" w:type="dxa"/>
              <w:bottom w:w="80" w:type="dxa"/>
              <w:end w:w="120" w:type="dxa"/>
            </w:tcMar>
            <w:vAlign w:val="center"/>
            <w:shd w:fill="E8EEF5"/>
          </w:tcPr>
          <w:p>
            <w:r>
              <w:rPr>
                <w:rFonts w:ascii="Calibri" w:hAnsi="Calibri" w:eastAsia="Calibri"/>
                <w:b/>
                <w:i w:val="0"/>
                <w:color w:val="1F4D78"/>
                <w:sz w:val="18"/>
              </w:rPr>
              <w:t>Basis</w:t>
            </w:r>
          </w:p>
        </w:tc>
        <w:tc>
          <w:tcPr>
            <w:tcW w:type="dxa" w:w="7310"/>
            <w:tcMar>
              <w:top w:w="80" w:type="dxa"/>
              <w:start w:w="120" w:type="dxa"/>
              <w:bottom w:w="80" w:type="dxa"/>
              <w:end w:w="120" w:type="dxa"/>
            </w:tcMar>
            <w:vAlign w:val="center"/>
          </w:tcPr>
          <w:p>
            <w:r>
              <w:rPr>
                <w:rFonts w:ascii="Calibri" w:hAnsi="Calibri" w:eastAsia="Calibri"/>
                <w:b w:val="0"/>
                <w:i w:val="0"/>
                <w:color w:val="000000"/>
                <w:sz w:val="18"/>
              </w:rPr>
              <w:t>Consolidated source code, automated tests, build outputs, and browser verification</w:t>
            </w:r>
          </w:p>
        </w:tc>
      </w:tr>
      <w:tr>
        <w:tc>
          <w:tcPr>
            <w:tcW w:type="dxa" w:w="2050"/>
            <w:tcMar>
              <w:top w:w="80" w:type="dxa"/>
              <w:start w:w="120" w:type="dxa"/>
              <w:bottom w:w="80" w:type="dxa"/>
              <w:end w:w="120" w:type="dxa"/>
            </w:tcMar>
            <w:vAlign w:val="center"/>
            <w:shd w:fill="E8EEF5"/>
          </w:tcPr>
          <w:p>
            <w:r>
              <w:rPr>
                <w:rFonts w:ascii="Calibri" w:hAnsi="Calibri" w:eastAsia="Calibri"/>
                <w:b/>
                <w:i w:val="0"/>
                <w:color w:val="1F4D78"/>
                <w:sz w:val="18"/>
              </w:rPr>
              <w:t>Scope rule</w:t>
            </w:r>
          </w:p>
        </w:tc>
        <w:tc>
          <w:tcPr>
            <w:tcW w:type="dxa" w:w="7310"/>
            <w:tcMar>
              <w:top w:w="80" w:type="dxa"/>
              <w:start w:w="120" w:type="dxa"/>
              <w:bottom w:w="80" w:type="dxa"/>
              <w:end w:w="120" w:type="dxa"/>
            </w:tcMar>
            <w:vAlign w:val="center"/>
          </w:tcPr>
          <w:p>
            <w:r>
              <w:rPr>
                <w:rFonts w:ascii="Calibri" w:hAnsi="Calibri" w:eastAsia="Calibri"/>
                <w:b w:val="0"/>
                <w:i w:val="0"/>
                <w:color w:val="000000"/>
                <w:sz w:val="18"/>
              </w:rPr>
              <w:t>Implemented behavior only; no roadmap or unimplemented product claims</w:t>
            </w:r>
          </w:p>
        </w:tc>
      </w:tr>
    </w:tbl>
    <w:p/>
    <w:p>
      <w:pPr>
        <w:pStyle w:val="Heading1"/>
      </w:pPr>
      <w:r>
        <w:t>What was consolidated</w:t>
      </w:r>
    </w:p>
    <w:p>
      <w:r>
        <w:rPr>
          <w:rFonts w:ascii="Calibri" w:hAnsi="Calibri" w:eastAsia="Calibri"/>
          <w:b w:val="0"/>
          <w:i w:val="0"/>
          <w:color w:val="000000"/>
          <w:sz w:val="22"/>
        </w:rPr>
        <w:t>Argus Unified is a new, clean project folder assembled around argus_main. No original source folder was modified. The standalone OSINT and breach codebase was merged once under backend/modules and exposed through the shared edge and UI. The unique Telegram monitor and PII-link behavior was reimplemented as backend/modules/telegram_intel and connected to the existing detection, correlation, finding, SLA, exposure, STIX, Redis/Celery, and customer-asset systems.</w:t>
      </w:r>
    </w:p>
    <w:tbl>
      <w:tblPr>
        <w:tblStyle w:val="TableGrid"/>
        <w:tblW w:type="dxa" w:w="9360"/>
        <w:tblLayout w:type="fixed"/>
        <w:tblLook w:firstColumn="1" w:firstRow="1" w:lastColumn="0" w:lastRow="0" w:noHBand="0" w:noVBand="1" w:val="04A0"/>
        <w:jc w:val="left"/>
        <w:tblInd w:w="120" w:type="dxa"/>
      </w:tblPr>
      <w:tblGrid>
        <w:gridCol w:w="2450"/>
        <w:gridCol w:w="3950"/>
        <w:gridCol w:w="2960"/>
      </w:tblGrid>
      <w:tr>
        <w:trPr>
          <w:tblHeader w:val="true"/>
        </w:trPr>
        <w:tc>
          <w:tcPr>
            <w:tcW w:type="dxa" w:w="2450"/>
            <w:tcMar>
              <w:top w:w="80" w:type="dxa"/>
              <w:start w:w="120" w:type="dxa"/>
              <w:bottom w:w="80" w:type="dxa"/>
              <w:end w:w="120" w:type="dxa"/>
            </w:tcMar>
            <w:vAlign w:val="center"/>
            <w:shd w:fill="E8EEF5"/>
          </w:tcPr>
          <w:p>
            <w:r>
              <w:rPr>
                <w:rFonts w:ascii="Calibri" w:hAnsi="Calibri" w:eastAsia="Calibri"/>
                <w:b/>
                <w:i w:val="0"/>
                <w:color w:val="1F4D78"/>
                <w:sz w:val="17"/>
              </w:rPr>
              <w:t>Source</w:t>
            </w:r>
          </w:p>
        </w:tc>
        <w:tc>
          <w:tcPr>
            <w:tcW w:type="dxa" w:w="3950"/>
            <w:tcMar>
              <w:top w:w="80" w:type="dxa"/>
              <w:start w:w="120" w:type="dxa"/>
              <w:bottom w:w="80" w:type="dxa"/>
              <w:end w:w="120" w:type="dxa"/>
            </w:tcMar>
            <w:vAlign w:val="center"/>
            <w:shd w:fill="E8EEF5"/>
          </w:tcPr>
          <w:p>
            <w:r>
              <w:rPr>
                <w:rFonts w:ascii="Calibri" w:hAnsi="Calibri" w:eastAsia="Calibri"/>
                <w:b/>
                <w:i w:val="0"/>
                <w:color w:val="1F4D78"/>
                <w:sz w:val="17"/>
              </w:rPr>
              <w:t>Unified destination</w:t>
            </w:r>
          </w:p>
        </w:tc>
        <w:tc>
          <w:tcPr>
            <w:tcW w:type="dxa" w:w="2960"/>
            <w:tcMar>
              <w:top w:w="80" w:type="dxa"/>
              <w:start w:w="120" w:type="dxa"/>
              <w:bottom w:w="80" w:type="dxa"/>
              <w:end w:w="120" w:type="dxa"/>
            </w:tcMar>
            <w:vAlign w:val="center"/>
            <w:shd w:fill="E8EEF5"/>
          </w:tcPr>
          <w:p>
            <w:r>
              <w:rPr>
                <w:rFonts w:ascii="Calibri" w:hAnsi="Calibri" w:eastAsia="Calibri"/>
                <w:b/>
                <w:i w:val="0"/>
                <w:color w:val="1F4D78"/>
                <w:sz w:val="17"/>
              </w:rPr>
              <w:t>Duplication decision</w:t>
            </w:r>
          </w:p>
        </w:tc>
      </w:tr>
      <w:tr>
        <w:tc>
          <w:tcPr>
            <w:tcW w:type="dxa" w:w="2450"/>
            <w:tcMar>
              <w:top w:w="80" w:type="dxa"/>
              <w:start w:w="120" w:type="dxa"/>
              <w:bottom w:w="80" w:type="dxa"/>
              <w:end w:w="120" w:type="dxa"/>
            </w:tcMar>
            <w:vAlign w:val="center"/>
          </w:tcPr>
          <w:p>
            <w:r>
              <w:rPr>
                <w:rFonts w:ascii="Calibri" w:hAnsi="Calibri" w:eastAsia="Calibri"/>
                <w:b w:val="0"/>
                <w:i w:val="0"/>
                <w:color w:val="000000"/>
                <w:sz w:val="17"/>
              </w:rPr>
              <w:t>argus_main</w:t>
            </w:r>
          </w:p>
        </w:tc>
        <w:tc>
          <w:tcPr>
            <w:tcW w:type="dxa" w:w="3950"/>
            <w:tcMar>
              <w:top w:w="80" w:type="dxa"/>
              <w:start w:w="120" w:type="dxa"/>
              <w:bottom w:w="80" w:type="dxa"/>
              <w:end w:w="120" w:type="dxa"/>
            </w:tcMar>
            <w:vAlign w:val="center"/>
          </w:tcPr>
          <w:p>
            <w:r>
              <w:rPr>
                <w:rFonts w:ascii="Calibri" w:hAnsi="Calibri" w:eastAsia="Calibri"/>
                <w:b w:val="0"/>
                <w:i w:val="0"/>
                <w:color w:val="000000"/>
                <w:sz w:val="17"/>
              </w:rPr>
              <w:t>Project shell, API, UI, infrastructure, scoring</w:t>
            </w:r>
          </w:p>
        </w:tc>
        <w:tc>
          <w:tcPr>
            <w:tcW w:type="dxa" w:w="2960"/>
            <w:tcMar>
              <w:top w:w="80" w:type="dxa"/>
              <w:start w:w="120" w:type="dxa"/>
              <w:bottom w:w="80" w:type="dxa"/>
              <w:end w:w="120" w:type="dxa"/>
            </w:tcMar>
            <w:vAlign w:val="center"/>
          </w:tcPr>
          <w:p>
            <w:r>
              <w:rPr>
                <w:rFonts w:ascii="Calibri" w:hAnsi="Calibri" w:eastAsia="Calibri"/>
                <w:b w:val="0"/>
                <w:i w:val="0"/>
                <w:color w:val="000000"/>
                <w:sz w:val="17"/>
              </w:rPr>
              <w:t>Canonical base retained</w:t>
            </w:r>
          </w:p>
        </w:tc>
      </w:tr>
      <w:tr>
        <w:tc>
          <w:tcPr>
            <w:tcW w:type="dxa" w:w="2450"/>
            <w:tcMar>
              <w:top w:w="80" w:type="dxa"/>
              <w:start w:w="120" w:type="dxa"/>
              <w:bottom w:w="80" w:type="dxa"/>
              <w:end w:w="120" w:type="dxa"/>
            </w:tcMar>
            <w:vAlign w:val="center"/>
          </w:tcPr>
          <w:p>
            <w:r>
              <w:rPr>
                <w:rFonts w:ascii="Calibri" w:hAnsi="Calibri" w:eastAsia="Calibri"/>
                <w:b w:val="0"/>
                <w:i w:val="0"/>
                <w:color w:val="000000"/>
                <w:sz w:val="17"/>
              </w:rPr>
              <w:t>osint and breach codebase</w:t>
            </w:r>
          </w:p>
        </w:tc>
        <w:tc>
          <w:tcPr>
            <w:tcW w:type="dxa" w:w="3950"/>
            <w:tcMar>
              <w:top w:w="80" w:type="dxa"/>
              <w:start w:w="120" w:type="dxa"/>
              <w:bottom w:w="80" w:type="dxa"/>
              <w:end w:w="120" w:type="dxa"/>
            </w:tcMar>
            <w:vAlign w:val="center"/>
          </w:tcPr>
          <w:p>
            <w:r>
              <w:rPr>
                <w:rFonts w:ascii="Calibri" w:hAnsi="Calibri" w:eastAsia="Calibri"/>
                <w:b w:val="0"/>
                <w:i w:val="0"/>
                <w:color w:val="000000"/>
                <w:sz w:val="17"/>
              </w:rPr>
              <w:t>backend/modules/osint and backend/modules/breach; modules-ui</w:t>
            </w:r>
          </w:p>
        </w:tc>
        <w:tc>
          <w:tcPr>
            <w:tcW w:type="dxa" w:w="2960"/>
            <w:tcMar>
              <w:top w:w="80" w:type="dxa"/>
              <w:start w:w="120" w:type="dxa"/>
              <w:bottom w:w="80" w:type="dxa"/>
              <w:end w:w="120" w:type="dxa"/>
            </w:tcMar>
            <w:vAlign w:val="center"/>
          </w:tcPr>
          <w:p>
            <w:r>
              <w:rPr>
                <w:rFonts w:ascii="Calibri" w:hAnsi="Calibri" w:eastAsia="Calibri"/>
                <w:b w:val="0"/>
                <w:i w:val="0"/>
                <w:color w:val="000000"/>
                <w:sz w:val="17"/>
              </w:rPr>
              <w:t>One mounted copy; duplicate product shell removed</w:t>
            </w:r>
          </w:p>
        </w:tc>
      </w:tr>
      <w:tr>
        <w:tc>
          <w:tcPr>
            <w:tcW w:type="dxa" w:w="2450"/>
            <w:tcMar>
              <w:top w:w="80" w:type="dxa"/>
              <w:start w:w="120" w:type="dxa"/>
              <w:bottom w:w="80" w:type="dxa"/>
              <w:end w:w="120" w:type="dxa"/>
            </w:tcMar>
            <w:vAlign w:val="center"/>
          </w:tcPr>
          <w:p>
            <w:r>
              <w:rPr>
                <w:rFonts w:ascii="Calibri" w:hAnsi="Calibri" w:eastAsia="Calibri"/>
                <w:b w:val="0"/>
                <w:i w:val="0"/>
                <w:color w:val="000000"/>
                <w:sz w:val="17"/>
              </w:rPr>
              <w:t>cyber_threat_monitor</w:t>
            </w:r>
          </w:p>
        </w:tc>
        <w:tc>
          <w:tcPr>
            <w:tcW w:type="dxa" w:w="3950"/>
            <w:tcMar>
              <w:top w:w="80" w:type="dxa"/>
              <w:start w:w="120" w:type="dxa"/>
              <w:bottom w:w="80" w:type="dxa"/>
              <w:end w:w="120" w:type="dxa"/>
            </w:tcMar>
            <w:vAlign w:val="center"/>
          </w:tcPr>
          <w:p>
            <w:r>
              <w:rPr>
                <w:rFonts w:ascii="Calibri" w:hAnsi="Calibri" w:eastAsia="Calibri"/>
                <w:b w:val="0"/>
                <w:i w:val="0"/>
                <w:color w:val="000000"/>
                <w:sz w:val="17"/>
              </w:rPr>
              <w:t>backend/modules/telegram_intel</w:t>
            </w:r>
          </w:p>
        </w:tc>
        <w:tc>
          <w:tcPr>
            <w:tcW w:type="dxa" w:w="2960"/>
            <w:tcMar>
              <w:top w:w="80" w:type="dxa"/>
              <w:start w:w="120" w:type="dxa"/>
              <w:bottom w:w="80" w:type="dxa"/>
              <w:end w:w="120" w:type="dxa"/>
            </w:tcMar>
            <w:vAlign w:val="center"/>
          </w:tcPr>
          <w:p>
            <w:r>
              <w:rPr>
                <w:rFonts w:ascii="Calibri" w:hAnsi="Calibri" w:eastAsia="Calibri"/>
                <w:b w:val="0"/>
                <w:i w:val="0"/>
                <w:color w:val="000000"/>
                <w:sz w:val="17"/>
              </w:rPr>
              <w:t>Rules/workflow retained; duplicate SQLite services removed</w:t>
            </w:r>
          </w:p>
        </w:tc>
      </w:tr>
      <w:tr>
        <w:tc>
          <w:tcPr>
            <w:tcW w:type="dxa" w:w="2450"/>
            <w:tcMar>
              <w:top w:w="80" w:type="dxa"/>
              <w:start w:w="120" w:type="dxa"/>
              <w:bottom w:w="80" w:type="dxa"/>
              <w:end w:w="120" w:type="dxa"/>
            </w:tcMar>
            <w:vAlign w:val="center"/>
          </w:tcPr>
          <w:p>
            <w:r>
              <w:rPr>
                <w:rFonts w:ascii="Calibri" w:hAnsi="Calibri" w:eastAsia="Calibri"/>
                <w:b w:val="0"/>
                <w:i w:val="0"/>
                <w:color w:val="000000"/>
                <w:sz w:val="17"/>
              </w:rPr>
              <w:t>pii_link</w:t>
            </w:r>
          </w:p>
        </w:tc>
        <w:tc>
          <w:tcPr>
            <w:tcW w:type="dxa" w:w="3950"/>
            <w:tcMar>
              <w:top w:w="80" w:type="dxa"/>
              <w:start w:w="120" w:type="dxa"/>
              <w:bottom w:w="80" w:type="dxa"/>
              <w:end w:w="120" w:type="dxa"/>
            </w:tcMar>
            <w:vAlign w:val="center"/>
          </w:tcPr>
          <w:p>
            <w:r>
              <w:rPr>
                <w:rFonts w:ascii="Calibri" w:hAnsi="Calibri" w:eastAsia="Calibri"/>
                <w:b w:val="0"/>
                <w:i w:val="0"/>
                <w:color w:val="000000"/>
                <w:sz w:val="17"/>
              </w:rPr>
              <w:t>Shared IOC/PII/STIX and Telegram correlation</w:t>
            </w:r>
          </w:p>
        </w:tc>
        <w:tc>
          <w:tcPr>
            <w:tcW w:type="dxa" w:w="2960"/>
            <w:tcMar>
              <w:top w:w="80" w:type="dxa"/>
              <w:start w:w="120" w:type="dxa"/>
              <w:bottom w:w="80" w:type="dxa"/>
              <w:end w:w="120" w:type="dxa"/>
            </w:tcMar>
            <w:vAlign w:val="center"/>
          </w:tcPr>
          <w:p>
            <w:r>
              <w:rPr>
                <w:rFonts w:ascii="Calibri" w:hAnsi="Calibri" w:eastAsia="Calibri"/>
                <w:b w:val="0"/>
                <w:i w:val="0"/>
                <w:color w:val="000000"/>
                <w:sz w:val="17"/>
              </w:rPr>
              <w:t>Concepts integrated; duplicate ES/Redis/Neo4j stack removed</w:t>
            </w:r>
          </w:p>
        </w:tc>
      </w:tr>
    </w:tbl>
    <w:p>
      <w:pPr>
        <w:spacing w:after="0"/>
      </w:pPr>
    </w:p>
    <w:p>
      <w:pPr>
        <w:jc w:val="center"/>
      </w:pPr>
      <w:r>
        <w:drawing>
          <wp:inline xmlns:a="http://schemas.openxmlformats.org/drawingml/2006/main" xmlns:pic="http://schemas.openxmlformats.org/drawingml/2006/picture">
            <wp:extent cx="5623560" cy="7487368"/>
            <wp:docPr id="1" name="unified-platform-flow" descr="Figure 1. Unified request, execution, storage, and analyst-output path."/>
            <wp:cNvGraphicFramePr>
              <a:graphicFrameLocks noChangeAspect="1"/>
            </wp:cNvGraphicFramePr>
            <a:graphic>
              <a:graphicData uri="http://schemas.openxmlformats.org/drawingml/2006/picture">
                <pic:pic>
                  <pic:nvPicPr>
                    <pic:cNvPr id="0" name="unified-platform-flow.png"/>
                    <pic:cNvPicPr/>
                  </pic:nvPicPr>
                  <pic:blipFill>
                    <a:blip r:embed="rId11">
                      <a:extLst>
                        <a:ext uri="{96DAC541-7B7A-43D3-8B79-37D633B846F1}">
                          <asvg:svgBlip xmlns:asvg="http://schemas.microsoft.com/office/drawing/2016/SVG/main" r:embed="rIdSvg1"/>
                        </a:ext>
                      </a:extLst>
                    </a:blip>
                    <a:stretch>
                      <a:fillRect/>
                    </a:stretch>
                  </pic:blipFill>
                  <pic:spPr>
                    <a:xfrm>
                      <a:off x="0" y="0"/>
                      <a:ext cx="5623560" cy="7487368"/>
                    </a:xfrm>
                    <a:prstGeom prst="rect"/>
                  </pic:spPr>
                </pic:pic>
              </a:graphicData>
            </a:graphic>
          </wp:inline>
        </w:drawing>
      </w:r>
    </w:p>
    <w:p>
      <w:pPr>
        <w:spacing w:after="160"/>
        <w:jc w:val="center"/>
      </w:pPr>
      <w:r>
        <w:rPr>
          <w:rFonts w:ascii="Calibri" w:hAnsi="Calibri" w:eastAsia="Calibri"/>
          <w:b w:val="0"/>
          <w:i/>
          <w:color w:val="666666"/>
          <w:sz w:val="16"/>
        </w:rPr>
        <w:t>Figure 1. Unified request, execution, storage, and analyst-output path.</w:t>
      </w:r>
      <w:r>
        <w:br w:type="page"/>
      </w:r>
    </w:p>
    <w:p>
      <w:pPr>
        <w:pStyle w:val="Heading1"/>
      </w:pPr>
      <w:r>
        <w:t>System map</w:t>
      </w:r>
    </w:p>
    <w:tbl>
      <w:tblPr>
        <w:tblStyle w:val="TableGrid"/>
        <w:tblW w:type="dxa" w:w="9360"/>
        <w:tblLayout w:type="fixed"/>
        <w:tblLook w:firstColumn="1" w:firstRow="1" w:lastColumn="0" w:lastRow="0" w:noHBand="0" w:noVBand="1" w:val="04A0"/>
        <w:jc w:val="left"/>
        <w:tblInd w:w="120" w:type="dxa"/>
      </w:tblPr>
      <w:tblGrid>
        <w:gridCol w:w="1700"/>
        <w:gridCol w:w="3250"/>
        <w:gridCol w:w="4410"/>
      </w:tblGrid>
      <w:tr>
        <w:trPr>
          <w:tblHeader w:val="true"/>
        </w:trPr>
        <w:tc>
          <w:tcPr>
            <w:tcW w:type="dxa" w:w="1700"/>
            <w:tcMar>
              <w:top w:w="80" w:type="dxa"/>
              <w:start w:w="120" w:type="dxa"/>
              <w:bottom w:w="80" w:type="dxa"/>
              <w:end w:w="120" w:type="dxa"/>
            </w:tcMar>
            <w:vAlign w:val="center"/>
            <w:shd w:fill="E8EEF5"/>
          </w:tcPr>
          <w:p>
            <w:r>
              <w:rPr>
                <w:rFonts w:ascii="Calibri" w:hAnsi="Calibri" w:eastAsia="Calibri"/>
                <w:b/>
                <w:i w:val="0"/>
                <w:color w:val="1F4D78"/>
                <w:sz w:val="17"/>
              </w:rPr>
              <w:t>Area</w:t>
            </w:r>
          </w:p>
        </w:tc>
        <w:tc>
          <w:tcPr>
            <w:tcW w:type="dxa" w:w="3250"/>
            <w:tcMar>
              <w:top w:w="80" w:type="dxa"/>
              <w:start w:w="120" w:type="dxa"/>
              <w:bottom w:w="80" w:type="dxa"/>
              <w:end w:w="120" w:type="dxa"/>
            </w:tcMar>
            <w:vAlign w:val="center"/>
            <w:shd w:fill="E8EEF5"/>
          </w:tcPr>
          <w:p>
            <w:r>
              <w:rPr>
                <w:rFonts w:ascii="Calibri" w:hAnsi="Calibri" w:eastAsia="Calibri"/>
                <w:b/>
                <w:i w:val="0"/>
                <w:color w:val="1F4D78"/>
                <w:sz w:val="17"/>
              </w:rPr>
              <w:t>Location</w:t>
            </w:r>
          </w:p>
        </w:tc>
        <w:tc>
          <w:tcPr>
            <w:tcW w:type="dxa" w:w="4410"/>
            <w:tcMar>
              <w:top w:w="80" w:type="dxa"/>
              <w:start w:w="120" w:type="dxa"/>
              <w:bottom w:w="80" w:type="dxa"/>
              <w:end w:w="120" w:type="dxa"/>
            </w:tcMar>
            <w:vAlign w:val="center"/>
            <w:shd w:fill="E8EEF5"/>
          </w:tcPr>
          <w:p>
            <w:r>
              <w:rPr>
                <w:rFonts w:ascii="Calibri" w:hAnsi="Calibri" w:eastAsia="Calibri"/>
                <w:b/>
                <w:i w:val="0"/>
                <w:color w:val="1F4D78"/>
                <w:sz w:val="17"/>
              </w:rPr>
              <w:t>Purpose</w:t>
            </w:r>
          </w:p>
        </w:tc>
      </w:tr>
      <w:tr>
        <w:tc>
          <w:tcPr>
            <w:tcW w:type="dxa" w:w="1700"/>
            <w:tcMar>
              <w:top w:w="80" w:type="dxa"/>
              <w:start w:w="120" w:type="dxa"/>
              <w:bottom w:w="80" w:type="dxa"/>
              <w:end w:w="120" w:type="dxa"/>
            </w:tcMar>
            <w:vAlign w:val="center"/>
          </w:tcPr>
          <w:p>
            <w:r>
              <w:rPr>
                <w:rFonts w:ascii="Calibri" w:hAnsi="Calibri" w:eastAsia="Calibri"/>
                <w:b w:val="0"/>
                <w:i w:val="0"/>
                <w:color w:val="000000"/>
                <w:sz w:val="17"/>
              </w:rPr>
              <w:t>Core API</w:t>
            </w:r>
          </w:p>
        </w:tc>
        <w:tc>
          <w:tcPr>
            <w:tcW w:type="dxa" w:w="3250"/>
            <w:tcMar>
              <w:top w:w="80" w:type="dxa"/>
              <w:start w:w="120" w:type="dxa"/>
              <w:bottom w:w="80" w:type="dxa"/>
              <w:end w:w="120" w:type="dxa"/>
            </w:tcMar>
            <w:vAlign w:val="center"/>
          </w:tcPr>
          <w:p>
            <w:r>
              <w:rPr>
                <w:rFonts w:ascii="Calibri" w:hAnsi="Calibri" w:eastAsia="Calibri"/>
                <w:b w:val="0"/>
                <w:i w:val="0"/>
                <w:color w:val="000000"/>
                <w:sz w:val="17"/>
              </w:rPr>
              <w:t>backend/arguswatch</w:t>
            </w:r>
          </w:p>
        </w:tc>
        <w:tc>
          <w:tcPr>
            <w:tcW w:type="dxa" w:w="4410"/>
            <w:tcMar>
              <w:top w:w="80" w:type="dxa"/>
              <w:start w:w="120" w:type="dxa"/>
              <w:bottom w:w="80" w:type="dxa"/>
              <w:end w:w="120" w:type="dxa"/>
            </w:tcMar>
            <w:vAlign w:val="center"/>
          </w:tcPr>
          <w:p>
            <w:r>
              <w:rPr>
                <w:rFonts w:ascii="Calibri" w:hAnsi="Calibri" w:eastAsia="Calibri"/>
                <w:b w:val="0"/>
                <w:i w:val="0"/>
                <w:color w:val="000000"/>
                <w:sz w:val="17"/>
              </w:rPr>
              <w:t>FastAPI, models, collectors, engines, RBAC, metrics</w:t>
            </w:r>
          </w:p>
        </w:tc>
      </w:tr>
      <w:tr>
        <w:tc>
          <w:tcPr>
            <w:tcW w:type="dxa" w:w="1700"/>
            <w:tcMar>
              <w:top w:w="80" w:type="dxa"/>
              <w:start w:w="120" w:type="dxa"/>
              <w:bottom w:w="80" w:type="dxa"/>
              <w:end w:w="120" w:type="dxa"/>
            </w:tcMar>
            <w:vAlign w:val="center"/>
          </w:tcPr>
          <w:p>
            <w:r>
              <w:rPr>
                <w:rFonts w:ascii="Calibri" w:hAnsi="Calibri" w:eastAsia="Calibri"/>
                <w:b w:val="0"/>
                <w:i w:val="0"/>
                <w:color w:val="000000"/>
                <w:sz w:val="17"/>
              </w:rPr>
              <w:t>Integrated modules</w:t>
            </w:r>
          </w:p>
        </w:tc>
        <w:tc>
          <w:tcPr>
            <w:tcW w:type="dxa" w:w="3250"/>
            <w:tcMar>
              <w:top w:w="80" w:type="dxa"/>
              <w:start w:w="120" w:type="dxa"/>
              <w:bottom w:w="80" w:type="dxa"/>
              <w:end w:w="120" w:type="dxa"/>
            </w:tcMar>
            <w:vAlign w:val="center"/>
          </w:tcPr>
          <w:p>
            <w:r>
              <w:rPr>
                <w:rFonts w:ascii="Calibri" w:hAnsi="Calibri" w:eastAsia="Calibri"/>
                <w:b w:val="0"/>
                <w:i w:val="0"/>
                <w:color w:val="000000"/>
                <w:sz w:val="17"/>
              </w:rPr>
              <w:t>backend/modules</w:t>
            </w:r>
          </w:p>
        </w:tc>
        <w:tc>
          <w:tcPr>
            <w:tcW w:type="dxa" w:w="4410"/>
            <w:tcMar>
              <w:top w:w="80" w:type="dxa"/>
              <w:start w:w="120" w:type="dxa"/>
              <w:bottom w:w="80" w:type="dxa"/>
              <w:end w:w="120" w:type="dxa"/>
            </w:tcMar>
            <w:vAlign w:val="center"/>
          </w:tcPr>
          <w:p>
            <w:r>
              <w:rPr>
                <w:rFonts w:ascii="Calibri" w:hAnsi="Calibri" w:eastAsia="Calibri"/>
                <w:b w:val="0"/>
                <w:i w:val="0"/>
                <w:color w:val="000000"/>
                <w:sz w:val="17"/>
              </w:rPr>
              <w:t>OSINT, breach search/graph, Telegram intelligence</w:t>
            </w:r>
          </w:p>
        </w:tc>
      </w:tr>
      <w:tr>
        <w:tc>
          <w:tcPr>
            <w:tcW w:type="dxa" w:w="1700"/>
            <w:tcMar>
              <w:top w:w="80" w:type="dxa"/>
              <w:start w:w="120" w:type="dxa"/>
              <w:bottom w:w="80" w:type="dxa"/>
              <w:end w:w="120" w:type="dxa"/>
            </w:tcMar>
            <w:vAlign w:val="center"/>
          </w:tcPr>
          <w:p>
            <w:r>
              <w:rPr>
                <w:rFonts w:ascii="Calibri" w:hAnsi="Calibri" w:eastAsia="Calibri"/>
                <w:b w:val="0"/>
                <w:i w:val="0"/>
                <w:color w:val="000000"/>
                <w:sz w:val="17"/>
              </w:rPr>
              <w:t>Dashboard</w:t>
            </w:r>
          </w:p>
        </w:tc>
        <w:tc>
          <w:tcPr>
            <w:tcW w:type="dxa" w:w="3250"/>
            <w:tcMar>
              <w:top w:w="80" w:type="dxa"/>
              <w:start w:w="120" w:type="dxa"/>
              <w:bottom w:w="80" w:type="dxa"/>
              <w:end w:w="120" w:type="dxa"/>
            </w:tcMar>
            <w:vAlign w:val="center"/>
          </w:tcPr>
          <w:p>
            <w:r>
              <w:rPr>
                <w:rFonts w:ascii="Calibri" w:hAnsi="Calibri" w:eastAsia="Calibri"/>
                <w:b w:val="0"/>
                <w:i w:val="0"/>
                <w:color w:val="000000"/>
                <w:sz w:val="17"/>
              </w:rPr>
              <w:t>backend/arguswatch/static</w:t>
            </w:r>
          </w:p>
        </w:tc>
        <w:tc>
          <w:tcPr>
            <w:tcW w:type="dxa" w:w="4410"/>
            <w:tcMar>
              <w:top w:w="80" w:type="dxa"/>
              <w:start w:w="120" w:type="dxa"/>
              <w:bottom w:w="80" w:type="dxa"/>
              <w:end w:w="120" w:type="dxa"/>
            </w:tcMar>
            <w:vAlign w:val="center"/>
          </w:tcPr>
          <w:p>
            <w:r>
              <w:rPr>
                <w:rFonts w:ascii="Calibri" w:hAnsi="Calibri" w:eastAsia="Calibri"/>
                <w:b w:val="0"/>
                <w:i w:val="0"/>
                <w:color w:val="000000"/>
                <w:sz w:val="17"/>
              </w:rPr>
              <w:t>Canonical analyst UI including native Telegram page</w:t>
            </w:r>
          </w:p>
        </w:tc>
      </w:tr>
      <w:tr>
        <w:tc>
          <w:tcPr>
            <w:tcW w:type="dxa" w:w="1700"/>
            <w:tcMar>
              <w:top w:w="80" w:type="dxa"/>
              <w:start w:w="120" w:type="dxa"/>
              <w:bottom w:w="80" w:type="dxa"/>
              <w:end w:w="120" w:type="dxa"/>
            </w:tcMar>
            <w:vAlign w:val="center"/>
          </w:tcPr>
          <w:p>
            <w:r>
              <w:rPr>
                <w:rFonts w:ascii="Calibri" w:hAnsi="Calibri" w:eastAsia="Calibri"/>
                <w:b w:val="0"/>
                <w:i w:val="0"/>
                <w:color w:val="000000"/>
                <w:sz w:val="17"/>
              </w:rPr>
              <w:t>Modules UI</w:t>
            </w:r>
          </w:p>
        </w:tc>
        <w:tc>
          <w:tcPr>
            <w:tcW w:type="dxa" w:w="3250"/>
            <w:tcMar>
              <w:top w:w="80" w:type="dxa"/>
              <w:start w:w="120" w:type="dxa"/>
              <w:bottom w:w="80" w:type="dxa"/>
              <w:end w:w="120" w:type="dxa"/>
            </w:tcMar>
            <w:vAlign w:val="center"/>
          </w:tcPr>
          <w:p>
            <w:r>
              <w:rPr>
                <w:rFonts w:ascii="Calibri" w:hAnsi="Calibri" w:eastAsia="Calibri"/>
                <w:b w:val="0"/>
                <w:i w:val="0"/>
                <w:color w:val="000000"/>
                <w:sz w:val="17"/>
              </w:rPr>
              <w:t>modules-ui</w:t>
            </w:r>
          </w:p>
        </w:tc>
        <w:tc>
          <w:tcPr>
            <w:tcW w:type="dxa" w:w="4410"/>
            <w:tcMar>
              <w:top w:w="80" w:type="dxa"/>
              <w:start w:w="120" w:type="dxa"/>
              <w:bottom w:w="80" w:type="dxa"/>
              <w:end w:w="120" w:type="dxa"/>
            </w:tcMar>
            <w:vAlign w:val="center"/>
          </w:tcPr>
          <w:p>
            <w:r>
              <w:rPr>
                <w:rFonts w:ascii="Calibri" w:hAnsi="Calibri" w:eastAsia="Calibri"/>
                <w:b w:val="0"/>
                <w:i w:val="0"/>
                <w:color w:val="000000"/>
                <w:sz w:val="17"/>
              </w:rPr>
              <w:t>OSINT and breach workflows served below /modules</w:t>
            </w:r>
          </w:p>
        </w:tc>
      </w:tr>
      <w:tr>
        <w:tc>
          <w:tcPr>
            <w:tcW w:type="dxa" w:w="1700"/>
            <w:tcMar>
              <w:top w:w="80" w:type="dxa"/>
              <w:start w:w="120" w:type="dxa"/>
              <w:bottom w:w="80" w:type="dxa"/>
              <w:end w:w="120" w:type="dxa"/>
            </w:tcMar>
            <w:vAlign w:val="center"/>
          </w:tcPr>
          <w:p>
            <w:r>
              <w:rPr>
                <w:rFonts w:ascii="Calibri" w:hAnsi="Calibri" w:eastAsia="Calibri"/>
                <w:b w:val="0"/>
                <w:i w:val="0"/>
                <w:color w:val="000000"/>
                <w:sz w:val="17"/>
              </w:rPr>
              <w:t>Database bootstrap</w:t>
            </w:r>
          </w:p>
        </w:tc>
        <w:tc>
          <w:tcPr>
            <w:tcW w:type="dxa" w:w="3250"/>
            <w:tcMar>
              <w:top w:w="80" w:type="dxa"/>
              <w:start w:w="120" w:type="dxa"/>
              <w:bottom w:w="80" w:type="dxa"/>
              <w:end w:w="120" w:type="dxa"/>
            </w:tcMar>
            <w:vAlign w:val="center"/>
          </w:tcPr>
          <w:p>
            <w:r>
              <w:rPr>
                <w:rFonts w:ascii="Calibri" w:hAnsi="Calibri" w:eastAsia="Calibri"/>
                <w:b w:val="0"/>
                <w:i w:val="0"/>
                <w:color w:val="000000"/>
                <w:sz w:val="17"/>
              </w:rPr>
              <w:t>initdb</w:t>
            </w:r>
          </w:p>
        </w:tc>
        <w:tc>
          <w:tcPr>
            <w:tcW w:type="dxa" w:w="4410"/>
            <w:tcMar>
              <w:top w:w="80" w:type="dxa"/>
              <w:start w:w="120" w:type="dxa"/>
              <w:bottom w:w="80" w:type="dxa"/>
              <w:end w:w="120" w:type="dxa"/>
            </w:tcMar>
            <w:vAlign w:val="center"/>
          </w:tcPr>
          <w:p>
            <w:r>
              <w:rPr>
                <w:rFonts w:ascii="Calibri" w:hAnsi="Calibri" w:eastAsia="Calibri"/>
                <w:b w:val="0"/>
                <w:i w:val="0"/>
                <w:color w:val="000000"/>
                <w:sz w:val="17"/>
              </w:rPr>
              <w:t>PostgreSQL schema, migrations, Telegram tables</w:t>
            </w:r>
          </w:p>
        </w:tc>
      </w:tr>
      <w:tr>
        <w:tc>
          <w:tcPr>
            <w:tcW w:type="dxa" w:w="1700"/>
            <w:tcMar>
              <w:top w:w="80" w:type="dxa"/>
              <w:start w:w="120" w:type="dxa"/>
              <w:bottom w:w="80" w:type="dxa"/>
              <w:end w:w="120" w:type="dxa"/>
            </w:tcMar>
            <w:vAlign w:val="center"/>
          </w:tcPr>
          <w:p>
            <w:r>
              <w:rPr>
                <w:rFonts w:ascii="Calibri" w:hAnsi="Calibri" w:eastAsia="Calibri"/>
                <w:b w:val="0"/>
                <w:i w:val="0"/>
                <w:color w:val="000000"/>
                <w:sz w:val="17"/>
              </w:rPr>
              <w:t>Deployment</w:t>
            </w:r>
          </w:p>
        </w:tc>
        <w:tc>
          <w:tcPr>
            <w:tcW w:type="dxa" w:w="3250"/>
            <w:tcMar>
              <w:top w:w="80" w:type="dxa"/>
              <w:start w:w="120" w:type="dxa"/>
              <w:bottom w:w="80" w:type="dxa"/>
              <w:end w:w="120" w:type="dxa"/>
            </w:tcMar>
            <w:vAlign w:val="center"/>
          </w:tcPr>
          <w:p>
            <w:r>
              <w:rPr>
                <w:rFonts w:ascii="Calibri" w:hAnsi="Calibri" w:eastAsia="Calibri"/>
                <w:b w:val="0"/>
                <w:i w:val="0"/>
                <w:color w:val="000000"/>
                <w:sz w:val="17"/>
              </w:rPr>
              <w:t>docker/Dockerfile, docker/docker-compose.yml, setup/ launchers</w:t>
            </w:r>
          </w:p>
        </w:tc>
        <w:tc>
          <w:tcPr>
            <w:tcW w:type="dxa" w:w="4410"/>
            <w:tcMar>
              <w:top w:w="80" w:type="dxa"/>
              <w:start w:w="120" w:type="dxa"/>
              <w:bottom w:w="80" w:type="dxa"/>
              <w:end w:w="120" w:type="dxa"/>
            </w:tcMar>
            <w:vAlign w:val="center"/>
          </w:tcPr>
          <w:p>
            <w:r>
              <w:rPr>
                <w:rFonts w:ascii="Calibri" w:hAnsi="Calibri" w:eastAsia="Calibri"/>
                <w:b w:val="0"/>
                <w:i w:val="0"/>
                <w:color w:val="000000"/>
                <w:sz w:val="17"/>
              </w:rPr>
              <w:t>One Argus image reused across isolated runtime roles</w:t>
            </w:r>
          </w:p>
        </w:tc>
      </w:tr>
      <w:tr>
        <w:tc>
          <w:tcPr>
            <w:tcW w:type="dxa" w:w="1700"/>
            <w:tcMar>
              <w:top w:w="80" w:type="dxa"/>
              <w:start w:w="120" w:type="dxa"/>
              <w:bottom w:w="80" w:type="dxa"/>
              <w:end w:w="120" w:type="dxa"/>
            </w:tcMar>
            <w:vAlign w:val="center"/>
          </w:tcPr>
          <w:p>
            <w:r>
              <w:rPr>
                <w:rFonts w:ascii="Calibri" w:hAnsi="Calibri" w:eastAsia="Calibri"/>
                <w:b w:val="0"/>
                <w:i w:val="0"/>
                <w:color w:val="000000"/>
                <w:sz w:val="17"/>
              </w:rPr>
              <w:t>Tests</w:t>
            </w:r>
          </w:p>
        </w:tc>
        <w:tc>
          <w:tcPr>
            <w:tcW w:type="dxa" w:w="3250"/>
            <w:tcMar>
              <w:top w:w="80" w:type="dxa"/>
              <w:start w:w="120" w:type="dxa"/>
              <w:bottom w:w="80" w:type="dxa"/>
              <w:end w:w="120" w:type="dxa"/>
            </w:tcMar>
            <w:vAlign w:val="center"/>
          </w:tcPr>
          <w:p>
            <w:r>
              <w:rPr>
                <w:rFonts w:ascii="Calibri" w:hAnsi="Calibri" w:eastAsia="Calibri"/>
                <w:b w:val="0"/>
                <w:i w:val="0"/>
                <w:color w:val="000000"/>
                <w:sz w:val="17"/>
              </w:rPr>
              <w:t>backend/tests</w:t>
            </w:r>
          </w:p>
        </w:tc>
        <w:tc>
          <w:tcPr>
            <w:tcW w:type="dxa" w:w="4410"/>
            <w:tcMar>
              <w:top w:w="80" w:type="dxa"/>
              <w:start w:w="120" w:type="dxa"/>
              <w:bottom w:w="80" w:type="dxa"/>
              <w:end w:w="120" w:type="dxa"/>
            </w:tcMar>
            <w:vAlign w:val="center"/>
          </w:tcPr>
          <w:p>
            <w:r>
              <w:rPr>
                <w:rFonts w:ascii="Calibri" w:hAnsi="Calibri" w:eastAsia="Calibri"/>
                <w:b w:val="0"/>
                <w:i w:val="0"/>
                <w:color w:val="000000"/>
                <w:sz w:val="17"/>
              </w:rPr>
              <w:t>Unit, regression, API smoke, and integration specifications</w:t>
            </w:r>
          </w:p>
        </w:tc>
      </w:tr>
      <w:tr>
        <w:tc>
          <w:tcPr>
            <w:tcW w:type="dxa" w:w="1700"/>
            <w:tcMar>
              <w:top w:w="80" w:type="dxa"/>
              <w:start w:w="120" w:type="dxa"/>
              <w:bottom w:w="80" w:type="dxa"/>
              <w:end w:w="120" w:type="dxa"/>
            </w:tcMar>
            <w:vAlign w:val="center"/>
          </w:tcPr>
          <w:p>
            <w:r>
              <w:rPr>
                <w:rFonts w:ascii="Calibri" w:hAnsi="Calibri" w:eastAsia="Calibri"/>
                <w:b w:val="0"/>
                <w:i w:val="0"/>
                <w:color w:val="000000"/>
                <w:sz w:val="17"/>
              </w:rPr>
              <w:t>Documentation</w:t>
            </w:r>
          </w:p>
        </w:tc>
        <w:tc>
          <w:tcPr>
            <w:tcW w:type="dxa" w:w="3250"/>
            <w:tcMar>
              <w:top w:w="80" w:type="dxa"/>
              <w:start w:w="120" w:type="dxa"/>
              <w:bottom w:w="80" w:type="dxa"/>
              <w:end w:w="120" w:type="dxa"/>
            </w:tcMar>
            <w:vAlign w:val="center"/>
          </w:tcPr>
          <w:p>
            <w:r>
              <w:rPr>
                <w:rFonts w:ascii="Calibri" w:hAnsi="Calibri" w:eastAsia="Calibri"/>
                <w:b w:val="0"/>
                <w:i w:val="0"/>
                <w:color w:val="000000"/>
                <w:sz w:val="17"/>
              </w:rPr>
              <w:t>docs/modules and docs/flowcharts</w:t>
            </w:r>
          </w:p>
        </w:tc>
        <w:tc>
          <w:tcPr>
            <w:tcW w:type="dxa" w:w="4410"/>
            <w:tcMar>
              <w:top w:w="80" w:type="dxa"/>
              <w:start w:w="120" w:type="dxa"/>
              <w:bottom w:w="80" w:type="dxa"/>
              <w:end w:w="120" w:type="dxa"/>
            </w:tcMar>
            <w:vAlign w:val="center"/>
          </w:tcPr>
          <w:p>
            <w:r>
              <w:rPr>
                <w:rFonts w:ascii="Calibri" w:hAnsi="Calibri" w:eastAsia="Calibri"/>
                <w:b w:val="0"/>
                <w:i w:val="0"/>
                <w:color w:val="000000"/>
                <w:sz w:val="17"/>
              </w:rPr>
              <w:t>Verified per-module reports and monochrome flows</w:t>
            </w:r>
          </w:p>
        </w:tc>
      </w:tr>
    </w:tbl>
    <w:p>
      <w:pPr>
        <w:spacing w:after="0"/>
      </w:pPr>
    </w:p>
    <w:p>
      <w:pPr>
        <w:pStyle w:val="Heading1"/>
      </w:pPr>
      <w:r>
        <w:t>Secure deployment walkthrough</w:t>
      </w:r>
    </w:p>
    <w:p>
      <w:pPr>
        <w:pStyle w:val="ListNumber"/>
      </w:pPr>
      <w:r>
        <w:t>Run .\setup\setup.ps1 or setup\setup.bat to create .env with independent high-entropy PostgreSQL, Redis, JWT, administrator, ClickHouse, and breach-hash secrets; then review optional provider settings.</w:t>
      </w:r>
    </w:p>
    <w:p>
      <w:pPr>
        <w:pStyle w:val="ListNumber"/>
      </w:pPr>
      <w:r>
        <w:t>Keep the default 127.0.0.1 bind for local use. For remote production access, terminate TLS at an approved reverse proxy, load balancer, VPN, or cluster ingress and configure allowed origins and trusted proxy addresses.</w:t>
      </w:r>
    </w:p>
    <w:p>
      <w:pPr>
        <w:pStyle w:val="ListNumber"/>
      </w:pPr>
      <w:r>
        <w:t>Start with .\setup\start.ps1 or setup\start.bat. The Python startup module waits for PostgreSQL, runs the unified migration, and replaces itself with Uvicorn.</w:t>
      </w:r>
    </w:p>
    <w:p>
      <w:pPr>
        <w:pStyle w:val="ListNumber"/>
      </w:pPr>
      <w:r>
        <w:t>Open http://127.0.0.1:7777. Create users/roles and onboard verified customer-owned assets before running matching or recon.</w:t>
      </w:r>
    </w:p>
    <w:p>
      <w:pPr>
        <w:pStyle w:val="ListNumber"/>
      </w:pPr>
      <w:r>
        <w:t>If Telegram collection is required, set TELEGRAM_API_ID, TELEGRAM_API_HASH, TELEGRAM_PHONE and TELEGRAM_CHANNELS, then run the one-time authorization command documented in README.md.</w:t>
      </w:r>
    </w:p>
    <w:p>
      <w:pPr>
        <w:pStyle w:val="ListNumber"/>
      </w:pPr>
      <w:r>
        <w:t>Run collectors or explicit imports within authorized scope. Confirm collector status, queue health, and datastore metrics before relying on coverage.</w:t>
      </w:r>
    </w:p>
    <w:p>
      <w:pPr>
        <w:pStyle w:val="ListNumber"/>
      </w:pPr>
      <w:r>
        <w:t>Back up PostgreSQL, ClickHouse datasets, search indices, and the persistent Telegram session under the operator's secrets/retention policy.</w:t>
      </w:r>
    </w:p>
    <w:p>
      <w:pPr>
        <w:pStyle w:val="CodeBlock"/>
        <w:keepLines/>
      </w:pPr>
      <w:r>
        <w:t>.\setup\setup.ps1</w:t>
      </w:r>
    </w:p>
    <w:p>
      <w:pPr>
        <w:pStyle w:val="CodeBlock"/>
        <w:keepLines/>
      </w:pPr>
      <w:r>
        <w:t>.\setup\start.ps1</w:t>
      </w:r>
    </w:p>
    <w:p>
      <w:pPr>
        <w:pStyle w:val="CodeBlock"/>
        <w:keepLines/>
      </w:pPr>
      <w:r>
        <w:t># Command Prompt alternatives: setup\setup.bat, setup\start.bat</w:t>
      </w:r>
    </w:p>
    <w:p>
      <w:pPr>
        <w:pStyle w:val="CodeBlock"/>
        <w:keepLines/>
      </w:pPr>
      <w:r/>
    </w:p>
    <w:p>
      <w:pPr>
        <w:pStyle w:val="CodeBlock"/>
        <w:keepLines/>
      </w:pPr>
      <w:r>
        <w:t># Validate configuration without starting containers</w:t>
      </w:r>
    </w:p>
    <w:p>
      <w:pPr>
        <w:pStyle w:val="CodeBlock"/>
        <w:keepLines/>
      </w:pPr>
      <w:r>
        <w:t>docker compose --project-directory . -f docker/docker-compose.yml config</w:t>
      </w:r>
    </w:p>
    <w:p>
      <w:pPr>
        <w:pStyle w:val="Heading1"/>
      </w:pPr>
      <w:r>
        <w:t>Analyst walkthrough</w:t>
      </w:r>
    </w:p>
    <w:p>
      <w:pPr>
        <w:pStyle w:val="ListNumber"/>
      </w:pPr>
      <w:r>
        <w:t>Onboard a customer and its owned assets. The matching gate blocks a newly created customer until assets exist.</w:t>
      </w:r>
    </w:p>
    <w:p>
      <w:pPr>
        <w:pStyle w:val="ListNumber"/>
      </w:pPr>
      <w:r>
        <w:t>Use OSINT for subject discovery. Treat confidence/evidence tiers as analyst aids and preserve source URLs and pivot lineage.</w:t>
      </w:r>
    </w:p>
    <w:p>
      <w:pPr>
        <w:pStyle w:val="ListNumber"/>
      </w:pPr>
      <w:r>
        <w:t>Use breach search for direct identifiers and the bounded graph for relationship hypotheses. Review common-value warnings and provenance.</w:t>
      </w:r>
    </w:p>
    <w:p>
      <w:pPr>
        <w:pStyle w:val="ListNumber"/>
      </w:pPr>
      <w:r>
        <w:t>Use Telegram Analyze for stateless triage, Import for authorized exports, or the collector for authorized configured channels. Review risk reasons and extracted IOCs.</w:t>
      </w:r>
    </w:p>
    <w:p>
      <w:pPr>
        <w:pStyle w:val="ListNumber"/>
      </w:pPr>
      <w:r>
        <w:t>Run correlation. Direct evidence becomes customer findings; unmatched activity contributes to sector/global pressure rather than false attribution.</w:t>
      </w:r>
    </w:p>
    <w:p>
      <w:pPr>
        <w:pStyle w:val="ListNumber"/>
      </w:pPr>
      <w:r>
        <w:t>Review severity, match proof, exposure dimensions, actor/campaign context, SLA, and remediation steps. Human approval remains required for consequential action.</w:t>
      </w:r>
    </w:p>
    <w:p>
      <w:pPr>
        <w:pStyle w:val="ListNumber"/>
      </w:pPr>
      <w:r>
        <w:t>Export STIX/SIEM or reports after evidence review.</w:t>
      </w:r>
    </w:p>
    <w:p>
      <w:pPr>
        <w:pStyle w:val="Heading1"/>
      </w:pPr>
      <w:r>
        <w:t>Implemented mathematical reference</w:t>
      </w:r>
    </w:p>
    <w:tbl>
      <w:tblPr>
        <w:tblStyle w:val="TableGrid"/>
        <w:tblW w:type="dxa" w:w="9360"/>
        <w:tblLayout w:type="fixed"/>
        <w:tblLook w:firstColumn="1" w:firstRow="1" w:lastColumn="0" w:lastRow="0" w:noHBand="0" w:noVBand="1" w:val="04A0"/>
        <w:jc w:val="left"/>
        <w:tblInd w:w="120" w:type="dxa"/>
      </w:tblPr>
      <w:tblGrid>
        <w:gridCol w:w="1100"/>
        <w:gridCol w:w="1900"/>
        <w:gridCol w:w="6360"/>
      </w:tblGrid>
      <w:tr>
        <w:trPr>
          <w:tblHeader w:val="true"/>
        </w:trPr>
        <w:tc>
          <w:tcPr>
            <w:tcW w:type="dxa" w:w="1100"/>
            <w:tcMar>
              <w:top w:w="80" w:type="dxa"/>
              <w:start w:w="120" w:type="dxa"/>
              <w:bottom w:w="80" w:type="dxa"/>
              <w:end w:w="120" w:type="dxa"/>
            </w:tcMar>
            <w:vAlign w:val="center"/>
            <w:shd w:fill="E8EEF5"/>
          </w:tcPr>
          <w:p>
            <w:r>
              <w:rPr>
                <w:rFonts w:ascii="Calibri" w:hAnsi="Calibri" w:eastAsia="Calibri"/>
                <w:b/>
                <w:i w:val="0"/>
                <w:color w:val="1F4D78"/>
                <w:sz w:val="15"/>
              </w:rPr>
              <w:t>Module</w:t>
            </w:r>
          </w:p>
        </w:tc>
        <w:tc>
          <w:tcPr>
            <w:tcW w:type="dxa" w:w="1900"/>
            <w:tcMar>
              <w:top w:w="80" w:type="dxa"/>
              <w:start w:w="120" w:type="dxa"/>
              <w:bottom w:w="80" w:type="dxa"/>
              <w:end w:w="120" w:type="dxa"/>
            </w:tcMar>
            <w:vAlign w:val="center"/>
            <w:shd w:fill="E8EEF5"/>
          </w:tcPr>
          <w:p>
            <w:r>
              <w:rPr>
                <w:rFonts w:ascii="Calibri" w:hAnsi="Calibri" w:eastAsia="Calibri"/>
                <w:b/>
                <w:i w:val="0"/>
                <w:color w:val="1F4D78"/>
                <w:sz w:val="15"/>
              </w:rPr>
              <w:t>Method</w:t>
            </w:r>
          </w:p>
        </w:tc>
        <w:tc>
          <w:tcPr>
            <w:tcW w:type="dxa" w:w="6360"/>
            <w:tcMar>
              <w:top w:w="80" w:type="dxa"/>
              <w:start w:w="120" w:type="dxa"/>
              <w:bottom w:w="80" w:type="dxa"/>
              <w:end w:w="120" w:type="dxa"/>
            </w:tcMar>
            <w:vAlign w:val="center"/>
            <w:shd w:fill="E8EEF5"/>
          </w:tcPr>
          <w:p>
            <w:r>
              <w:rPr>
                <w:rFonts w:ascii="Calibri" w:hAnsi="Calibri" w:eastAsia="Calibri"/>
                <w:b/>
                <w:i w:val="0"/>
                <w:color w:val="1F4D78"/>
                <w:sz w:val="15"/>
              </w:rPr>
              <w:t>Implemented expression / rule</w:t>
            </w:r>
          </w:p>
        </w:tc>
      </w:tr>
      <w:tr>
        <w:tc>
          <w:tcPr>
            <w:tcW w:type="dxa" w:w="1100"/>
            <w:tcMar>
              <w:top w:w="80" w:type="dxa"/>
              <w:start w:w="120" w:type="dxa"/>
              <w:bottom w:w="80" w:type="dxa"/>
              <w:end w:w="120" w:type="dxa"/>
            </w:tcMar>
            <w:vAlign w:val="center"/>
          </w:tcPr>
          <w:p>
            <w:r>
              <w:rPr>
                <w:rFonts w:ascii="Calibri" w:hAnsi="Calibri" w:eastAsia="Calibri"/>
                <w:b w:val="0"/>
                <w:i w:val="0"/>
                <w:color w:val="000000"/>
                <w:sz w:val="15"/>
              </w:rPr>
              <w:t>Core</w:t>
            </w:r>
          </w:p>
        </w:tc>
        <w:tc>
          <w:tcPr>
            <w:tcW w:type="dxa" w:w="1900"/>
            <w:tcMar>
              <w:top w:w="80" w:type="dxa"/>
              <w:start w:w="120" w:type="dxa"/>
              <w:bottom w:w="80" w:type="dxa"/>
              <w:end w:w="120" w:type="dxa"/>
            </w:tcMar>
            <w:vAlign w:val="center"/>
          </w:tcPr>
          <w:p>
            <w:r>
              <w:rPr>
                <w:rFonts w:ascii="Calibri" w:hAnsi="Calibri" w:eastAsia="Calibri"/>
                <w:b w:val="0"/>
                <w:i w:val="0"/>
                <w:color w:val="000000"/>
                <w:sz w:val="15"/>
              </w:rPr>
              <w:t>Exposure</w:t>
            </w:r>
          </w:p>
        </w:tc>
        <w:tc>
          <w:tcPr>
            <w:tcW w:type="dxa" w:w="6360"/>
            <w:tcMar>
              <w:top w:w="80" w:type="dxa"/>
              <w:start w:w="120" w:type="dxa"/>
              <w:bottom w:w="80" w:type="dxa"/>
              <w:end w:w="120" w:type="dxa"/>
            </w:tcMar>
            <w:vAlign w:val="center"/>
          </w:tcPr>
          <w:p>
            <w:r>
              <w:rPr>
                <w:rFonts w:ascii="Calibri" w:hAnsi="Calibri" w:eastAsia="Calibri"/>
                <w:b w:val="0"/>
                <w:i w:val="0"/>
                <w:color w:val="000000"/>
                <w:sz w:val="15"/>
              </w:rPr>
              <w:t>E=max(.50D1+.30D2+.20D3,.20D4); M=.75+.00125D4+.00125D5; Risk=min(100,E·M)</w:t>
            </w:r>
          </w:p>
        </w:tc>
      </w:tr>
      <w:tr>
        <w:tc>
          <w:tcPr>
            <w:tcW w:type="dxa" w:w="1100"/>
            <w:tcMar>
              <w:top w:w="80" w:type="dxa"/>
              <w:start w:w="120" w:type="dxa"/>
              <w:bottom w:w="80" w:type="dxa"/>
              <w:end w:w="120" w:type="dxa"/>
            </w:tcMar>
            <w:vAlign w:val="center"/>
          </w:tcPr>
          <w:p>
            <w:r>
              <w:rPr>
                <w:rFonts w:ascii="Calibri" w:hAnsi="Calibri" w:eastAsia="Calibri"/>
                <w:b w:val="0"/>
                <w:i w:val="0"/>
                <w:color w:val="000000"/>
                <w:sz w:val="15"/>
              </w:rPr>
              <w:t>Core</w:t>
            </w:r>
          </w:p>
        </w:tc>
        <w:tc>
          <w:tcPr>
            <w:tcW w:type="dxa" w:w="1900"/>
            <w:tcMar>
              <w:top w:w="80" w:type="dxa"/>
              <w:start w:w="120" w:type="dxa"/>
              <w:bottom w:w="80" w:type="dxa"/>
              <w:end w:w="120" w:type="dxa"/>
            </w:tcMar>
            <w:vAlign w:val="center"/>
          </w:tcPr>
          <w:p>
            <w:r>
              <w:rPr>
                <w:rFonts w:ascii="Calibri" w:hAnsi="Calibri" w:eastAsia="Calibri"/>
                <w:b w:val="0"/>
                <w:i w:val="0"/>
                <w:color w:val="000000"/>
                <w:sz w:val="15"/>
              </w:rPr>
              <w:t>Freshness</w:t>
            </w:r>
          </w:p>
        </w:tc>
        <w:tc>
          <w:tcPr>
            <w:tcW w:type="dxa" w:w="6360"/>
            <w:tcMar>
              <w:top w:w="80" w:type="dxa"/>
              <w:start w:w="120" w:type="dxa"/>
              <w:bottom w:w="80" w:type="dxa"/>
              <w:end w:w="120" w:type="dxa"/>
            </w:tcMar>
            <w:vAlign w:val="center"/>
          </w:tcPr>
          <w:p>
            <w:r>
              <w:rPr>
                <w:rFonts w:ascii="Calibri" w:hAnsi="Calibri" w:eastAsia="Calibri"/>
                <w:b w:val="0"/>
                <w:i w:val="0"/>
                <w:color w:val="000000"/>
                <w:sz w:val="15"/>
              </w:rPr>
              <w:t>decay=exp(−ln(2)·age/half_life); normalized=raw·feed_confidence·decay</w:t>
            </w:r>
          </w:p>
        </w:tc>
      </w:tr>
      <w:tr>
        <w:tc>
          <w:tcPr>
            <w:tcW w:type="dxa" w:w="1100"/>
            <w:tcMar>
              <w:top w:w="80" w:type="dxa"/>
              <w:start w:w="120" w:type="dxa"/>
              <w:bottom w:w="80" w:type="dxa"/>
              <w:end w:w="120" w:type="dxa"/>
            </w:tcMar>
            <w:vAlign w:val="center"/>
          </w:tcPr>
          <w:p>
            <w:r>
              <w:rPr>
                <w:rFonts w:ascii="Calibri" w:hAnsi="Calibri" w:eastAsia="Calibri"/>
                <w:b w:val="0"/>
                <w:i w:val="0"/>
                <w:color w:val="000000"/>
                <w:sz w:val="15"/>
              </w:rPr>
              <w:t>Core</w:t>
            </w:r>
          </w:p>
        </w:tc>
        <w:tc>
          <w:tcPr>
            <w:tcW w:type="dxa" w:w="1900"/>
            <w:tcMar>
              <w:top w:w="80" w:type="dxa"/>
              <w:start w:w="120" w:type="dxa"/>
              <w:bottom w:w="80" w:type="dxa"/>
              <w:end w:w="120" w:type="dxa"/>
            </w:tcMar>
            <w:vAlign w:val="center"/>
          </w:tcPr>
          <w:p>
            <w:r>
              <w:rPr>
                <w:rFonts w:ascii="Calibri" w:hAnsi="Calibri" w:eastAsia="Calibri"/>
                <w:b w:val="0"/>
                <w:i w:val="0"/>
                <w:color w:val="000000"/>
                <w:sz w:val="15"/>
              </w:rPr>
              <w:t>Pressure</w:t>
            </w:r>
          </w:p>
        </w:tc>
        <w:tc>
          <w:tcPr>
            <w:tcW w:type="dxa" w:w="6360"/>
            <w:tcMar>
              <w:top w:w="80" w:type="dxa"/>
              <w:start w:w="120" w:type="dxa"/>
              <w:bottom w:w="80" w:type="dxa"/>
              <w:end w:w="120" w:type="dxa"/>
            </w:tcMar>
            <w:vAlign w:val="center"/>
          </w:tcPr>
          <w:p>
            <w:r>
              <w:rPr>
                <w:rFonts w:ascii="Calibri" w:hAnsi="Calibri" w:eastAsia="Calibri"/>
                <w:b w:val="0"/>
                <w:i w:val="0"/>
                <w:color w:val="000000"/>
                <w:sz w:val="15"/>
              </w:rPr>
              <w:t>min(10,3.3log10(count)), recency boost, 7-day decay; sector=.60max+.40mean</w:t>
            </w:r>
          </w:p>
        </w:tc>
      </w:tr>
      <w:tr>
        <w:tc>
          <w:tcPr>
            <w:tcW w:type="dxa" w:w="1100"/>
            <w:tcMar>
              <w:top w:w="80" w:type="dxa"/>
              <w:start w:w="120" w:type="dxa"/>
              <w:bottom w:w="80" w:type="dxa"/>
              <w:end w:w="120" w:type="dxa"/>
            </w:tcMar>
            <w:vAlign w:val="center"/>
          </w:tcPr>
          <w:p>
            <w:r>
              <w:rPr>
                <w:rFonts w:ascii="Calibri" w:hAnsi="Calibri" w:eastAsia="Calibri"/>
                <w:b w:val="0"/>
                <w:i w:val="0"/>
                <w:color w:val="000000"/>
                <w:sz w:val="15"/>
              </w:rPr>
              <w:t>OSINT</w:t>
            </w:r>
          </w:p>
        </w:tc>
        <w:tc>
          <w:tcPr>
            <w:tcW w:type="dxa" w:w="1900"/>
            <w:tcMar>
              <w:top w:w="80" w:type="dxa"/>
              <w:start w:w="120" w:type="dxa"/>
              <w:bottom w:w="80" w:type="dxa"/>
              <w:end w:w="120" w:type="dxa"/>
            </w:tcMar>
            <w:vAlign w:val="center"/>
          </w:tcPr>
          <w:p>
            <w:r>
              <w:rPr>
                <w:rFonts w:ascii="Calibri" w:hAnsi="Calibri" w:eastAsia="Calibri"/>
                <w:b w:val="0"/>
                <w:i w:val="0"/>
                <w:color w:val="000000"/>
                <w:sz w:val="15"/>
              </w:rPr>
              <w:t>DOM similarity</w:t>
            </w:r>
          </w:p>
        </w:tc>
        <w:tc>
          <w:tcPr>
            <w:tcW w:type="dxa" w:w="6360"/>
            <w:tcMar>
              <w:top w:w="80" w:type="dxa"/>
              <w:start w:w="120" w:type="dxa"/>
              <w:bottom w:w="80" w:type="dxa"/>
              <w:end w:w="120" w:type="dxa"/>
            </w:tcMar>
            <w:vAlign w:val="center"/>
          </w:tcPr>
          <w:p>
            <w:r>
              <w:rPr>
                <w:rFonts w:ascii="Calibri" w:hAnsi="Calibri" w:eastAsia="Calibri"/>
                <w:b w:val="0"/>
                <w:i w:val="0"/>
                <w:color w:val="000000"/>
                <w:sz w:val="15"/>
              </w:rPr>
              <w:t>Σ min(tag counts) / Σ max(tag counts)</w:t>
            </w:r>
          </w:p>
        </w:tc>
      </w:tr>
      <w:tr>
        <w:tc>
          <w:tcPr>
            <w:tcW w:type="dxa" w:w="1100"/>
            <w:tcMar>
              <w:top w:w="80" w:type="dxa"/>
              <w:start w:w="120" w:type="dxa"/>
              <w:bottom w:w="80" w:type="dxa"/>
              <w:end w:w="120" w:type="dxa"/>
            </w:tcMar>
            <w:vAlign w:val="center"/>
          </w:tcPr>
          <w:p>
            <w:r>
              <w:rPr>
                <w:rFonts w:ascii="Calibri" w:hAnsi="Calibri" w:eastAsia="Calibri"/>
                <w:b w:val="0"/>
                <w:i w:val="0"/>
                <w:color w:val="000000"/>
                <w:sz w:val="15"/>
              </w:rPr>
              <w:t>OSINT</w:t>
            </w:r>
          </w:p>
        </w:tc>
        <w:tc>
          <w:tcPr>
            <w:tcW w:type="dxa" w:w="1900"/>
            <w:tcMar>
              <w:top w:w="80" w:type="dxa"/>
              <w:start w:w="120" w:type="dxa"/>
              <w:bottom w:w="80" w:type="dxa"/>
              <w:end w:w="120" w:type="dxa"/>
            </w:tcMar>
            <w:vAlign w:val="center"/>
          </w:tcPr>
          <w:p>
            <w:r>
              <w:rPr>
                <w:rFonts w:ascii="Calibri" w:hAnsi="Calibri" w:eastAsia="Calibri"/>
                <w:b w:val="0"/>
                <w:i w:val="0"/>
                <w:color w:val="000000"/>
                <w:sz w:val="15"/>
              </w:rPr>
              <w:t>Confidence tiers</w:t>
            </w:r>
          </w:p>
        </w:tc>
        <w:tc>
          <w:tcPr>
            <w:tcW w:type="dxa" w:w="6360"/>
            <w:tcMar>
              <w:top w:w="80" w:type="dxa"/>
              <w:start w:w="120" w:type="dxa"/>
              <w:bottom w:w="80" w:type="dxa"/>
              <w:end w:w="120" w:type="dxa"/>
            </w:tcMar>
            <w:vAlign w:val="center"/>
          </w:tcPr>
          <w:p>
            <w:r>
              <w:rPr>
                <w:rFonts w:ascii="Calibri" w:hAnsi="Calibri" w:eastAsia="Calibri"/>
                <w:b w:val="0"/>
                <w:i w:val="0"/>
                <w:color w:val="000000"/>
                <w:sz w:val="15"/>
              </w:rPr>
              <w:t>95 confirmed; 75 high; 50 medium; 30 ambiguous; 1 unverified; 0 not found</w:t>
            </w:r>
          </w:p>
        </w:tc>
      </w:tr>
      <w:tr>
        <w:tc>
          <w:tcPr>
            <w:tcW w:type="dxa" w:w="1100"/>
            <w:tcMar>
              <w:top w:w="80" w:type="dxa"/>
              <w:start w:w="120" w:type="dxa"/>
              <w:bottom w:w="80" w:type="dxa"/>
              <w:end w:w="120" w:type="dxa"/>
            </w:tcMar>
            <w:vAlign w:val="center"/>
          </w:tcPr>
          <w:p>
            <w:r>
              <w:rPr>
                <w:rFonts w:ascii="Calibri" w:hAnsi="Calibri" w:eastAsia="Calibri"/>
                <w:b w:val="0"/>
                <w:i w:val="0"/>
                <w:color w:val="000000"/>
                <w:sz w:val="15"/>
              </w:rPr>
              <w:t>Breach</w:t>
            </w:r>
          </w:p>
        </w:tc>
        <w:tc>
          <w:tcPr>
            <w:tcW w:type="dxa" w:w="1900"/>
            <w:tcMar>
              <w:top w:w="80" w:type="dxa"/>
              <w:start w:w="120" w:type="dxa"/>
              <w:bottom w:w="80" w:type="dxa"/>
              <w:end w:w="120" w:type="dxa"/>
            </w:tcMar>
            <w:vAlign w:val="center"/>
          </w:tcPr>
          <w:p>
            <w:r>
              <w:rPr>
                <w:rFonts w:ascii="Calibri" w:hAnsi="Calibri" w:eastAsia="Calibri"/>
                <w:b w:val="0"/>
                <w:i w:val="0"/>
                <w:color w:val="000000"/>
                <w:sz w:val="15"/>
              </w:rPr>
              <w:t>Graph</w:t>
            </w:r>
          </w:p>
        </w:tc>
        <w:tc>
          <w:tcPr>
            <w:tcW w:type="dxa" w:w="6360"/>
            <w:tcMar>
              <w:top w:w="80" w:type="dxa"/>
              <w:start w:w="120" w:type="dxa"/>
              <w:bottom w:w="80" w:type="dxa"/>
              <w:end w:w="120" w:type="dxa"/>
            </w:tcMar>
            <w:vAlign w:val="center"/>
          </w:tcPr>
          <w:p>
            <w:r>
              <w:rPr>
                <w:rFonts w:ascii="Calibri" w:hAnsi="Calibri" w:eastAsia="Calibri"/>
                <w:b w:val="0"/>
                <w:i w:val="0"/>
                <w:color w:val="000000"/>
                <w:sz w:val="15"/>
              </w:rPr>
              <w:t>Bounded BFS; &gt;200 common-value short circuit; ≤500 records + ≤300 entities</w:t>
            </w:r>
          </w:p>
        </w:tc>
      </w:tr>
      <w:tr>
        <w:tc>
          <w:tcPr>
            <w:tcW w:type="dxa" w:w="1100"/>
            <w:tcMar>
              <w:top w:w="80" w:type="dxa"/>
              <w:start w:w="120" w:type="dxa"/>
              <w:bottom w:w="80" w:type="dxa"/>
              <w:end w:w="120" w:type="dxa"/>
            </w:tcMar>
            <w:vAlign w:val="center"/>
          </w:tcPr>
          <w:p>
            <w:r>
              <w:rPr>
                <w:rFonts w:ascii="Calibri" w:hAnsi="Calibri" w:eastAsia="Calibri"/>
                <w:b w:val="0"/>
                <w:i w:val="0"/>
                <w:color w:val="000000"/>
                <w:sz w:val="15"/>
              </w:rPr>
              <w:t>Telegram</w:t>
            </w:r>
          </w:p>
        </w:tc>
        <w:tc>
          <w:tcPr>
            <w:tcW w:type="dxa" w:w="1900"/>
            <w:tcMar>
              <w:top w:w="80" w:type="dxa"/>
              <w:start w:w="120" w:type="dxa"/>
              <w:bottom w:w="80" w:type="dxa"/>
              <w:end w:w="120" w:type="dxa"/>
            </w:tcMar>
            <w:vAlign w:val="center"/>
          </w:tcPr>
          <w:p>
            <w:r>
              <w:rPr>
                <w:rFonts w:ascii="Calibri" w:hAnsi="Calibri" w:eastAsia="Calibri"/>
                <w:b w:val="0"/>
                <w:i w:val="0"/>
                <w:color w:val="000000"/>
                <w:sz w:val="15"/>
              </w:rPr>
              <w:t>Category confidence</w:t>
            </w:r>
          </w:p>
        </w:tc>
        <w:tc>
          <w:tcPr>
            <w:tcW w:type="dxa" w:w="6360"/>
            <w:tcMar>
              <w:top w:w="80" w:type="dxa"/>
              <w:start w:w="120" w:type="dxa"/>
              <w:bottom w:w="80" w:type="dxa"/>
              <w:end w:w="120" w:type="dxa"/>
            </w:tcMar>
            <w:vAlign w:val="center"/>
          </w:tcPr>
          <w:p>
            <w:r>
              <w:rPr>
                <w:rFonts w:ascii="Calibri" w:hAnsi="Calibri" w:eastAsia="Calibri"/>
                <w:b w:val="0"/>
                <w:i w:val="0"/>
                <w:color w:val="000000"/>
                <w:sz w:val="15"/>
              </w:rPr>
              <w:t>c=1−exp(−raw_weight/4)</w:t>
            </w:r>
          </w:p>
        </w:tc>
      </w:tr>
      <w:tr>
        <w:tc>
          <w:tcPr>
            <w:tcW w:type="dxa" w:w="1100"/>
            <w:tcMar>
              <w:top w:w="80" w:type="dxa"/>
              <w:start w:w="120" w:type="dxa"/>
              <w:bottom w:w="80" w:type="dxa"/>
              <w:end w:w="120" w:type="dxa"/>
            </w:tcMar>
            <w:vAlign w:val="center"/>
          </w:tcPr>
          <w:p>
            <w:r>
              <w:rPr>
                <w:rFonts w:ascii="Calibri" w:hAnsi="Calibri" w:eastAsia="Calibri"/>
                <w:b w:val="0"/>
                <w:i w:val="0"/>
                <w:color w:val="000000"/>
                <w:sz w:val="15"/>
              </w:rPr>
              <w:t>Telegram</w:t>
            </w:r>
          </w:p>
        </w:tc>
        <w:tc>
          <w:tcPr>
            <w:tcW w:type="dxa" w:w="1900"/>
            <w:tcMar>
              <w:top w:w="80" w:type="dxa"/>
              <w:start w:w="120" w:type="dxa"/>
              <w:bottom w:w="80" w:type="dxa"/>
              <w:end w:w="120" w:type="dxa"/>
            </w:tcMar>
            <w:vAlign w:val="center"/>
          </w:tcPr>
          <w:p>
            <w:r>
              <w:rPr>
                <w:rFonts w:ascii="Calibri" w:hAnsi="Calibri" w:eastAsia="Calibri"/>
                <w:b w:val="0"/>
                <w:i w:val="0"/>
                <w:color w:val="000000"/>
                <w:sz w:val="15"/>
              </w:rPr>
              <w:t>Risk</w:t>
            </w:r>
          </w:p>
        </w:tc>
        <w:tc>
          <w:tcPr>
            <w:tcW w:type="dxa" w:w="6360"/>
            <w:tcMar>
              <w:top w:w="80" w:type="dxa"/>
              <w:start w:w="120" w:type="dxa"/>
              <w:bottom w:w="80" w:type="dxa"/>
              <w:end w:w="120" w:type="dxa"/>
            </w:tcMar>
            <w:vAlign w:val="center"/>
          </w:tcPr>
          <w:p>
            <w:r>
              <w:rPr>
                <w:rFonts w:ascii="Calibri" w:hAnsi="Calibri" w:eastAsia="Calibri"/>
                <w:b w:val="0"/>
                <w:i w:val="0"/>
                <w:color w:val="000000"/>
                <w:sz w:val="15"/>
              </w:rPr>
              <w:t>p=1−exp(−Σ impact·confidence), then complement boosts; flag at 55 or ransomware≥.65</w:t>
            </w:r>
          </w:p>
        </w:tc>
      </w:tr>
      <w:tr>
        <w:tc>
          <w:tcPr>
            <w:tcW w:type="dxa" w:w="1100"/>
            <w:tcMar>
              <w:top w:w="80" w:type="dxa"/>
              <w:start w:w="120" w:type="dxa"/>
              <w:bottom w:w="80" w:type="dxa"/>
              <w:end w:w="120" w:type="dxa"/>
            </w:tcMar>
            <w:vAlign w:val="center"/>
          </w:tcPr>
          <w:p>
            <w:r>
              <w:rPr>
                <w:rFonts w:ascii="Calibri" w:hAnsi="Calibri" w:eastAsia="Calibri"/>
                <w:b w:val="0"/>
                <w:i w:val="0"/>
                <w:color w:val="000000"/>
                <w:sz w:val="15"/>
              </w:rPr>
              <w:t>IOC/STIX</w:t>
            </w:r>
          </w:p>
        </w:tc>
        <w:tc>
          <w:tcPr>
            <w:tcW w:type="dxa" w:w="1900"/>
            <w:tcMar>
              <w:top w:w="80" w:type="dxa"/>
              <w:start w:w="120" w:type="dxa"/>
              <w:bottom w:w="80" w:type="dxa"/>
              <w:end w:w="120" w:type="dxa"/>
            </w:tcMar>
            <w:vAlign w:val="center"/>
          </w:tcPr>
          <w:p>
            <w:r>
              <w:rPr>
                <w:rFonts w:ascii="Calibri" w:hAnsi="Calibri" w:eastAsia="Calibri"/>
                <w:b w:val="0"/>
                <w:i w:val="0"/>
                <w:color w:val="000000"/>
                <w:sz w:val="15"/>
              </w:rPr>
              <w:t>Detection/export</w:t>
            </w:r>
          </w:p>
        </w:tc>
        <w:tc>
          <w:tcPr>
            <w:tcW w:type="dxa" w:w="6360"/>
            <w:tcMar>
              <w:top w:w="80" w:type="dxa"/>
              <w:start w:w="120" w:type="dxa"/>
              <w:bottom w:w="80" w:type="dxa"/>
              <w:end w:w="120" w:type="dxa"/>
            </w:tcMar>
            <w:vAlign w:val="center"/>
          </w:tcPr>
          <w:p>
            <w:r>
              <w:rPr>
                <w:rFonts w:ascii="Calibri" w:hAnsi="Calibri" w:eastAsia="Calibri"/>
                <w:b w:val="0"/>
                <w:i w:val="0"/>
                <w:color w:val="000000"/>
                <w:sz w:val="15"/>
              </w:rPr>
              <w:t>92 patterns / 17 ordered families; confidence cap; deterministic UUIDv5 STIX object IDs</w:t>
            </w:r>
          </w:p>
        </w:tc>
      </w:tr>
    </w:tbl>
    <w:p>
      <w:pPr>
        <w:spacing w:after="0"/>
      </w:pPr>
    </w:p>
    <w:p>
      <w:pPr>
        <w:pStyle w:val="Heading1"/>
      </w:pPr>
      <w:r>
        <w:t>Complete module flowcharts and formal algorithms</w:t>
      </w:r>
    </w:p>
    <w:p>
      <w:r>
        <w:rPr>
          <w:rFonts w:ascii="Calibri" w:hAnsi="Calibri" w:eastAsia="Calibri"/>
          <w:b w:val="0"/>
          <w:i w:val="0"/>
          <w:color w:val="000000"/>
          <w:sz w:val="22"/>
        </w:rPr>
        <w:t>This section contains every module flowchart used by the five authoritative module reports. Each diagram is immediately followed by the corresponding code-faithful mathematical specification, executable pseudocode, bounds, invariants, complexity statement, and research/standards basis. The opening unified flowchart is Figure 1; the five module flows below are Figures 2–6.</w:t>
      </w:r>
    </w:p>
    <w:p>
      <w:pPr>
        <w:pStyle w:val="Heading2"/>
      </w:pPr>
      <w:r>
        <w:t>Core platform</w:t>
      </w:r>
    </w:p>
    <w:p>
      <w:pPr>
        <w:jc w:val="center"/>
      </w:pPr>
      <w:r>
        <w:drawing>
          <wp:inline xmlns:a="http://schemas.openxmlformats.org/drawingml/2006/main" xmlns:pic="http://schemas.openxmlformats.org/drawingml/2006/picture">
            <wp:extent cx="5623560" cy="7487368"/>
            <wp:docPr id="2" name="core-platform-flow" descr="Figure 2. Core ingestion, correlation, scoring, and response path."/>
            <wp:cNvGraphicFramePr>
              <a:graphicFrameLocks noChangeAspect="1"/>
            </wp:cNvGraphicFramePr>
            <a:graphic>
              <a:graphicData uri="http://schemas.openxmlformats.org/drawingml/2006/picture">
                <pic:pic>
                  <pic:nvPicPr>
                    <pic:cNvPr id="0" name="core-platform-flow.png"/>
                    <pic:cNvPicPr/>
                  </pic:nvPicPr>
                  <pic:blipFill>
                    <a:blip r:embed="rId12">
                      <a:extLst>
                        <a:ext uri="{96DAC541-7B7A-43D3-8B79-37D633B846F1}">
                          <asvg:svgBlip xmlns:asvg="http://schemas.microsoft.com/office/drawing/2016/SVG/main" r:embed="rIdSvg2"/>
                        </a:ext>
                      </a:extLst>
                    </a:blip>
                    <a:stretch>
                      <a:fillRect/>
                    </a:stretch>
                  </pic:blipFill>
                  <pic:spPr>
                    <a:xfrm>
                      <a:off x="0" y="0"/>
                      <a:ext cx="5623560" cy="7487368"/>
                    </a:xfrm>
                    <a:prstGeom prst="rect"/>
                  </pic:spPr>
                </pic:pic>
              </a:graphicData>
            </a:graphic>
          </wp:inline>
        </w:drawing>
      </w:r>
    </w:p>
    <w:p>
      <w:pPr>
        <w:spacing w:after="160"/>
        <w:jc w:val="center"/>
      </w:pPr>
      <w:r>
        <w:rPr>
          <w:rFonts w:ascii="Calibri" w:hAnsi="Calibri" w:eastAsia="Calibri"/>
          <w:b w:val="0"/>
          <w:i/>
          <w:color w:val="666666"/>
          <w:sz w:val="16"/>
        </w:rPr>
        <w:t>Figure 2. Core ingestion, correlation, scoring, and response path.</w:t>
      </w:r>
      <w:r>
        <w:br w:type="page"/>
      </w:r>
    </w:p>
    <w:p>
      <w:pPr>
        <w:pStyle w:val="Heading2"/>
      </w:pPr>
      <w:r>
        <w:t>Flow-aligned mathematical algorithm and specification</w:t>
      </w:r>
    </w:p>
    <w:p>
      <w:r>
        <w:rPr>
          <w:rFonts w:ascii="Calibri" w:hAnsi="Calibri" w:eastAsia="Calibri"/>
          <w:b w:val="0"/>
          <w:i w:val="0"/>
          <w:color w:val="000000"/>
          <w:sz w:val="22"/>
        </w:rPr>
        <w:t>This specification follows the core flowchart from normalized evidence through threat pressure, customer correlation, exposure scoring, and bounded operational output. Every coefficient below is present in the repository; no coefficient is presented as learned or statistically calibrated.</w:t>
      </w:r>
    </w:p>
    <w:tbl>
      <w:tblPr>
        <w:tblStyle w:val="TableGrid"/>
        <w:tblW w:type="dxa" w:w="9360"/>
        <w:tblLayout w:type="fixed"/>
        <w:tblLook w:firstColumn="1" w:firstRow="1" w:lastColumn="0" w:lastRow="0" w:noHBand="0" w:noVBand="1" w:val="04A0"/>
        <w:jc w:val="left"/>
        <w:tblInd w:w="120" w:type="dxa"/>
      </w:tblPr>
      <w:tblGrid>
        <w:gridCol w:w="1200"/>
        <w:gridCol w:w="2050"/>
        <w:gridCol w:w="6110"/>
      </w:tblGrid>
      <w:tr>
        <w:trPr>
          <w:tblHeader w:val="true"/>
        </w:trPr>
        <w:tc>
          <w:tcPr>
            <w:tcW w:type="dxa" w:w="1200"/>
            <w:tcMar>
              <w:top w:w="80" w:type="dxa"/>
              <w:start w:w="120" w:type="dxa"/>
              <w:bottom w:w="80" w:type="dxa"/>
              <w:end w:w="120" w:type="dxa"/>
            </w:tcMar>
            <w:vAlign w:val="center"/>
            <w:shd w:fill="E8EEF5"/>
          </w:tcPr>
          <w:p>
            <w:r>
              <w:rPr>
                <w:rFonts w:ascii="Calibri" w:hAnsi="Calibri" w:eastAsia="Calibri"/>
                <w:b/>
                <w:i w:val="0"/>
                <w:color w:val="1F4D78"/>
                <w:sz w:val="16"/>
              </w:rPr>
              <w:t>Symbol</w:t>
            </w:r>
          </w:p>
        </w:tc>
        <w:tc>
          <w:tcPr>
            <w:tcW w:type="dxa" w:w="2050"/>
            <w:tcMar>
              <w:top w:w="80" w:type="dxa"/>
              <w:start w:w="120" w:type="dxa"/>
              <w:bottom w:w="80" w:type="dxa"/>
              <w:end w:w="120" w:type="dxa"/>
            </w:tcMar>
            <w:vAlign w:val="center"/>
            <w:shd w:fill="E8EEF5"/>
          </w:tcPr>
          <w:p>
            <w:r>
              <w:rPr>
                <w:rFonts w:ascii="Calibri" w:hAnsi="Calibri" w:eastAsia="Calibri"/>
                <w:b/>
                <w:i w:val="0"/>
                <w:color w:val="1F4D78"/>
                <w:sz w:val="16"/>
              </w:rPr>
              <w:t>Range / type</w:t>
            </w:r>
          </w:p>
        </w:tc>
        <w:tc>
          <w:tcPr>
            <w:tcW w:type="dxa" w:w="6110"/>
            <w:tcMar>
              <w:top w:w="80" w:type="dxa"/>
              <w:start w:w="120" w:type="dxa"/>
              <w:bottom w:w="80" w:type="dxa"/>
              <w:end w:w="120" w:type="dxa"/>
            </w:tcMar>
            <w:vAlign w:val="center"/>
            <w:shd w:fill="E8EEF5"/>
          </w:tcPr>
          <w:p>
            <w:r>
              <w:rPr>
                <w:rFonts w:ascii="Calibri" w:hAnsi="Calibri" w:eastAsia="Calibri"/>
                <w:b/>
                <w:i w:val="0"/>
                <w:color w:val="1F4D78"/>
                <w:sz w:val="16"/>
              </w:rPr>
              <w:t>Implemented meaning</w:t>
            </w:r>
          </w:p>
        </w:tc>
      </w:tr>
      <w:tr>
        <w:tc>
          <w:tcPr>
            <w:tcW w:type="dxa" w:w="1200"/>
            <w:tcMar>
              <w:top w:w="80" w:type="dxa"/>
              <w:start w:w="120" w:type="dxa"/>
              <w:bottom w:w="80" w:type="dxa"/>
              <w:end w:w="120" w:type="dxa"/>
            </w:tcMar>
            <w:vAlign w:val="center"/>
          </w:tcPr>
          <w:p>
            <w:r>
              <w:rPr>
                <w:rFonts w:ascii="Calibri" w:hAnsi="Calibri" w:eastAsia="Calibri"/>
                <w:b w:val="0"/>
                <w:i w:val="0"/>
                <w:color w:val="000000"/>
                <w:sz w:val="16"/>
              </w:rPr>
              <w:t>s_raw</w:t>
            </w:r>
          </w:p>
        </w:tc>
        <w:tc>
          <w:tcPr>
            <w:tcW w:type="dxa" w:w="2050"/>
            <w:tcMar>
              <w:top w:w="80" w:type="dxa"/>
              <w:start w:w="120" w:type="dxa"/>
              <w:bottom w:w="80" w:type="dxa"/>
              <w:end w:w="120" w:type="dxa"/>
            </w:tcMar>
            <w:vAlign w:val="center"/>
          </w:tcPr>
          <w:p>
            <w:r>
              <w:rPr>
                <w:rFonts w:ascii="Calibri" w:hAnsi="Calibri" w:eastAsia="Calibri"/>
                <w:b w:val="0"/>
                <w:i w:val="0"/>
                <w:color w:val="000000"/>
                <w:sz w:val="16"/>
              </w:rPr>
              <w:t>real, normally 0..100</w:t>
            </w:r>
          </w:p>
        </w:tc>
        <w:tc>
          <w:tcPr>
            <w:tcW w:type="dxa" w:w="6110"/>
            <w:tcMar>
              <w:top w:w="80" w:type="dxa"/>
              <w:start w:w="120" w:type="dxa"/>
              <w:bottom w:w="80" w:type="dxa"/>
              <w:end w:w="120" w:type="dxa"/>
            </w:tcMar>
            <w:vAlign w:val="center"/>
          </w:tcPr>
          <w:p>
            <w:r>
              <w:rPr>
                <w:rFonts w:ascii="Calibri" w:hAnsi="Calibri" w:eastAsia="Calibri"/>
                <w:b w:val="0"/>
                <w:i w:val="0"/>
                <w:color w:val="000000"/>
                <w:sz w:val="16"/>
              </w:rPr>
              <w:t>Raw evidence or source score</w:t>
            </w:r>
          </w:p>
        </w:tc>
      </w:tr>
      <w:tr>
        <w:tc>
          <w:tcPr>
            <w:tcW w:type="dxa" w:w="1200"/>
            <w:tcMar>
              <w:top w:w="80" w:type="dxa"/>
              <w:start w:w="120" w:type="dxa"/>
              <w:bottom w:w="80" w:type="dxa"/>
              <w:end w:w="120" w:type="dxa"/>
            </w:tcMar>
            <w:vAlign w:val="center"/>
          </w:tcPr>
          <w:p>
            <w:r>
              <w:rPr>
                <w:rFonts w:ascii="Calibri" w:hAnsi="Calibri" w:eastAsia="Calibri"/>
                <w:b w:val="0"/>
                <w:i w:val="0"/>
                <w:color w:val="000000"/>
                <w:sz w:val="16"/>
              </w:rPr>
              <w:t>c_src</w:t>
            </w:r>
          </w:p>
        </w:tc>
        <w:tc>
          <w:tcPr>
            <w:tcW w:type="dxa" w:w="2050"/>
            <w:tcMar>
              <w:top w:w="80" w:type="dxa"/>
              <w:start w:w="120" w:type="dxa"/>
              <w:bottom w:w="80" w:type="dxa"/>
              <w:end w:w="120" w:type="dxa"/>
            </w:tcMar>
            <w:vAlign w:val="center"/>
          </w:tcPr>
          <w:p>
            <w:r>
              <w:rPr>
                <w:rFonts w:ascii="Calibri" w:hAnsi="Calibri" w:eastAsia="Calibri"/>
                <w:b w:val="0"/>
                <w:i w:val="0"/>
                <w:color w:val="000000"/>
                <w:sz w:val="16"/>
              </w:rPr>
              <w:t>0..1</w:t>
            </w:r>
          </w:p>
        </w:tc>
        <w:tc>
          <w:tcPr>
            <w:tcW w:type="dxa" w:w="6110"/>
            <w:tcMar>
              <w:top w:w="80" w:type="dxa"/>
              <w:start w:w="120" w:type="dxa"/>
              <w:bottom w:w="80" w:type="dxa"/>
              <w:end w:w="120" w:type="dxa"/>
            </w:tcMar>
            <w:vAlign w:val="center"/>
          </w:tcPr>
          <w:p>
            <w:r>
              <w:rPr>
                <w:rFonts w:ascii="Calibri" w:hAnsi="Calibri" w:eastAsia="Calibri"/>
                <w:b w:val="0"/>
                <w:i w:val="0"/>
                <w:color w:val="000000"/>
                <w:sz w:val="16"/>
              </w:rPr>
              <w:t>Configured feed confidence; unknown source defaults to 0.5</w:t>
            </w:r>
          </w:p>
        </w:tc>
      </w:tr>
      <w:tr>
        <w:tc>
          <w:tcPr>
            <w:tcW w:type="dxa" w:w="1200"/>
            <w:tcMar>
              <w:top w:w="80" w:type="dxa"/>
              <w:start w:w="120" w:type="dxa"/>
              <w:bottom w:w="80" w:type="dxa"/>
              <w:end w:w="120" w:type="dxa"/>
            </w:tcMar>
            <w:vAlign w:val="center"/>
          </w:tcPr>
          <w:p>
            <w:r>
              <w:rPr>
                <w:rFonts w:ascii="Calibri" w:hAnsi="Calibri" w:eastAsia="Calibri"/>
                <w:b w:val="0"/>
                <w:i w:val="0"/>
                <w:color w:val="000000"/>
                <w:sz w:val="16"/>
              </w:rPr>
              <w:t>a, h</w:t>
            </w:r>
          </w:p>
        </w:tc>
        <w:tc>
          <w:tcPr>
            <w:tcW w:type="dxa" w:w="2050"/>
            <w:tcMar>
              <w:top w:w="80" w:type="dxa"/>
              <w:start w:w="120" w:type="dxa"/>
              <w:bottom w:w="80" w:type="dxa"/>
              <w:end w:w="120" w:type="dxa"/>
            </w:tcMar>
            <w:vAlign w:val="center"/>
          </w:tcPr>
          <w:p>
            <w:r>
              <w:rPr>
                <w:rFonts w:ascii="Calibri" w:hAnsi="Calibri" w:eastAsia="Calibri"/>
                <w:b w:val="0"/>
                <w:i w:val="0"/>
                <w:color w:val="000000"/>
                <w:sz w:val="16"/>
              </w:rPr>
              <w:t>days; h &gt; 0</w:t>
            </w:r>
          </w:p>
        </w:tc>
        <w:tc>
          <w:tcPr>
            <w:tcW w:type="dxa" w:w="6110"/>
            <w:tcMar>
              <w:top w:w="80" w:type="dxa"/>
              <w:start w:w="120" w:type="dxa"/>
              <w:bottom w:w="80" w:type="dxa"/>
              <w:end w:w="120" w:type="dxa"/>
            </w:tcMar>
            <w:vAlign w:val="center"/>
          </w:tcPr>
          <w:p>
            <w:r>
              <w:rPr>
                <w:rFonts w:ascii="Calibri" w:hAnsi="Calibri" w:eastAsia="Calibri"/>
                <w:b w:val="0"/>
                <w:i w:val="0"/>
                <w:color w:val="000000"/>
                <w:sz w:val="16"/>
              </w:rPr>
              <w:t>Evidence age and decay half-life; default h=14, pressure h=7</w:t>
            </w:r>
          </w:p>
        </w:tc>
      </w:tr>
      <w:tr>
        <w:tc>
          <w:tcPr>
            <w:tcW w:type="dxa" w:w="1200"/>
            <w:tcMar>
              <w:top w:w="80" w:type="dxa"/>
              <w:start w:w="120" w:type="dxa"/>
              <w:bottom w:w="80" w:type="dxa"/>
              <w:end w:w="120" w:type="dxa"/>
            </w:tcMar>
            <w:vAlign w:val="center"/>
          </w:tcPr>
          <w:p>
            <w:r>
              <w:rPr>
                <w:rFonts w:ascii="Calibri" w:hAnsi="Calibri" w:eastAsia="Calibri"/>
                <w:b w:val="0"/>
                <w:i w:val="0"/>
                <w:color w:val="000000"/>
                <w:sz w:val="16"/>
              </w:rPr>
              <w:t>D1..D5</w:t>
            </w:r>
          </w:p>
        </w:tc>
        <w:tc>
          <w:tcPr>
            <w:tcW w:type="dxa" w:w="2050"/>
            <w:tcMar>
              <w:top w:w="80" w:type="dxa"/>
              <w:start w:w="120" w:type="dxa"/>
              <w:bottom w:w="80" w:type="dxa"/>
              <w:end w:w="120" w:type="dxa"/>
            </w:tcMar>
            <w:vAlign w:val="center"/>
          </w:tcPr>
          <w:p>
            <w:r>
              <w:rPr>
                <w:rFonts w:ascii="Calibri" w:hAnsi="Calibri" w:eastAsia="Calibri"/>
                <w:b w:val="0"/>
                <w:i w:val="0"/>
                <w:color w:val="000000"/>
                <w:sz w:val="16"/>
              </w:rPr>
              <w:t>each 0..100</w:t>
            </w:r>
          </w:p>
        </w:tc>
        <w:tc>
          <w:tcPr>
            <w:tcW w:type="dxa" w:w="6110"/>
            <w:tcMar>
              <w:top w:w="80" w:type="dxa"/>
              <w:start w:w="120" w:type="dxa"/>
              <w:bottom w:w="80" w:type="dxa"/>
              <w:end w:w="120" w:type="dxa"/>
            </w:tcMar>
            <w:vAlign w:val="center"/>
          </w:tcPr>
          <w:p>
            <w:r>
              <w:rPr>
                <w:rFonts w:ascii="Calibri" w:hAnsi="Calibri" w:eastAsia="Calibri"/>
                <w:b w:val="0"/>
                <w:i w:val="0"/>
                <w:color w:val="000000"/>
                <w:sz w:val="16"/>
              </w:rPr>
              <w:t>Direct exposure, active exploitation, actor intent, attack surface, asset criticality</w:t>
            </w:r>
          </w:p>
        </w:tc>
      </w:tr>
      <w:tr>
        <w:tc>
          <w:tcPr>
            <w:tcW w:type="dxa" w:w="1200"/>
            <w:tcMar>
              <w:top w:w="80" w:type="dxa"/>
              <w:start w:w="120" w:type="dxa"/>
              <w:bottom w:w="80" w:type="dxa"/>
              <w:end w:w="120" w:type="dxa"/>
            </w:tcMar>
            <w:vAlign w:val="center"/>
          </w:tcPr>
          <w:p>
            <w:r>
              <w:rPr>
                <w:rFonts w:ascii="Calibri" w:hAnsi="Calibri" w:eastAsia="Calibri"/>
                <w:b w:val="0"/>
                <w:i w:val="0"/>
                <w:color w:val="000000"/>
                <w:sz w:val="16"/>
              </w:rPr>
              <w:t>n</w:t>
            </w:r>
          </w:p>
        </w:tc>
        <w:tc>
          <w:tcPr>
            <w:tcW w:type="dxa" w:w="2050"/>
            <w:tcMar>
              <w:top w:w="80" w:type="dxa"/>
              <w:start w:w="120" w:type="dxa"/>
              <w:bottom w:w="80" w:type="dxa"/>
              <w:end w:w="120" w:type="dxa"/>
            </w:tcMar>
            <w:vAlign w:val="center"/>
          </w:tcPr>
          <w:p>
            <w:r>
              <w:rPr>
                <w:rFonts w:ascii="Calibri" w:hAnsi="Calibri" w:eastAsia="Calibri"/>
                <w:b w:val="0"/>
                <w:i w:val="0"/>
                <w:color w:val="000000"/>
                <w:sz w:val="16"/>
              </w:rPr>
              <w:t>positive integer</w:t>
            </w:r>
          </w:p>
        </w:tc>
        <w:tc>
          <w:tcPr>
            <w:tcW w:type="dxa" w:w="6110"/>
            <w:tcMar>
              <w:top w:w="80" w:type="dxa"/>
              <w:start w:w="120" w:type="dxa"/>
              <w:bottom w:w="80" w:type="dxa"/>
              <w:end w:w="120" w:type="dxa"/>
            </w:tcMar>
            <w:vAlign w:val="center"/>
          </w:tcPr>
          <w:p>
            <w:r>
              <w:rPr>
                <w:rFonts w:ascii="Calibri" w:hAnsi="Calibri" w:eastAsia="Calibri"/>
                <w:b w:val="0"/>
                <w:i w:val="0"/>
                <w:color w:val="000000"/>
                <w:sz w:val="16"/>
              </w:rPr>
              <w:t>Observation count in a threat category/family group</w:t>
            </w:r>
          </w:p>
        </w:tc>
      </w:tr>
      <w:tr>
        <w:tc>
          <w:tcPr>
            <w:tcW w:type="dxa" w:w="1200"/>
            <w:tcMar>
              <w:top w:w="80" w:type="dxa"/>
              <w:start w:w="120" w:type="dxa"/>
              <w:bottom w:w="80" w:type="dxa"/>
              <w:end w:w="120" w:type="dxa"/>
            </w:tcMar>
            <w:vAlign w:val="center"/>
          </w:tcPr>
          <w:p>
            <w:r>
              <w:rPr>
                <w:rFonts w:ascii="Calibri" w:hAnsi="Calibri" w:eastAsia="Calibri"/>
                <w:b w:val="0"/>
                <w:i w:val="0"/>
                <w:color w:val="000000"/>
                <w:sz w:val="16"/>
              </w:rPr>
              <w:t>P_j</w:t>
            </w:r>
          </w:p>
        </w:tc>
        <w:tc>
          <w:tcPr>
            <w:tcW w:type="dxa" w:w="2050"/>
            <w:tcMar>
              <w:top w:w="80" w:type="dxa"/>
              <w:start w:w="120" w:type="dxa"/>
              <w:bottom w:w="80" w:type="dxa"/>
              <w:end w:w="120" w:type="dxa"/>
            </w:tcMar>
            <w:vAlign w:val="center"/>
          </w:tcPr>
          <w:p>
            <w:r>
              <w:rPr>
                <w:rFonts w:ascii="Calibri" w:hAnsi="Calibri" w:eastAsia="Calibri"/>
                <w:b w:val="0"/>
                <w:i w:val="0"/>
                <w:color w:val="000000"/>
                <w:sz w:val="16"/>
              </w:rPr>
              <w:t>0..10</w:t>
            </w:r>
          </w:p>
        </w:tc>
        <w:tc>
          <w:tcPr>
            <w:tcW w:type="dxa" w:w="6110"/>
            <w:tcMar>
              <w:top w:w="80" w:type="dxa"/>
              <w:start w:w="120" w:type="dxa"/>
              <w:bottom w:w="80" w:type="dxa"/>
              <w:end w:w="120" w:type="dxa"/>
            </w:tcMar>
            <w:vAlign w:val="center"/>
          </w:tcPr>
          <w:p>
            <w:r>
              <w:rPr>
                <w:rFonts w:ascii="Calibri" w:hAnsi="Calibri" w:eastAsia="Calibri"/>
                <w:b w:val="0"/>
                <w:i w:val="0"/>
                <w:color w:val="000000"/>
                <w:sz w:val="16"/>
              </w:rPr>
              <w:t>Decayed activity of threat group j</w:t>
            </w:r>
          </w:p>
        </w:tc>
      </w:tr>
    </w:tbl>
    <w:p>
      <w:pPr>
        <w:spacing w:after="0"/>
      </w:pPr>
    </w:p>
    <w:p>
      <w:pPr>
        <w:pStyle w:val="Heading3"/>
      </w:pPr>
      <w:r>
        <w:t>Freshness and source reliability</w:t>
      </w:r>
    </w:p>
    <w:p>
      <w:pPr>
        <w:pStyle w:val="CodeBlock"/>
        <w:keepLines/>
      </w:pPr>
      <w:r>
        <w:t>lambda = ln(2) / h</w:t>
      </w:r>
    </w:p>
    <w:p>
      <w:pPr>
        <w:pStyle w:val="CodeBlock"/>
        <w:keepLines/>
      </w:pPr>
      <w:r>
        <w:t>w_time(a,h) = exp(-lambda * max(a,0))</w:t>
      </w:r>
    </w:p>
    <w:p>
      <w:pPr>
        <w:pStyle w:val="CodeBlock"/>
        <w:keepLines/>
      </w:pPr>
      <w:r>
        <w:t>s_norm = s_raw * c_src * w_time(a,h)</w:t>
      </w:r>
    </w:p>
    <w:p>
      <w:pPr>
        <w:pStyle w:val="CodeBlock"/>
        <w:keepLines/>
      </w:pPr>
      <w:r/>
    </w:p>
    <w:p>
      <w:pPr>
        <w:pStyle w:val="CodeBlock"/>
        <w:keepLines/>
      </w:pPr>
      <w:r>
        <w:t>Invariant: w_time(0,h)=1 and w_time(h,h)=0.5</w:t>
      </w:r>
    </w:p>
    <w:p>
      <w:r>
        <w:rPr>
          <w:rFonts w:ascii="Calibri" w:hAnsi="Calibri" w:eastAsia="Calibri"/>
          <w:b w:val="0"/>
          <w:i w:val="0"/>
          <w:color w:val="000000"/>
          <w:sz w:val="22"/>
        </w:rPr>
        <w:t>The half-life parameter makes the decay interpretable and monotone: older evidence never gains weight, and every h days the temporal contribution halves. The implementation does not delete old evidence; it reduces its contribution to the current score.</w:t>
      </w:r>
    </w:p>
    <w:p>
      <w:pPr>
        <w:pStyle w:val="Heading3"/>
      </w:pPr>
      <w:r>
        <w:t>Threat activity and sector pressure</w:t>
      </w:r>
    </w:p>
    <w:p>
      <w:pPr>
        <w:pStyle w:val="CodeBlock"/>
        <w:keepLines/>
      </w:pPr>
      <w:r>
        <w:t>A(n) = min(10, 3.3 * log10(max(n,1)))</w:t>
      </w:r>
    </w:p>
    <w:p>
      <w:pPr>
        <w:pStyle w:val="CodeBlock"/>
        <w:keepLines/>
      </w:pPr>
      <w:r>
        <w:t>b(r) = 1.3 if age_hours &lt; 1; 1.1 if age_hours &lt; 6; otherwise 1</w:t>
      </w:r>
    </w:p>
    <w:p>
      <w:pPr>
        <w:pStyle w:val="CodeBlock"/>
        <w:keepLines/>
      </w:pPr>
      <w:r>
        <w:t>P_j = min(10, A(n_j) * b(r_j) * exp(-ln(2) * age_days_j / 7))</w:t>
      </w:r>
    </w:p>
    <w:p>
      <w:pPr>
        <w:pStyle w:val="CodeBlock"/>
        <w:keepLines/>
      </w:pPr>
      <w:r>
        <w:t>P_sector = min(10, 0.60 * max_j(P_j) + 0.40 * mean_j(P_j))</w:t>
      </w:r>
    </w:p>
    <w:p>
      <w:r>
        <w:rPr>
          <w:rFonts w:ascii="Calibri" w:hAnsi="Calibri" w:eastAsia="Calibri"/>
          <w:b w:val="0"/>
          <w:i w:val="0"/>
          <w:color w:val="000000"/>
          <w:sz w:val="22"/>
        </w:rPr>
        <w:t>The logarithm compresses burst volume, the recency multiplier distinguishes current activity, and the max/mean blend preserves both the dominant threat and the breadth of targeting. Groups with fewer than two observations are not persisted as pressure groups.</w:t>
      </w:r>
    </w:p>
    <w:p>
      <w:pPr>
        <w:pStyle w:val="Heading3"/>
      </w:pPr>
      <w:r>
        <w:t>Five-dimension exposure score</w:t>
      </w:r>
    </w:p>
    <w:p>
      <w:pPr>
        <w:pStyle w:val="CodeBlock"/>
        <w:keepLines/>
      </w:pPr>
      <w:r>
        <w:t>E_signal = 0.50*D1 + 0.30*D2 + 0.20*D3</w:t>
      </w:r>
    </w:p>
    <w:p>
      <w:pPr>
        <w:pStyle w:val="CodeBlock"/>
        <w:keepLines/>
      </w:pPr>
      <w:r>
        <w:t>E_floor  = 0.20*D4</w:t>
      </w:r>
    </w:p>
    <w:p>
      <w:pPr>
        <w:pStyle w:val="CodeBlock"/>
        <w:keepLines/>
      </w:pPr>
      <w:r>
        <w:t>E_base   = max(E_signal, E_floor)</w:t>
      </w:r>
    </w:p>
    <w:p>
      <w:pPr>
        <w:pStyle w:val="CodeBlock"/>
        <w:keepLines/>
      </w:pPr>
      <w:r>
        <w:t>M_impact = 0.75 + 0.00125*D4 + 0.00125*D5</w:t>
      </w:r>
    </w:p>
    <w:p>
      <w:pPr>
        <w:pStyle w:val="CodeBlock"/>
        <w:keepLines/>
      </w:pPr>
      <w:r>
        <w:t>Risk     = min(100, E_base * M_impact)</w:t>
      </w:r>
    </w:p>
    <w:p>
      <w:r>
        <w:rPr>
          <w:rFonts w:ascii="Calibri" w:hAnsi="Calibri" w:eastAsia="Calibri"/>
          <w:b w:val="0"/>
          <w:i w:val="0"/>
          <w:color w:val="000000"/>
          <w:sz w:val="22"/>
        </w:rPr>
        <w:t>For D4,D5 in [0,100], M_impact is bounded in [0.75,1.00]. Risk is bounded in [0,100], is monotone non-decreasing in every dimension, and cannot be zero solely because direct threat evidence is absent when attack-surface exposure exists. Operational labels are LOW &lt;40, MEDIUM 40-59, HIGH 60-79, and CRITICAL 80-100.</w:t>
      </w:r>
    </w:p>
    <w:p>
      <w:pPr>
        <w:pStyle w:val="Heading3"/>
      </w:pPr>
      <w:r>
        <w:t>Executable algorithm</w:t>
      </w:r>
    </w:p>
    <w:p>
      <w:pPr>
        <w:pStyle w:val="CodeBlock"/>
        <w:keepLines/>
      </w:pPr>
      <w:r>
        <w:t>CORE-SCORE(evidence, customer):</w:t>
      </w:r>
    </w:p>
    <w:p>
      <w:pPr>
        <w:pStyle w:val="CodeBlock"/>
        <w:keepLines/>
      </w:pPr>
      <w:r>
        <w:t xml:space="preserve">  1. validate scope, tenant and provenance</w:t>
      </w:r>
    </w:p>
    <w:p>
      <w:pPr>
        <w:pStyle w:val="CodeBlock"/>
        <w:keepLines/>
      </w:pPr>
      <w:r>
        <w:t xml:space="preserve">  2. normalize and deduplicate evidence</w:t>
      </w:r>
    </w:p>
    <w:p>
      <w:pPr>
        <w:pStyle w:val="CodeBlock"/>
        <w:keepLines/>
      </w:pPr>
      <w:r>
        <w:t xml:space="preserve">  3. for each item: apply source confidence and half-life decay</w:t>
      </w:r>
    </w:p>
    <w:p>
      <w:pPr>
        <w:pStyle w:val="CodeBlock"/>
        <w:keepLines/>
      </w:pPr>
      <w:r>
        <w:t xml:space="preserve">  4. group current observations; compute P_j and P_sector</w:t>
      </w:r>
    </w:p>
    <w:p>
      <w:pPr>
        <w:pStyle w:val="CodeBlock"/>
        <w:keepLines/>
      </w:pPr>
      <w:r>
        <w:t xml:space="preserve">  5. correlate exact customer assets and compute D1..D5</w:t>
      </w:r>
    </w:p>
    <w:p>
      <w:pPr>
        <w:pStyle w:val="CodeBlock"/>
        <w:keepLines/>
      </w:pPr>
      <w:r>
        <w:t xml:space="preserve">  6. compute E_base, M_impact and bounded Risk</w:t>
      </w:r>
    </w:p>
    <w:p>
      <w:pPr>
        <w:pStyle w:val="CodeBlock"/>
        <w:keepLines/>
      </w:pPr>
      <w:r>
        <w:t xml:space="preserve">  7. persist finding, SLA/remediation state and score history</w:t>
      </w:r>
    </w:p>
    <w:p>
      <w:pPr>
        <w:pStyle w:val="CodeBlock"/>
        <w:keepLines/>
      </w:pPr>
      <w:r>
        <w:t xml:space="preserve">  8. emit reviewed alerts, reports, STIX or SIEM output</w:t>
      </w:r>
    </w:p>
    <w:tbl>
      <w:tblPr>
        <w:tblStyle w:val="TableGrid"/>
        <w:tblW w:type="dxa" w:w="9360"/>
        <w:tblLayout w:type="fixed"/>
        <w:tblLook w:firstColumn="1" w:firstRow="1" w:lastColumn="0" w:lastRow="0" w:noHBand="0" w:noVBand="1" w:val="04A0"/>
        <w:jc w:val="left"/>
        <w:tblInd w:w="120" w:type="dxa"/>
      </w:tblPr>
      <w:tblGrid>
        <w:gridCol w:w="2200"/>
        <w:gridCol w:w="7160"/>
      </w:tblGrid>
      <w:tr>
        <w:trPr>
          <w:tblHeader w:val="true"/>
        </w:trPr>
        <w:tc>
          <w:tcPr>
            <w:tcW w:type="dxa" w:w="2200"/>
            <w:tcMar>
              <w:top w:w="80" w:type="dxa"/>
              <w:start w:w="120" w:type="dxa"/>
              <w:bottom w:w="80" w:type="dxa"/>
              <w:end w:w="120" w:type="dxa"/>
            </w:tcMar>
            <w:vAlign w:val="center"/>
            <w:shd w:fill="E8EEF5"/>
          </w:tcPr>
          <w:p>
            <w:r>
              <w:rPr>
                <w:rFonts w:ascii="Calibri" w:hAnsi="Calibri" w:eastAsia="Calibri"/>
                <w:b/>
                <w:i w:val="0"/>
                <w:color w:val="1F4D78"/>
                <w:sz w:val="16"/>
              </w:rPr>
              <w:t>Property</w:t>
            </w:r>
          </w:p>
        </w:tc>
        <w:tc>
          <w:tcPr>
            <w:tcW w:type="dxa" w:w="7160"/>
            <w:tcMar>
              <w:top w:w="80" w:type="dxa"/>
              <w:start w:w="120" w:type="dxa"/>
              <w:bottom w:w="80" w:type="dxa"/>
              <w:end w:w="120" w:type="dxa"/>
            </w:tcMar>
            <w:vAlign w:val="center"/>
            <w:shd w:fill="E8EEF5"/>
          </w:tcPr>
          <w:p>
            <w:r>
              <w:rPr>
                <w:rFonts w:ascii="Calibri" w:hAnsi="Calibri" w:eastAsia="Calibri"/>
                <w:b/>
                <w:i w:val="0"/>
                <w:color w:val="1F4D78"/>
                <w:sz w:val="16"/>
              </w:rPr>
              <w:t>Result</w:t>
            </w:r>
          </w:p>
        </w:tc>
      </w:tr>
      <w:tr>
        <w:tc>
          <w:tcPr>
            <w:tcW w:type="dxa" w:w="2200"/>
            <w:tcMar>
              <w:top w:w="80" w:type="dxa"/>
              <w:start w:w="120" w:type="dxa"/>
              <w:bottom w:w="80" w:type="dxa"/>
              <w:end w:w="120" w:type="dxa"/>
            </w:tcMar>
            <w:vAlign w:val="center"/>
          </w:tcPr>
          <w:p>
            <w:r>
              <w:rPr>
                <w:rFonts w:ascii="Calibri" w:hAnsi="Calibri" w:eastAsia="Calibri"/>
                <w:b w:val="0"/>
                <w:i w:val="0"/>
                <w:color w:val="000000"/>
                <w:sz w:val="16"/>
              </w:rPr>
              <w:t>Determinism</w:t>
            </w:r>
          </w:p>
        </w:tc>
        <w:tc>
          <w:tcPr>
            <w:tcW w:type="dxa" w:w="7160"/>
            <w:tcMar>
              <w:top w:w="80" w:type="dxa"/>
              <w:start w:w="120" w:type="dxa"/>
              <w:bottom w:w="80" w:type="dxa"/>
              <w:end w:w="120" w:type="dxa"/>
            </w:tcMar>
            <w:vAlign w:val="center"/>
          </w:tcPr>
          <w:p>
            <w:r>
              <w:rPr>
                <w:rFonts w:ascii="Calibri" w:hAnsi="Calibri" w:eastAsia="Calibri"/>
                <w:b w:val="0"/>
                <w:i w:val="0"/>
                <w:color w:val="000000"/>
                <w:sz w:val="16"/>
              </w:rPr>
              <w:t>Same stored evidence, customer assets, configuration, and time reference produce the same score</w:t>
            </w:r>
          </w:p>
        </w:tc>
      </w:tr>
      <w:tr>
        <w:tc>
          <w:tcPr>
            <w:tcW w:type="dxa" w:w="2200"/>
            <w:tcMar>
              <w:top w:w="80" w:type="dxa"/>
              <w:start w:w="120" w:type="dxa"/>
              <w:bottom w:w="80" w:type="dxa"/>
              <w:end w:w="120" w:type="dxa"/>
            </w:tcMar>
            <w:vAlign w:val="center"/>
          </w:tcPr>
          <w:p>
            <w:r>
              <w:rPr>
                <w:rFonts w:ascii="Calibri" w:hAnsi="Calibri" w:eastAsia="Calibri"/>
                <w:b w:val="0"/>
                <w:i w:val="0"/>
                <w:color w:val="000000"/>
                <w:sz w:val="16"/>
              </w:rPr>
              <w:t>Boundedness</w:t>
            </w:r>
          </w:p>
        </w:tc>
        <w:tc>
          <w:tcPr>
            <w:tcW w:type="dxa" w:w="7160"/>
            <w:tcMar>
              <w:top w:w="80" w:type="dxa"/>
              <w:start w:w="120" w:type="dxa"/>
              <w:bottom w:w="80" w:type="dxa"/>
              <w:end w:w="120" w:type="dxa"/>
            </w:tcMar>
            <w:vAlign w:val="center"/>
          </w:tcPr>
          <w:p>
            <w:r>
              <w:rPr>
                <w:rFonts w:ascii="Calibri" w:hAnsi="Calibri" w:eastAsia="Calibri"/>
                <w:b w:val="0"/>
                <w:i w:val="0"/>
                <w:color w:val="000000"/>
                <w:sz w:val="16"/>
              </w:rPr>
              <w:t>Pressure &lt;=10 and final Risk &lt;=100</w:t>
            </w:r>
          </w:p>
        </w:tc>
      </w:tr>
      <w:tr>
        <w:tc>
          <w:tcPr>
            <w:tcW w:type="dxa" w:w="2200"/>
            <w:tcMar>
              <w:top w:w="80" w:type="dxa"/>
              <w:start w:w="120" w:type="dxa"/>
              <w:bottom w:w="80" w:type="dxa"/>
              <w:end w:w="120" w:type="dxa"/>
            </w:tcMar>
            <w:vAlign w:val="center"/>
          </w:tcPr>
          <w:p>
            <w:r>
              <w:rPr>
                <w:rFonts w:ascii="Calibri" w:hAnsi="Calibri" w:eastAsia="Calibri"/>
                <w:b w:val="0"/>
                <w:i w:val="0"/>
                <w:color w:val="000000"/>
                <w:sz w:val="16"/>
              </w:rPr>
              <w:t>Dominant runtime</w:t>
            </w:r>
          </w:p>
        </w:tc>
        <w:tc>
          <w:tcPr>
            <w:tcW w:type="dxa" w:w="7160"/>
            <w:tcMar>
              <w:top w:w="80" w:type="dxa"/>
              <w:start w:w="120" w:type="dxa"/>
              <w:bottom w:w="80" w:type="dxa"/>
              <w:end w:w="120" w:type="dxa"/>
            </w:tcMar>
            <w:vAlign w:val="center"/>
          </w:tcPr>
          <w:p>
            <w:r>
              <w:rPr>
                <w:rFonts w:ascii="Calibri" w:hAnsi="Calibri" w:eastAsia="Calibri"/>
                <w:b w:val="0"/>
                <w:i w:val="0"/>
                <w:color w:val="000000"/>
                <w:sz w:val="16"/>
              </w:rPr>
              <w:t>Linear in evidence processed plus datastore query/index costs; scoring arithmetic is O(N)</w:t>
            </w:r>
          </w:p>
        </w:tc>
      </w:tr>
      <w:tr>
        <w:tc>
          <w:tcPr>
            <w:tcW w:type="dxa" w:w="2200"/>
            <w:tcMar>
              <w:top w:w="80" w:type="dxa"/>
              <w:start w:w="120" w:type="dxa"/>
              <w:bottom w:w="80" w:type="dxa"/>
              <w:end w:w="120" w:type="dxa"/>
            </w:tcMar>
            <w:vAlign w:val="center"/>
          </w:tcPr>
          <w:p>
            <w:r>
              <w:rPr>
                <w:rFonts w:ascii="Calibri" w:hAnsi="Calibri" w:eastAsia="Calibri"/>
                <w:b w:val="0"/>
                <w:i w:val="0"/>
                <w:color w:val="000000"/>
                <w:sz w:val="16"/>
              </w:rPr>
              <w:t>Calibration boundary</w:t>
            </w:r>
          </w:p>
        </w:tc>
        <w:tc>
          <w:tcPr>
            <w:tcW w:type="dxa" w:w="7160"/>
            <w:tcMar>
              <w:top w:w="80" w:type="dxa"/>
              <w:start w:w="120" w:type="dxa"/>
              <w:bottom w:w="80" w:type="dxa"/>
              <w:end w:w="120" w:type="dxa"/>
            </w:tcMar>
            <w:vAlign w:val="center"/>
          </w:tcPr>
          <w:p>
            <w:r>
              <w:rPr>
                <w:rFonts w:ascii="Calibri" w:hAnsi="Calibri" w:eastAsia="Calibri"/>
                <w:b w:val="0"/>
                <w:i w:val="0"/>
                <w:color w:val="000000"/>
                <w:sz w:val="16"/>
              </w:rPr>
              <w:t>Weights and thresholds are engineering policy constants, not fitted probabilities</w:t>
            </w:r>
          </w:p>
        </w:tc>
      </w:tr>
    </w:tbl>
    <w:p>
      <w:pPr>
        <w:spacing w:after="0"/>
      </w:pPr>
    </w:p>
    <w:p>
      <w:pPr>
        <w:pStyle w:val="Heading3"/>
      </w:pPr>
      <w:r>
        <w:t>Research and standards basis</w:t>
      </w:r>
    </w:p>
    <w:p>
      <w:r>
        <w:rPr>
          <w:rFonts w:ascii="Calibri" w:hAnsi="Calibri" w:eastAsia="Calibri"/>
          <w:b w:val="0"/>
          <w:i w:val="0"/>
          <w:color w:val="000000"/>
          <w:sz w:val="22"/>
        </w:rPr>
        <w:t>NIST SP 800-30 supports explicit treatment of threat sources, vulnerabilities, likelihood and impact, while temporal-information-retrieval research supports time-aware weighting. Neither source specifies Argus's exact coefficients; the formula is an auditable implementation policy that still requires organization-specific validation and sensitivity analysis.</w:t>
      </w:r>
    </w:p>
    <w:p>
      <w:pPr>
        <w:pStyle w:val="ListBullet"/>
      </w:pPr>
      <w:hyperlink r:id="rId13">
        <w:r>
          <w:rPr>
            <w:color w:val="2E74B5"/>
            <w:u w:val="single"/>
          </w:rPr>
          <w:t>NIST SP 800-30 Rev. 1 — Guide for Conducting Risk Assessments</w:t>
        </w:r>
      </w:hyperlink>
    </w:p>
    <w:p>
      <w:pPr>
        <w:pStyle w:val="ListBullet"/>
      </w:pPr>
      <w:hyperlink r:id="rId14">
        <w:r>
          <w:rPr>
            <w:color w:val="2E74B5"/>
            <w:u w:val="single"/>
          </w:rPr>
          <w:t>Campos et al. — Temporal Information Retrieval</w:t>
        </w:r>
      </w:hyperlink>
    </w:p>
    <w:p>
      <w:pPr>
        <w:pStyle w:val="Heading2"/>
      </w:pPr>
      <w:r>
        <w:t>OSINT investigation</w:t>
      </w:r>
    </w:p>
    <w:p>
      <w:pPr>
        <w:jc w:val="center"/>
      </w:pPr>
      <w:r>
        <w:drawing>
          <wp:inline xmlns:a="http://schemas.openxmlformats.org/drawingml/2006/main" xmlns:pic="http://schemas.openxmlformats.org/drawingml/2006/picture">
            <wp:extent cx="5623560" cy="7487368"/>
            <wp:docPr id="3" name="osint-investigation-flow" descr="Figure 3. Profile-aware OSINT investigation and verification path."/>
            <wp:cNvGraphicFramePr>
              <a:graphicFrameLocks noChangeAspect="1"/>
            </wp:cNvGraphicFramePr>
            <a:graphic>
              <a:graphicData uri="http://schemas.openxmlformats.org/drawingml/2006/picture">
                <pic:pic>
                  <pic:nvPicPr>
                    <pic:cNvPr id="0" name="osint-investigation-flow.png"/>
                    <pic:cNvPicPr/>
                  </pic:nvPicPr>
                  <pic:blipFill>
                    <a:blip r:embed="rId15">
                      <a:extLst>
                        <a:ext uri="{96DAC541-7B7A-43D3-8B79-37D633B846F1}">
                          <asvg:svgBlip xmlns:asvg="http://schemas.microsoft.com/office/drawing/2016/SVG/main" r:embed="rIdSvg3"/>
                        </a:ext>
                      </a:extLst>
                    </a:blip>
                    <a:stretch>
                      <a:fillRect/>
                    </a:stretch>
                  </pic:blipFill>
                  <pic:spPr>
                    <a:xfrm>
                      <a:off x="0" y="0"/>
                      <a:ext cx="5623560" cy="7487368"/>
                    </a:xfrm>
                    <a:prstGeom prst="rect"/>
                  </pic:spPr>
                </pic:pic>
              </a:graphicData>
            </a:graphic>
          </wp:inline>
        </w:drawing>
      </w:r>
    </w:p>
    <w:p>
      <w:pPr>
        <w:spacing w:after="160"/>
        <w:jc w:val="center"/>
      </w:pPr>
      <w:r>
        <w:rPr>
          <w:rFonts w:ascii="Calibri" w:hAnsi="Calibri" w:eastAsia="Calibri"/>
          <w:b w:val="0"/>
          <w:i/>
          <w:color w:val="666666"/>
          <w:sz w:val="16"/>
        </w:rPr>
        <w:t>Figure 3. Profile-aware OSINT investigation and verification path.</w:t>
      </w:r>
      <w:r>
        <w:br w:type="page"/>
      </w:r>
    </w:p>
    <w:p>
      <w:pPr>
        <w:pStyle w:val="Heading2"/>
      </w:pPr>
      <w:r>
        <w:t>Flow-aligned mathematical algorithm and specification</w:t>
      </w:r>
    </w:p>
    <w:p>
      <w:r>
        <w:rPr>
          <w:rFonts w:ascii="Calibri" w:hAnsi="Calibri" w:eastAsia="Calibri"/>
          <w:b w:val="0"/>
          <w:i w:val="0"/>
          <w:color w:val="000000"/>
          <w:sz w:val="22"/>
        </w:rPr>
        <w:t>The OSINT mathematics maps the flowchart's subject profile, direct checks, response verification, evidence chain, confidence tier, correlation, and analyst-review stages. Scores rank evidence; they do not prove identity.</w:t>
      </w:r>
    </w:p>
    <w:p>
      <w:pPr>
        <w:pStyle w:val="Heading3"/>
      </w:pPr>
      <w:r>
        <w:t>Subject evidence and profile-strength priors</w:t>
      </w:r>
    </w:p>
    <w:p>
      <w:pPr>
        <w:pStyle w:val="CodeBlock"/>
        <w:keepLines/>
      </w:pPr>
      <w:r>
        <w:t>S_subject = min(100, sum_j w_j * I_j)</w:t>
      </w:r>
    </w:p>
    <w:p>
      <w:pPr>
        <w:pStyle w:val="CodeBlock"/>
        <w:keepLines/>
      </w:pPr>
      <w:r>
        <w:t>I_j = 1 when the normalized candidate contains the supplied attribute, else 0</w:t>
      </w:r>
    </w:p>
    <w:tbl>
      <w:tblPr>
        <w:tblStyle w:val="TableGrid"/>
        <w:tblW w:type="dxa" w:w="9360"/>
        <w:tblLayout w:type="fixed"/>
        <w:tblLook w:firstColumn="1" w:firstRow="1" w:lastColumn="0" w:lastRow="0" w:noHBand="0" w:noVBand="1" w:val="04A0"/>
        <w:jc w:val="left"/>
        <w:tblInd w:w="120" w:type="dxa"/>
      </w:tblPr>
      <w:tblGrid>
        <w:gridCol w:w="4200"/>
        <w:gridCol w:w="5160"/>
      </w:tblGrid>
      <w:tr>
        <w:trPr>
          <w:tblHeader w:val="true"/>
        </w:trPr>
        <w:tc>
          <w:tcPr>
            <w:tcW w:type="dxa" w:w="4200"/>
            <w:tcMar>
              <w:top w:w="80" w:type="dxa"/>
              <w:start w:w="120" w:type="dxa"/>
              <w:bottom w:w="80" w:type="dxa"/>
              <w:end w:w="120" w:type="dxa"/>
            </w:tcMar>
            <w:vAlign w:val="center"/>
            <w:shd w:fill="E8EEF5"/>
          </w:tcPr>
          <w:p>
            <w:r>
              <w:rPr>
                <w:rFonts w:ascii="Calibri" w:hAnsi="Calibri" w:eastAsia="Calibri"/>
                <w:b/>
                <w:i w:val="0"/>
                <w:color w:val="1F4D78"/>
                <w:sz w:val="16"/>
              </w:rPr>
              <w:t>Matched signal</w:t>
            </w:r>
          </w:p>
        </w:tc>
        <w:tc>
          <w:tcPr>
            <w:tcW w:type="dxa" w:w="5160"/>
            <w:tcMar>
              <w:top w:w="80" w:type="dxa"/>
              <w:start w:w="120" w:type="dxa"/>
              <w:bottom w:w="80" w:type="dxa"/>
              <w:end w:w="120" w:type="dxa"/>
            </w:tcMar>
            <w:vAlign w:val="center"/>
            <w:shd w:fill="E8EEF5"/>
          </w:tcPr>
          <w:p>
            <w:r>
              <w:rPr>
                <w:rFonts w:ascii="Calibri" w:hAnsi="Calibri" w:eastAsia="Calibri"/>
                <w:b/>
                <w:i w:val="0"/>
                <w:color w:val="1F4D78"/>
                <w:sz w:val="16"/>
              </w:rPr>
              <w:t>Implemented weight</w:t>
            </w:r>
          </w:p>
        </w:tc>
      </w:tr>
      <w:tr>
        <w:tc>
          <w:tcPr>
            <w:tcW w:type="dxa" w:w="4200"/>
            <w:tcMar>
              <w:top w:w="80" w:type="dxa"/>
              <w:start w:w="120" w:type="dxa"/>
              <w:bottom w:w="80" w:type="dxa"/>
              <w:end w:w="120" w:type="dxa"/>
            </w:tcMar>
            <w:vAlign w:val="center"/>
          </w:tcPr>
          <w:p>
            <w:r>
              <w:rPr>
                <w:rFonts w:ascii="Calibri" w:hAnsi="Calibri" w:eastAsia="Calibri"/>
                <w:b w:val="0"/>
                <w:i w:val="0"/>
                <w:color w:val="000000"/>
                <w:sz w:val="16"/>
              </w:rPr>
              <w:t>Email; phone</w:t>
            </w:r>
          </w:p>
        </w:tc>
        <w:tc>
          <w:tcPr>
            <w:tcW w:type="dxa" w:w="5160"/>
            <w:tcMar>
              <w:top w:w="80" w:type="dxa"/>
              <w:start w:w="120" w:type="dxa"/>
              <w:bottom w:w="80" w:type="dxa"/>
              <w:end w:w="120" w:type="dxa"/>
            </w:tcMar>
            <w:vAlign w:val="center"/>
          </w:tcPr>
          <w:p>
            <w:r>
              <w:rPr>
                <w:rFonts w:ascii="Calibri" w:hAnsi="Calibri" w:eastAsia="Calibri"/>
                <w:b w:val="0"/>
                <w:i w:val="0"/>
                <w:color w:val="000000"/>
                <w:sz w:val="16"/>
              </w:rPr>
              <w:t>+30 each (first match of each type)</w:t>
            </w:r>
          </w:p>
        </w:tc>
      </w:tr>
      <w:tr>
        <w:tc>
          <w:tcPr>
            <w:tcW w:type="dxa" w:w="4200"/>
            <w:tcMar>
              <w:top w:w="80" w:type="dxa"/>
              <w:start w:w="120" w:type="dxa"/>
              <w:bottom w:w="80" w:type="dxa"/>
              <w:end w:w="120" w:type="dxa"/>
            </w:tcMar>
            <w:vAlign w:val="center"/>
          </w:tcPr>
          <w:p>
            <w:r>
              <w:rPr>
                <w:rFonts w:ascii="Calibri" w:hAnsi="Calibri" w:eastAsia="Calibri"/>
                <w:b w:val="0"/>
                <w:i w:val="0"/>
                <w:color w:val="000000"/>
                <w:sz w:val="16"/>
              </w:rPr>
              <w:t>Workplace; company</w:t>
            </w:r>
          </w:p>
        </w:tc>
        <w:tc>
          <w:tcPr>
            <w:tcW w:type="dxa" w:w="5160"/>
            <w:tcMar>
              <w:top w:w="80" w:type="dxa"/>
              <w:start w:w="120" w:type="dxa"/>
              <w:bottom w:w="80" w:type="dxa"/>
              <w:end w:w="120" w:type="dxa"/>
            </w:tcMar>
            <w:vAlign w:val="center"/>
          </w:tcPr>
          <w:p>
            <w:r>
              <w:rPr>
                <w:rFonts w:ascii="Calibri" w:hAnsi="Calibri" w:eastAsia="Calibri"/>
                <w:b w:val="0"/>
                <w:i w:val="0"/>
                <w:color w:val="000000"/>
                <w:sz w:val="16"/>
              </w:rPr>
              <w:t>+25; +20 (company counted once)</w:t>
            </w:r>
          </w:p>
        </w:tc>
      </w:tr>
      <w:tr>
        <w:tc>
          <w:tcPr>
            <w:tcW w:type="dxa" w:w="4200"/>
            <w:tcMar>
              <w:top w:w="80" w:type="dxa"/>
              <w:start w:w="120" w:type="dxa"/>
              <w:bottom w:w="80" w:type="dxa"/>
              <w:end w:w="120" w:type="dxa"/>
            </w:tcMar>
            <w:vAlign w:val="center"/>
          </w:tcPr>
          <w:p>
            <w:r>
              <w:rPr>
                <w:rFonts w:ascii="Calibri" w:hAnsi="Calibri" w:eastAsia="Calibri"/>
                <w:b w:val="0"/>
                <w:i w:val="0"/>
                <w:color w:val="000000"/>
                <w:sz w:val="16"/>
              </w:rPr>
              <w:t>Education; occupation; industry</w:t>
            </w:r>
          </w:p>
        </w:tc>
        <w:tc>
          <w:tcPr>
            <w:tcW w:type="dxa" w:w="5160"/>
            <w:tcMar>
              <w:top w:w="80" w:type="dxa"/>
              <w:start w:w="120" w:type="dxa"/>
              <w:bottom w:w="80" w:type="dxa"/>
              <w:end w:w="120" w:type="dxa"/>
            </w:tcMar>
            <w:vAlign w:val="center"/>
          </w:tcPr>
          <w:p>
            <w:r>
              <w:rPr>
                <w:rFonts w:ascii="Calibri" w:hAnsi="Calibri" w:eastAsia="Calibri"/>
                <w:b w:val="0"/>
                <w:i w:val="0"/>
                <w:color w:val="000000"/>
                <w:sz w:val="16"/>
              </w:rPr>
              <w:t>+20; +15; +10</w:t>
            </w:r>
          </w:p>
        </w:tc>
      </w:tr>
      <w:tr>
        <w:tc>
          <w:tcPr>
            <w:tcW w:type="dxa" w:w="4200"/>
            <w:tcMar>
              <w:top w:w="80" w:type="dxa"/>
              <w:start w:w="120" w:type="dxa"/>
              <w:bottom w:w="80" w:type="dxa"/>
              <w:end w:w="120" w:type="dxa"/>
            </w:tcMar>
            <w:vAlign w:val="center"/>
          </w:tcPr>
          <w:p>
            <w:r>
              <w:rPr>
                <w:rFonts w:ascii="Calibri" w:hAnsi="Calibri" w:eastAsia="Calibri"/>
                <w:b w:val="0"/>
                <w:i w:val="0"/>
                <w:color w:val="000000"/>
                <w:sz w:val="16"/>
              </w:rPr>
              <w:t>City; state; non-obvious country</w:t>
            </w:r>
          </w:p>
        </w:tc>
        <w:tc>
          <w:tcPr>
            <w:tcW w:type="dxa" w:w="5160"/>
            <w:tcMar>
              <w:top w:w="80" w:type="dxa"/>
              <w:start w:w="120" w:type="dxa"/>
              <w:bottom w:w="80" w:type="dxa"/>
              <w:end w:w="120" w:type="dxa"/>
            </w:tcMar>
            <w:vAlign w:val="center"/>
          </w:tcPr>
          <w:p>
            <w:r>
              <w:rPr>
                <w:rFonts w:ascii="Calibri" w:hAnsi="Calibri" w:eastAsia="Calibri"/>
                <w:b w:val="0"/>
                <w:i w:val="0"/>
                <w:color w:val="000000"/>
                <w:sz w:val="16"/>
              </w:rPr>
              <w:t>+20; +10; +5</w:t>
            </w:r>
          </w:p>
        </w:tc>
      </w:tr>
      <w:tr>
        <w:tc>
          <w:tcPr>
            <w:tcW w:type="dxa" w:w="4200"/>
            <w:tcMar>
              <w:top w:w="80" w:type="dxa"/>
              <w:start w:w="120" w:type="dxa"/>
              <w:bottom w:w="80" w:type="dxa"/>
              <w:end w:w="120" w:type="dxa"/>
            </w:tcMar>
            <w:vAlign w:val="center"/>
          </w:tcPr>
          <w:p>
            <w:r>
              <w:rPr>
                <w:rFonts w:ascii="Calibri" w:hAnsi="Calibri" w:eastAsia="Calibri"/>
                <w:b w:val="0"/>
                <w:i w:val="0"/>
                <w:color w:val="000000"/>
                <w:sz w:val="16"/>
              </w:rPr>
              <w:t>Full display name; known-profile cross-link</w:t>
            </w:r>
          </w:p>
        </w:tc>
        <w:tc>
          <w:tcPr>
            <w:tcW w:type="dxa" w:w="5160"/>
            <w:tcMar>
              <w:top w:w="80" w:type="dxa"/>
              <w:start w:w="120" w:type="dxa"/>
              <w:bottom w:w="80" w:type="dxa"/>
              <w:end w:w="120" w:type="dxa"/>
            </w:tcMar>
            <w:vAlign w:val="center"/>
          </w:tcPr>
          <w:p>
            <w:r>
              <w:rPr>
                <w:rFonts w:ascii="Calibri" w:hAnsi="Calibri" w:eastAsia="Calibri"/>
                <w:b w:val="0"/>
                <w:i w:val="0"/>
                <w:color w:val="000000"/>
                <w:sz w:val="16"/>
              </w:rPr>
              <w:t>+10; +20</w:t>
            </w:r>
          </w:p>
        </w:tc>
      </w:tr>
    </w:tbl>
    <w:p>
      <w:pPr>
        <w:spacing w:after="0"/>
      </w:pPr>
    </w:p>
    <w:p>
      <w:pPr>
        <w:pStyle w:val="CodeBlock"/>
        <w:keepLines/>
      </w:pPr>
      <w:r>
        <w:t>S_profile = min(100, 35*email + 30*phone + 15*photo + 20*username</w:t>
      </w:r>
    </w:p>
    <w:p>
      <w:pPr>
        <w:pStyle w:val="CodeBlock"/>
        <w:keepLines/>
      </w:pPr>
      <w:r>
        <w:t xml:space="preserve">                         + 15*workplace + 10*education + 10*city + 5*full_name)</w:t>
      </w:r>
    </w:p>
    <w:p>
      <w:pPr>
        <w:pStyle w:val="CodeBlock"/>
        <w:keepLines/>
      </w:pPr>
      <w:r>
        <w:t>STRONG &gt;=60; MODERATE 25..59; WEAK &lt;25</w:t>
      </w:r>
    </w:p>
    <w:p>
      <w:r>
        <w:rPr>
          <w:rFonts w:ascii="Calibri" w:hAnsi="Calibri" w:eastAsia="Calibri"/>
          <w:b w:val="0"/>
          <w:i w:val="0"/>
          <w:color w:val="000000"/>
          <w:sz w:val="22"/>
        </w:rPr>
        <w:t>All variables in S_profile are binary presence indicators. The score measures expected disambiguation power of the supplied input, not the probability that any result is correct.</w:t>
      </w:r>
    </w:p>
    <w:p>
      <w:pPr>
        <w:pStyle w:val="Heading3"/>
      </w:pPr>
      <w:r>
        <w:t>DOM soft-404 discrimination</w:t>
      </w:r>
    </w:p>
    <w:p>
      <w:pPr>
        <w:pStyle w:val="CodeBlock"/>
        <w:keepLines/>
      </w:pPr>
      <w:r>
        <w:t>For tag t, let f_A(t), f_B(t) be counts in the first 10 KB.</w:t>
      </w:r>
    </w:p>
    <w:p>
      <w:pPr>
        <w:pStyle w:val="CodeBlock"/>
        <w:keepLines/>
      </w:pPr>
      <w:r>
        <w:t>J_w(A,B) = sum_t min(f_A(t),f_B(t)) / sum_t max(f_A(t),f_B(t))</w:t>
      </w:r>
    </w:p>
    <w:p>
      <w:pPr>
        <w:pStyle w:val="CodeBlock"/>
        <w:keepLines/>
      </w:pPr>
      <w:r>
        <w:t>DOM differs when J_w &lt; 0.90</w:t>
      </w:r>
    </w:p>
    <w:p>
      <w:r>
        <w:rPr>
          <w:rFonts w:ascii="Calibri" w:hAnsi="Calibri" w:eastAsia="Calibri"/>
          <w:b w:val="0"/>
          <w:i w:val="0"/>
          <w:color w:val="000000"/>
          <w:sz w:val="22"/>
        </w:rPr>
        <w:t>This is a weighted multiset form of Jaccard similarity. A candidate page that closely resembles the calibrated nonexistent-account page is treated as soft-404 evidence rather than a confirmed profile.</w:t>
      </w:r>
    </w:p>
    <w:p>
      <w:pPr>
        <w:pStyle w:val="Heading3"/>
      </w:pPr>
      <w:r>
        <w:t>Rank prior and three-way decision</w:t>
      </w:r>
    </w:p>
    <w:p>
      <w:pPr>
        <w:pStyle w:val="CodeBlock"/>
        <w:keepLines/>
      </w:pPr>
      <w:r>
        <w:t>R_on(k)  = max(0, floor(35*(1-k/12)))</w:t>
      </w:r>
    </w:p>
    <w:p>
      <w:pPr>
        <w:pStyle w:val="CodeBlock"/>
        <w:keepLines/>
      </w:pPr>
      <w:r>
        <w:t>R_off(k) = max(0, floor(25*(1-k/12)))</w:t>
      </w:r>
    </w:p>
    <w:p>
      <w:pPr>
        <w:pStyle w:val="CodeBlock"/>
        <w:keepLines/>
      </w:pPr>
      <w:r>
        <w:t>Final rank = min(100, rank prior + documented attribute boosts)</w:t>
      </w:r>
    </w:p>
    <w:p>
      <w:pPr>
        <w:pStyle w:val="CodeBlock"/>
        <w:keepLines/>
      </w:pPr>
      <w:r/>
    </w:p>
    <w:p>
      <w:pPr>
        <w:pStyle w:val="CodeBlock"/>
        <w:keepLines/>
      </w:pPr>
      <w:r>
        <w:t>Decision = CONFIRMED/HIGH/MEDIUM/AMBIGUOUS/UNVERIFIED/NOT_FOUND</w:t>
      </w:r>
    </w:p>
    <w:p>
      <w:pPr>
        <w:pStyle w:val="CodeBlock"/>
        <w:keepLines/>
      </w:pPr>
      <w:r>
        <w:t>Thresholds = 95/75/50/30/1/0</w:t>
      </w:r>
    </w:p>
    <w:p>
      <w:r>
        <w:rPr>
          <w:rFonts w:ascii="Calibri" w:hAnsi="Calibri" w:eastAsia="Calibri"/>
          <w:b w:val="0"/>
          <w:i w:val="0"/>
          <w:color w:val="000000"/>
          <w:sz w:val="22"/>
        </w:rPr>
        <w:t>The evidence-chain gate separately records DEFINITIVE, HIGH, POSSIBLE, or UNLIKELY support. This preserves a link / possible-link / non-link style decision rather than forcing every response into a binary identity claim.</w:t>
      </w:r>
    </w:p>
    <w:p>
      <w:pPr>
        <w:pStyle w:val="Heading3"/>
      </w:pPr>
      <w:r>
        <w:t>Executable algorithm</w:t>
      </w:r>
    </w:p>
    <w:p>
      <w:pPr>
        <w:pStyle w:val="CodeBlock"/>
        <w:keepLines/>
      </w:pPr>
      <w:r>
        <w:t>OSINT-INVESTIGATE(profile):</w:t>
      </w:r>
    </w:p>
    <w:p>
      <w:pPr>
        <w:pStyle w:val="CodeBlock"/>
        <w:keepLines/>
      </w:pPr>
      <w:r>
        <w:t xml:space="preserve">  1. validate scope; compute permutations and S_profile</w:t>
      </w:r>
    </w:p>
    <w:p>
      <w:pPr>
        <w:pStyle w:val="CodeBlock"/>
        <w:keepLines/>
      </w:pPr>
      <w:r>
        <w:t xml:space="preserve">  2. run bounded direct-site, SERP and local-intelbase checks</w:t>
      </w:r>
    </w:p>
    <w:p>
      <w:pPr>
        <w:pStyle w:val="CodeBlock"/>
        <w:keepLines/>
      </w:pPr>
      <w:r>
        <w:t xml:space="preserve">  3. classify status, redirects, markers and WAF/challenge evidence</w:t>
      </w:r>
    </w:p>
    <w:p>
      <w:pPr>
        <w:pStyle w:val="CodeBlock"/>
        <w:keepLines/>
      </w:pPr>
      <w:r>
        <w:t xml:space="preserve">  4. compare candidate DOM with calibrated negative baseline</w:t>
      </w:r>
    </w:p>
    <w:p>
      <w:pPr>
        <w:pStyle w:val="CodeBlock"/>
        <w:keepLines/>
      </w:pPr>
      <w:r>
        <w:t xml:space="preserve">  5. extract metadata and compute S_subject plus evidence tier</w:t>
      </w:r>
    </w:p>
    <w:p>
      <w:pPr>
        <w:pStyle w:val="CodeBlock"/>
        <w:keepLines/>
      </w:pPr>
      <w:r>
        <w:t xml:space="preserve">  6. assign confidence class; keep negative and ambiguous evidence</w:t>
      </w:r>
    </w:p>
    <w:p>
      <w:pPr>
        <w:pStyle w:val="CodeBlock"/>
        <w:keepLines/>
      </w:pPr>
      <w:r>
        <w:t xml:space="preserve">  7. cluster cross-platform candidates and return bounded pivots</w:t>
      </w:r>
    </w:p>
    <w:p>
      <w:pPr>
        <w:pStyle w:val="CodeBlock"/>
        <w:keepLines/>
      </w:pPr>
      <w:r>
        <w:t xml:space="preserve">  8. require analyst review before attribution</w:t>
      </w:r>
    </w:p>
    <w:tbl>
      <w:tblPr>
        <w:tblStyle w:val="TableGrid"/>
        <w:tblW w:type="dxa" w:w="9360"/>
        <w:tblLayout w:type="fixed"/>
        <w:tblLook w:firstColumn="1" w:firstRow="1" w:lastColumn="0" w:lastRow="0" w:noHBand="0" w:noVBand="1" w:val="04A0"/>
        <w:jc w:val="left"/>
        <w:tblInd w:w="120" w:type="dxa"/>
      </w:tblPr>
      <w:tblGrid>
        <w:gridCol w:w="2200"/>
        <w:gridCol w:w="7160"/>
      </w:tblGrid>
      <w:tr>
        <w:trPr>
          <w:tblHeader w:val="true"/>
        </w:trPr>
        <w:tc>
          <w:tcPr>
            <w:tcW w:type="dxa" w:w="2200"/>
            <w:tcMar>
              <w:top w:w="80" w:type="dxa"/>
              <w:start w:w="120" w:type="dxa"/>
              <w:bottom w:w="80" w:type="dxa"/>
              <w:end w:w="120" w:type="dxa"/>
            </w:tcMar>
            <w:vAlign w:val="center"/>
            <w:shd w:fill="E8EEF5"/>
          </w:tcPr>
          <w:p>
            <w:r>
              <w:rPr>
                <w:rFonts w:ascii="Calibri" w:hAnsi="Calibri" w:eastAsia="Calibri"/>
                <w:b/>
                <w:i w:val="0"/>
                <w:color w:val="1F4D78"/>
                <w:sz w:val="16"/>
              </w:rPr>
              <w:t>Property</w:t>
            </w:r>
          </w:p>
        </w:tc>
        <w:tc>
          <w:tcPr>
            <w:tcW w:type="dxa" w:w="7160"/>
            <w:tcMar>
              <w:top w:w="80" w:type="dxa"/>
              <w:start w:w="120" w:type="dxa"/>
              <w:bottom w:w="80" w:type="dxa"/>
              <w:end w:w="120" w:type="dxa"/>
            </w:tcMar>
            <w:vAlign w:val="center"/>
            <w:shd w:fill="E8EEF5"/>
          </w:tcPr>
          <w:p>
            <w:r>
              <w:rPr>
                <w:rFonts w:ascii="Calibri" w:hAnsi="Calibri" w:eastAsia="Calibri"/>
                <w:b/>
                <w:i w:val="0"/>
                <w:color w:val="1F4D78"/>
                <w:sz w:val="16"/>
              </w:rPr>
              <w:t>Result</w:t>
            </w:r>
          </w:p>
        </w:tc>
      </w:tr>
      <w:tr>
        <w:tc>
          <w:tcPr>
            <w:tcW w:type="dxa" w:w="2200"/>
            <w:tcMar>
              <w:top w:w="80" w:type="dxa"/>
              <w:start w:w="120" w:type="dxa"/>
              <w:bottom w:w="80" w:type="dxa"/>
              <w:end w:w="120" w:type="dxa"/>
            </w:tcMar>
            <w:vAlign w:val="center"/>
          </w:tcPr>
          <w:p>
            <w:r>
              <w:rPr>
                <w:rFonts w:ascii="Calibri" w:hAnsi="Calibri" w:eastAsia="Calibri"/>
                <w:b w:val="0"/>
                <w:i w:val="0"/>
                <w:color w:val="000000"/>
                <w:sz w:val="16"/>
              </w:rPr>
              <w:t>Score bounds</w:t>
            </w:r>
          </w:p>
        </w:tc>
        <w:tc>
          <w:tcPr>
            <w:tcW w:type="dxa" w:w="7160"/>
            <w:tcMar>
              <w:top w:w="80" w:type="dxa"/>
              <w:start w:w="120" w:type="dxa"/>
              <w:bottom w:w="80" w:type="dxa"/>
              <w:end w:w="120" w:type="dxa"/>
            </w:tcMar>
            <w:vAlign w:val="center"/>
          </w:tcPr>
          <w:p>
            <w:r>
              <w:rPr>
                <w:rFonts w:ascii="Calibri" w:hAnsi="Calibri" w:eastAsia="Calibri"/>
                <w:b w:val="0"/>
                <w:i w:val="0"/>
                <w:color w:val="000000"/>
                <w:sz w:val="16"/>
              </w:rPr>
              <w:t>All public scores are clipped to 0..100</w:t>
            </w:r>
          </w:p>
        </w:tc>
      </w:tr>
      <w:tr>
        <w:tc>
          <w:tcPr>
            <w:tcW w:type="dxa" w:w="2200"/>
            <w:tcMar>
              <w:top w:w="80" w:type="dxa"/>
              <w:start w:w="120" w:type="dxa"/>
              <w:bottom w:w="80" w:type="dxa"/>
              <w:end w:w="120" w:type="dxa"/>
            </w:tcMar>
            <w:vAlign w:val="center"/>
          </w:tcPr>
          <w:p>
            <w:r>
              <w:rPr>
                <w:rFonts w:ascii="Calibri" w:hAnsi="Calibri" w:eastAsia="Calibri"/>
                <w:b w:val="0"/>
                <w:i w:val="0"/>
                <w:color w:val="000000"/>
                <w:sz w:val="16"/>
              </w:rPr>
              <w:t>DOM cost</w:t>
            </w:r>
          </w:p>
        </w:tc>
        <w:tc>
          <w:tcPr>
            <w:tcW w:type="dxa" w:w="7160"/>
            <w:tcMar>
              <w:top w:w="80" w:type="dxa"/>
              <w:start w:w="120" w:type="dxa"/>
              <w:bottom w:w="80" w:type="dxa"/>
              <w:end w:w="120" w:type="dxa"/>
            </w:tcMar>
            <w:vAlign w:val="center"/>
          </w:tcPr>
          <w:p>
            <w:r>
              <w:rPr>
                <w:rFonts w:ascii="Calibri" w:hAnsi="Calibri" w:eastAsia="Calibri"/>
                <w:b w:val="0"/>
                <w:i w:val="0"/>
                <w:color w:val="000000"/>
                <w:sz w:val="16"/>
              </w:rPr>
              <w:t>O(T_A + T_B) over extracted tag counts</w:t>
            </w:r>
          </w:p>
        </w:tc>
      </w:tr>
      <w:tr>
        <w:tc>
          <w:tcPr>
            <w:tcW w:type="dxa" w:w="2200"/>
            <w:tcMar>
              <w:top w:w="80" w:type="dxa"/>
              <w:start w:w="120" w:type="dxa"/>
              <w:bottom w:w="80" w:type="dxa"/>
              <w:end w:w="120" w:type="dxa"/>
            </w:tcMar>
            <w:vAlign w:val="center"/>
          </w:tcPr>
          <w:p>
            <w:r>
              <w:rPr>
                <w:rFonts w:ascii="Calibri" w:hAnsi="Calibri" w:eastAsia="Calibri"/>
                <w:b w:val="0"/>
                <w:i w:val="0"/>
                <w:color w:val="000000"/>
                <w:sz w:val="16"/>
              </w:rPr>
              <w:t>Network cost</w:t>
            </w:r>
          </w:p>
        </w:tc>
        <w:tc>
          <w:tcPr>
            <w:tcW w:type="dxa" w:w="7160"/>
            <w:tcMar>
              <w:top w:w="80" w:type="dxa"/>
              <w:start w:w="120" w:type="dxa"/>
              <w:bottom w:w="80" w:type="dxa"/>
              <w:end w:w="120" w:type="dxa"/>
            </w:tcMar>
            <w:vAlign w:val="center"/>
          </w:tcPr>
          <w:p>
            <w:r>
              <w:rPr>
                <w:rFonts w:ascii="Calibri" w:hAnsi="Calibri" w:eastAsia="Calibri"/>
                <w:b w:val="0"/>
                <w:i w:val="0"/>
                <w:color w:val="000000"/>
                <w:sz w:val="16"/>
              </w:rPr>
              <w:t>Dominated by bounded external requests, retries and configured concurrency</w:t>
            </w:r>
          </w:p>
        </w:tc>
      </w:tr>
      <w:tr>
        <w:tc>
          <w:tcPr>
            <w:tcW w:type="dxa" w:w="2200"/>
            <w:tcMar>
              <w:top w:w="80" w:type="dxa"/>
              <w:start w:w="120" w:type="dxa"/>
              <w:bottom w:w="80" w:type="dxa"/>
              <w:end w:w="120" w:type="dxa"/>
            </w:tcMar>
            <w:vAlign w:val="center"/>
          </w:tcPr>
          <w:p>
            <w:r>
              <w:rPr>
                <w:rFonts w:ascii="Calibri" w:hAnsi="Calibri" w:eastAsia="Calibri"/>
                <w:b w:val="0"/>
                <w:i w:val="0"/>
                <w:color w:val="000000"/>
                <w:sz w:val="16"/>
              </w:rPr>
              <w:t>Statistical boundary</w:t>
            </w:r>
          </w:p>
        </w:tc>
        <w:tc>
          <w:tcPr>
            <w:tcW w:type="dxa" w:w="7160"/>
            <w:tcMar>
              <w:top w:w="80" w:type="dxa"/>
              <w:start w:w="120" w:type="dxa"/>
              <w:bottom w:w="80" w:type="dxa"/>
              <w:end w:w="120" w:type="dxa"/>
            </w:tcMar>
            <w:vAlign w:val="center"/>
          </w:tcPr>
          <w:p>
            <w:r>
              <w:rPr>
                <w:rFonts w:ascii="Calibri" w:hAnsi="Calibri" w:eastAsia="Calibri"/>
                <w:b w:val="0"/>
                <w:i w:val="0"/>
                <w:color w:val="000000"/>
                <w:sz w:val="16"/>
              </w:rPr>
              <w:t>Weights are deterministic heuristics, not Fellegi-Sunter log-likelihood ratios learned from labeled pairs</w:t>
            </w:r>
          </w:p>
        </w:tc>
      </w:tr>
    </w:tbl>
    <w:p>
      <w:pPr>
        <w:spacing w:after="0"/>
      </w:pPr>
    </w:p>
    <w:p>
      <w:pPr>
        <w:pStyle w:val="Heading3"/>
      </w:pPr>
      <w:r>
        <w:t>Research and standards basis</w:t>
      </w:r>
    </w:p>
    <w:p>
      <w:r>
        <w:rPr>
          <w:rFonts w:ascii="Calibri" w:hAnsi="Calibri" w:eastAsia="Calibri"/>
          <w:b w:val="0"/>
          <w:i w:val="0"/>
          <w:color w:val="000000"/>
          <w:sz w:val="22"/>
        </w:rPr>
        <w:t>Fellegi-Sunter provides the classical theoretical basis for link, possible-link, and non-link decisions from comparison evidence. Jaccard provides the similarity basis adapted here to DOM tag-frequency multisets. Argus borrows these structures but does not claim a trained probabilistic record-linkage model.</w:t>
      </w:r>
    </w:p>
    <w:p>
      <w:pPr>
        <w:pStyle w:val="ListBullet"/>
      </w:pPr>
      <w:hyperlink r:id="rId16">
        <w:r>
          <w:rPr>
            <w:color w:val="2E74B5"/>
            <w:u w:val="single"/>
          </w:rPr>
          <w:t>Fellegi and Sunter — A Theory for Record Linkage</w:t>
        </w:r>
      </w:hyperlink>
    </w:p>
    <w:p>
      <w:pPr>
        <w:pStyle w:val="ListBullet"/>
      </w:pPr>
      <w:hyperlink r:id="rId17">
        <w:r>
          <w:rPr>
            <w:color w:val="2E74B5"/>
            <w:u w:val="single"/>
          </w:rPr>
          <w:t>Jaccard — Étude comparative de la distribution florale</w:t>
        </w:r>
      </w:hyperlink>
    </w:p>
    <w:p>
      <w:pPr>
        <w:pStyle w:val="Heading2"/>
      </w:pPr>
      <w:r>
        <w:t>Breach search and graph</w:t>
      </w:r>
    </w:p>
    <w:p>
      <w:pPr>
        <w:jc w:val="center"/>
      </w:pPr>
      <w:r>
        <w:drawing>
          <wp:inline xmlns:a="http://schemas.openxmlformats.org/drawingml/2006/main" xmlns:pic="http://schemas.openxmlformats.org/drawingml/2006/picture">
            <wp:extent cx="5623560" cy="7487368"/>
            <wp:docPr id="4" name="breach-correlation-flow" descr="Figure 4. Direct breach lookup, correlation, caching, and graph expansion."/>
            <wp:cNvGraphicFramePr>
              <a:graphicFrameLocks noChangeAspect="1"/>
            </wp:cNvGraphicFramePr>
            <a:graphic>
              <a:graphicData uri="http://schemas.openxmlformats.org/drawingml/2006/picture">
                <pic:pic>
                  <pic:nvPicPr>
                    <pic:cNvPr id="0" name="breach-correlation-flow.png"/>
                    <pic:cNvPicPr/>
                  </pic:nvPicPr>
                  <pic:blipFill>
                    <a:blip r:embed="rId18">
                      <a:extLst>
                        <a:ext uri="{96DAC541-7B7A-43D3-8B79-37D633B846F1}">
                          <asvg:svgBlip xmlns:asvg="http://schemas.microsoft.com/office/drawing/2016/SVG/main" r:embed="rIdSvg4"/>
                        </a:ext>
                      </a:extLst>
                    </a:blip>
                    <a:stretch>
                      <a:fillRect/>
                    </a:stretch>
                  </pic:blipFill>
                  <pic:spPr>
                    <a:xfrm>
                      <a:off x="0" y="0"/>
                      <a:ext cx="5623560" cy="7487368"/>
                    </a:xfrm>
                    <a:prstGeom prst="rect"/>
                  </pic:spPr>
                </pic:pic>
              </a:graphicData>
            </a:graphic>
          </wp:inline>
        </w:drawing>
      </w:r>
    </w:p>
    <w:p>
      <w:pPr>
        <w:spacing w:after="160"/>
        <w:jc w:val="center"/>
      </w:pPr>
      <w:r>
        <w:rPr>
          <w:rFonts w:ascii="Calibri" w:hAnsi="Calibri" w:eastAsia="Calibri"/>
          <w:b w:val="0"/>
          <w:i/>
          <w:color w:val="666666"/>
          <w:sz w:val="16"/>
        </w:rPr>
        <w:t>Figure 4. Direct breach lookup, correlation, caching, and graph expansion.</w:t>
      </w:r>
      <w:r>
        <w:br w:type="page"/>
      </w:r>
    </w:p>
    <w:p>
      <w:pPr>
        <w:pStyle w:val="Heading2"/>
      </w:pPr>
      <w:r>
        <w:t>Flow-aligned mathematical algorithm and specification</w:t>
      </w:r>
    </w:p>
    <w:p>
      <w:r>
        <w:rPr>
          <w:rFonts w:ascii="Calibri" w:hAnsi="Calibri" w:eastAsia="Calibri"/>
          <w:b w:val="0"/>
          <w:i w:val="0"/>
          <w:color w:val="000000"/>
          <w:sz w:val="22"/>
        </w:rPr>
        <w:t>The breach algorithm follows the flowchart's validated seed, controlled field catalog, cache decision, parameterized search, provenance-preserving records, entity extraction, bounded graph traversal, and capped response.</w:t>
      </w:r>
    </w:p>
    <w:p>
      <w:pPr>
        <w:pStyle w:val="Heading3"/>
      </w:pPr>
      <w:r>
        <w:t>Canonicalization and stable identifiers</w:t>
      </w:r>
    </w:p>
    <w:p>
      <w:pPr>
        <w:pStyle w:val="CodeBlock"/>
        <w:keepLines/>
      </w:pPr>
      <w:r>
        <w:t>email_norm(x) = lowercase(trim(x))</w:t>
      </w:r>
    </w:p>
    <w:p>
      <w:pPr>
        <w:pStyle w:val="CodeBlock"/>
        <w:keepLines/>
      </w:pPr>
      <w:r>
        <w:t>phone_norm(x) = canonical ten-digit representation after prefix/trunk handling</w:t>
      </w:r>
    </w:p>
    <w:p>
      <w:pPr>
        <w:pStyle w:val="CodeBlock"/>
        <w:keepLines/>
      </w:pPr>
      <w:r>
        <w:t>row_id    = SHA256(source_file || '|' || email_norm || '|' || phone_norm)</w:t>
      </w:r>
    </w:p>
    <w:p>
      <w:pPr>
        <w:pStyle w:val="CodeBlock"/>
        <w:keepLines/>
      </w:pPr>
      <w:r>
        <w:t>entity_id = SHA256(UPPER(type) || ':' || lowercase(trim(value)))</w:t>
      </w:r>
    </w:p>
    <w:p>
      <w:pPr>
        <w:pStyle w:val="CodeBlock"/>
        <w:keepLines/>
      </w:pPr>
      <w:r>
        <w:t>edge_id   = SHA256(row_id || '|' || entity_id)</w:t>
      </w:r>
    </w:p>
    <w:p>
      <w:r>
        <w:rPr>
          <w:rFonts w:ascii="Calibri" w:hAnsi="Calibri" w:eastAsia="Calibri"/>
          <w:b w:val="0"/>
          <w:i w:val="0"/>
          <w:color w:val="000000"/>
          <w:sz w:val="22"/>
        </w:rPr>
        <w:t>These hashes make repeated rows and entities stable within the same canonicalization policy. They are identifiers, not proof that two people are identical and not a substitute for encrypting sensitive values.</w:t>
      </w:r>
    </w:p>
    <w:p>
      <w:pPr>
        <w:pStyle w:val="Heading3"/>
      </w:pPr>
      <w:r>
        <w:t>Bipartite graph and bounded BFS</w:t>
      </w:r>
    </w:p>
    <w:p>
      <w:pPr>
        <w:pStyle w:val="CodeBlock"/>
        <w:keepLines/>
      </w:pPr>
      <w:r>
        <w:t>G = (R union E, L)</w:t>
      </w:r>
    </w:p>
    <w:p>
      <w:pPr>
        <w:pStyle w:val="CodeBlock"/>
        <w:keepLines/>
      </w:pPr>
      <w:r>
        <w:t>R = breach-record nodes; E = normalized EMAIL/PHONE/NAME/ADDRESS nodes</w:t>
      </w:r>
    </w:p>
    <w:p>
      <w:pPr>
        <w:pStyle w:val="CodeBlock"/>
        <w:keepLines/>
      </w:pPr>
      <w:r>
        <w:t>(r,e) in L iff record r contains entity e</w:t>
      </w:r>
    </w:p>
    <w:p>
      <w:pPr>
        <w:pStyle w:val="CodeBlock"/>
        <w:keepLines/>
      </w:pPr>
      <w:r/>
    </w:p>
    <w:p>
      <w:pPr>
        <w:pStyle w:val="CodeBlock"/>
        <w:keepLines/>
      </w:pPr>
      <w:r>
        <w:t>Hard bounds: |R| &lt;= 500, |E| &lt;= 300, |R union E| &lt;= 800</w:t>
      </w:r>
    </w:p>
    <w:p>
      <w:pPr>
        <w:pStyle w:val="CodeBlock"/>
        <w:keepLines/>
      </w:pPr>
      <w:r>
        <w:t>Common-value gate: degree(e) &gt; 200 =&gt; retain 10 samples and do not expand</w:t>
      </w:r>
    </w:p>
    <w:p>
      <w:pPr>
        <w:pStyle w:val="CodeBlock"/>
        <w:keepLines/>
      </w:pPr>
      <w:r>
        <w:t>Expansion depth: seed records -&gt; entities -&gt; first-degree records -&gt; second-degree entities</w:t>
      </w:r>
    </w:p>
    <w:p>
      <w:pPr>
        <w:pStyle w:val="CodeBlock"/>
        <w:keepLines/>
      </w:pPr>
      <w:r>
        <w:t>BREACH-GRAPH(seed):</w:t>
      </w:r>
    </w:p>
    <w:p>
      <w:pPr>
        <w:pStyle w:val="CodeBlock"/>
        <w:keepLines/>
      </w:pPr>
      <w:r>
        <w:t xml:space="preserve">  1. normalize and resolve at most 100 seed records</w:t>
      </w:r>
    </w:p>
    <w:p>
      <w:pPr>
        <w:pStyle w:val="CodeBlock"/>
        <w:keepLines/>
      </w:pPr>
      <w:r>
        <w:t xml:space="preserve">  2. create stable record/entity nodes and enqueue unseen entities</w:t>
      </w:r>
    </w:p>
    <w:p>
      <w:pPr>
        <w:pStyle w:val="CodeBlock"/>
        <w:keepLines/>
      </w:pPr>
      <w:r>
        <w:t xml:space="preserve">  3. dequeue entities in batches of at most 10</w:t>
      </w:r>
    </w:p>
    <w:p>
      <w:pPr>
        <w:pStyle w:val="CodeBlock"/>
        <w:keepLines/>
      </w:pPr>
      <w:r>
        <w:t xml:space="preserve">  4. query 201 rows to detect degree &gt;200</w:t>
      </w:r>
    </w:p>
    <w:p>
      <w:pPr>
        <w:pStyle w:val="CodeBlock"/>
        <w:keepLines/>
      </w:pPr>
      <w:r>
        <w:t xml:space="preserve">  5. if common: mark warning, keep 10 samples, stop that branch</w:t>
      </w:r>
    </w:p>
    <w:p>
      <w:pPr>
        <w:pStyle w:val="CodeBlock"/>
        <w:keepLines/>
      </w:pPr>
      <w:r>
        <w:t xml:space="preserve">  6. else add deduplicated rows and one further entity layer</w:t>
      </w:r>
    </w:p>
    <w:p>
      <w:pPr>
        <w:pStyle w:val="CodeBlock"/>
        <w:keepLines/>
      </w:pPr>
      <w:r>
        <w:t xml:space="preserve">  7. stop at 500 records, 300 entities, timeout, or empty queue</w:t>
      </w:r>
    </w:p>
    <w:p>
      <w:pPr>
        <w:pStyle w:val="CodeBlock"/>
        <w:keepLines/>
      </w:pPr>
      <w:r>
        <w:t xml:space="preserve">  8. return provenance, pagination, capped and cap_reason metadata</w:t>
      </w:r>
    </w:p>
    <w:tbl>
      <w:tblPr>
        <w:tblStyle w:val="TableGrid"/>
        <w:tblW w:type="dxa" w:w="9360"/>
        <w:tblLayout w:type="fixed"/>
        <w:tblLook w:firstColumn="1" w:firstRow="1" w:lastColumn="0" w:lastRow="0" w:noHBand="0" w:noVBand="1" w:val="04A0"/>
        <w:jc w:val="left"/>
        <w:tblInd w:w="120" w:type="dxa"/>
      </w:tblPr>
      <w:tblGrid>
        <w:gridCol w:w="2200"/>
        <w:gridCol w:w="7160"/>
      </w:tblGrid>
      <w:tr>
        <w:trPr>
          <w:tblHeader w:val="true"/>
        </w:trPr>
        <w:tc>
          <w:tcPr>
            <w:tcW w:type="dxa" w:w="2200"/>
            <w:tcMar>
              <w:top w:w="80" w:type="dxa"/>
              <w:start w:w="120" w:type="dxa"/>
              <w:bottom w:w="80" w:type="dxa"/>
              <w:end w:w="120" w:type="dxa"/>
            </w:tcMar>
            <w:vAlign w:val="center"/>
            <w:shd w:fill="E8EEF5"/>
          </w:tcPr>
          <w:p>
            <w:r>
              <w:rPr>
                <w:rFonts w:ascii="Calibri" w:hAnsi="Calibri" w:eastAsia="Calibri"/>
                <w:b/>
                <w:i w:val="0"/>
                <w:color w:val="1F4D78"/>
                <w:sz w:val="16"/>
              </w:rPr>
              <w:t>Property</w:t>
            </w:r>
          </w:p>
        </w:tc>
        <w:tc>
          <w:tcPr>
            <w:tcW w:type="dxa" w:w="7160"/>
            <w:tcMar>
              <w:top w:w="80" w:type="dxa"/>
              <w:start w:w="120" w:type="dxa"/>
              <w:bottom w:w="80" w:type="dxa"/>
              <w:end w:w="120" w:type="dxa"/>
            </w:tcMar>
            <w:vAlign w:val="center"/>
            <w:shd w:fill="E8EEF5"/>
          </w:tcPr>
          <w:p>
            <w:r>
              <w:rPr>
                <w:rFonts w:ascii="Calibri" w:hAnsi="Calibri" w:eastAsia="Calibri"/>
                <w:b/>
                <w:i w:val="0"/>
                <w:color w:val="1F4D78"/>
                <w:sz w:val="16"/>
              </w:rPr>
              <w:t>Result</w:t>
            </w:r>
          </w:p>
        </w:tc>
      </w:tr>
      <w:tr>
        <w:tc>
          <w:tcPr>
            <w:tcW w:type="dxa" w:w="2200"/>
            <w:tcMar>
              <w:top w:w="80" w:type="dxa"/>
              <w:start w:w="120" w:type="dxa"/>
              <w:bottom w:w="80" w:type="dxa"/>
              <w:end w:w="120" w:type="dxa"/>
            </w:tcMar>
            <w:vAlign w:val="center"/>
          </w:tcPr>
          <w:p>
            <w:r>
              <w:rPr>
                <w:rFonts w:ascii="Calibri" w:hAnsi="Calibri" w:eastAsia="Calibri"/>
                <w:b w:val="0"/>
                <w:i w:val="0"/>
                <w:color w:val="000000"/>
                <w:sz w:val="16"/>
              </w:rPr>
              <w:t>Traversal</w:t>
            </w:r>
          </w:p>
        </w:tc>
        <w:tc>
          <w:tcPr>
            <w:tcW w:type="dxa" w:w="7160"/>
            <w:tcMar>
              <w:top w:w="80" w:type="dxa"/>
              <w:start w:w="120" w:type="dxa"/>
              <w:bottom w:w="80" w:type="dxa"/>
              <w:end w:w="120" w:type="dxa"/>
            </w:tcMar>
            <w:vAlign w:val="center"/>
          </w:tcPr>
          <w:p>
            <w:r>
              <w:rPr>
                <w:rFonts w:ascii="Calibri" w:hAnsi="Calibri" w:eastAsia="Calibri"/>
                <w:b w:val="0"/>
                <w:i w:val="0"/>
                <w:color w:val="000000"/>
                <w:sz w:val="16"/>
              </w:rPr>
              <w:t>Breadth-first over a bipartite graph with explicit visited sets</w:t>
            </w:r>
          </w:p>
        </w:tc>
      </w:tr>
      <w:tr>
        <w:tc>
          <w:tcPr>
            <w:tcW w:type="dxa" w:w="2200"/>
            <w:tcMar>
              <w:top w:w="80" w:type="dxa"/>
              <w:start w:w="120" w:type="dxa"/>
              <w:bottom w:w="80" w:type="dxa"/>
              <w:end w:w="120" w:type="dxa"/>
            </w:tcMar>
            <w:vAlign w:val="center"/>
          </w:tcPr>
          <w:p>
            <w:r>
              <w:rPr>
                <w:rFonts w:ascii="Calibri" w:hAnsi="Calibri" w:eastAsia="Calibri"/>
                <w:b w:val="0"/>
                <w:i w:val="0"/>
                <w:color w:val="000000"/>
                <w:sz w:val="16"/>
              </w:rPr>
              <w:t>In-memory complexity</w:t>
            </w:r>
          </w:p>
        </w:tc>
        <w:tc>
          <w:tcPr>
            <w:tcW w:type="dxa" w:w="7160"/>
            <w:tcMar>
              <w:top w:w="80" w:type="dxa"/>
              <w:start w:w="120" w:type="dxa"/>
              <w:bottom w:w="80" w:type="dxa"/>
              <w:end w:w="120" w:type="dxa"/>
            </w:tcMar>
            <w:vAlign w:val="center"/>
          </w:tcPr>
          <w:p>
            <w:r>
              <w:rPr>
                <w:rFonts w:ascii="Calibri" w:hAnsi="Calibri" w:eastAsia="Calibri"/>
                <w:b w:val="0"/>
                <w:i w:val="0"/>
                <w:color w:val="000000"/>
                <w:sz w:val="16"/>
              </w:rPr>
              <w:t>O(|R|+|E|+|L|), absolutely bounded by configured node caps</w:t>
            </w:r>
          </w:p>
        </w:tc>
      </w:tr>
      <w:tr>
        <w:tc>
          <w:tcPr>
            <w:tcW w:type="dxa" w:w="2200"/>
            <w:tcMar>
              <w:top w:w="80" w:type="dxa"/>
              <w:start w:w="120" w:type="dxa"/>
              <w:bottom w:w="80" w:type="dxa"/>
              <w:end w:w="120" w:type="dxa"/>
            </w:tcMar>
            <w:vAlign w:val="center"/>
          </w:tcPr>
          <w:p>
            <w:r>
              <w:rPr>
                <w:rFonts w:ascii="Calibri" w:hAnsi="Calibri" w:eastAsia="Calibri"/>
                <w:b w:val="0"/>
                <w:i w:val="0"/>
                <w:color w:val="000000"/>
                <w:sz w:val="16"/>
              </w:rPr>
              <w:t>External query cost</w:t>
            </w:r>
          </w:p>
        </w:tc>
        <w:tc>
          <w:tcPr>
            <w:tcW w:type="dxa" w:w="7160"/>
            <w:tcMar>
              <w:top w:w="80" w:type="dxa"/>
              <w:start w:w="120" w:type="dxa"/>
              <w:bottom w:w="80" w:type="dxa"/>
              <w:end w:w="120" w:type="dxa"/>
            </w:tcMar>
            <w:vAlign w:val="center"/>
          </w:tcPr>
          <w:p>
            <w:r>
              <w:rPr>
                <w:rFonts w:ascii="Calibri" w:hAnsi="Calibri" w:eastAsia="Calibri"/>
                <w:b w:val="0"/>
                <w:i w:val="0"/>
                <w:color w:val="000000"/>
                <w:sz w:val="16"/>
              </w:rPr>
              <w:t>Bounded by unique expanded entities, batch size, timeout and datastore indexes</w:t>
            </w:r>
          </w:p>
        </w:tc>
      </w:tr>
      <w:tr>
        <w:tc>
          <w:tcPr>
            <w:tcW w:type="dxa" w:w="2200"/>
            <w:tcMar>
              <w:top w:w="80" w:type="dxa"/>
              <w:start w:w="120" w:type="dxa"/>
              <w:bottom w:w="80" w:type="dxa"/>
              <w:end w:w="120" w:type="dxa"/>
            </w:tcMar>
            <w:vAlign w:val="center"/>
          </w:tcPr>
          <w:p>
            <w:r>
              <w:rPr>
                <w:rFonts w:ascii="Calibri" w:hAnsi="Calibri" w:eastAsia="Calibri"/>
                <w:b w:val="0"/>
                <w:i w:val="0"/>
                <w:color w:val="000000"/>
                <w:sz w:val="16"/>
              </w:rPr>
              <w:t>Precision guard</w:t>
            </w:r>
          </w:p>
        </w:tc>
        <w:tc>
          <w:tcPr>
            <w:tcW w:type="dxa" w:w="7160"/>
            <w:tcMar>
              <w:top w:w="80" w:type="dxa"/>
              <w:start w:w="120" w:type="dxa"/>
              <w:bottom w:w="80" w:type="dxa"/>
              <w:end w:w="120" w:type="dxa"/>
            </w:tcMar>
            <w:vAlign w:val="center"/>
          </w:tcPr>
          <w:p>
            <w:r>
              <w:rPr>
                <w:rFonts w:ascii="Calibri" w:hAnsi="Calibri" w:eastAsia="Calibri"/>
                <w:b w:val="0"/>
                <w:i w:val="0"/>
                <w:color w:val="000000"/>
                <w:sz w:val="16"/>
              </w:rPr>
              <w:t>High-degree values are warned and sampled because common names/addresses create noisy joins</w:t>
            </w:r>
          </w:p>
        </w:tc>
      </w:tr>
      <w:tr>
        <w:tc>
          <w:tcPr>
            <w:tcW w:type="dxa" w:w="2200"/>
            <w:tcMar>
              <w:top w:w="80" w:type="dxa"/>
              <w:start w:w="120" w:type="dxa"/>
              <w:bottom w:w="80" w:type="dxa"/>
              <w:end w:w="120" w:type="dxa"/>
            </w:tcMar>
            <w:vAlign w:val="center"/>
          </w:tcPr>
          <w:p>
            <w:r>
              <w:rPr>
                <w:rFonts w:ascii="Calibri" w:hAnsi="Calibri" w:eastAsia="Calibri"/>
                <w:b w:val="0"/>
                <w:i w:val="0"/>
                <w:color w:val="000000"/>
                <w:sz w:val="16"/>
              </w:rPr>
              <w:t>Interpretation boundary</w:t>
            </w:r>
          </w:p>
        </w:tc>
        <w:tc>
          <w:tcPr>
            <w:tcW w:type="dxa" w:w="7160"/>
            <w:tcMar>
              <w:top w:w="80" w:type="dxa"/>
              <w:start w:w="120" w:type="dxa"/>
              <w:bottom w:w="80" w:type="dxa"/>
              <w:end w:w="120" w:type="dxa"/>
            </w:tcMar>
            <w:vAlign w:val="center"/>
          </w:tcPr>
          <w:p>
            <w:r>
              <w:rPr>
                <w:rFonts w:ascii="Calibri" w:hAnsi="Calibri" w:eastAsia="Calibri"/>
                <w:b w:val="0"/>
                <w:i w:val="0"/>
                <w:color w:val="000000"/>
                <w:sz w:val="16"/>
              </w:rPr>
              <w:t>An edge shows shared data, not identity, ownership, compromise, or causation</w:t>
            </w:r>
          </w:p>
        </w:tc>
      </w:tr>
    </w:tbl>
    <w:p>
      <w:pPr>
        <w:spacing w:after="0"/>
      </w:pPr>
    </w:p>
    <w:p>
      <w:pPr>
        <w:pStyle w:val="Heading3"/>
      </w:pPr>
      <w:r>
        <w:t>Research and standards basis</w:t>
      </w:r>
    </w:p>
    <w:p>
      <w:r>
        <w:rPr>
          <w:rFonts w:ascii="Calibri" w:hAnsi="Calibri" w:eastAsia="Calibri"/>
          <w:b w:val="0"/>
          <w:i w:val="0"/>
          <w:color w:val="000000"/>
          <w:sz w:val="22"/>
        </w:rPr>
        <w:t>Moore's breadth-first search supplies the traversal basis; entity-resolution meta-blocking research supports restricting noisy comparison graphs for scalability; FIPS 180-4 specifies SHA-256. Argus's thresholds (200, 10, 500, 300 and depth two) are implementation safety bounds, not values established as optimal by those publications.</w:t>
      </w:r>
    </w:p>
    <w:p>
      <w:pPr>
        <w:pStyle w:val="ListBullet"/>
      </w:pPr>
      <w:hyperlink r:id="rId19">
        <w:r>
          <w:rPr>
            <w:color w:val="2E74B5"/>
            <w:u w:val="single"/>
          </w:rPr>
          <w:t>Moore — The Shortest Path Through a Maze</w:t>
        </w:r>
      </w:hyperlink>
    </w:p>
    <w:p>
      <w:pPr>
        <w:pStyle w:val="ListBullet"/>
      </w:pPr>
      <w:hyperlink r:id="rId20">
        <w:r>
          <w:rPr>
            <w:color w:val="2E74B5"/>
            <w:u w:val="single"/>
          </w:rPr>
          <w:t>Papadakis et al. — Enhanced Meta-Blocking for Entity Resolution</w:t>
        </w:r>
      </w:hyperlink>
    </w:p>
    <w:p>
      <w:pPr>
        <w:pStyle w:val="ListBullet"/>
      </w:pPr>
      <w:hyperlink r:id="rId21">
        <w:r>
          <w:rPr>
            <w:color w:val="2E74B5"/>
            <w:u w:val="single"/>
          </w:rPr>
          <w:t>NIST FIPS 180-4 — Secure Hash Standard</w:t>
        </w:r>
      </w:hyperlink>
    </w:p>
    <w:p>
      <w:pPr>
        <w:pStyle w:val="Heading2"/>
      </w:pPr>
      <w:r>
        <w:t>Telegram threat intelligence</w:t>
      </w:r>
    </w:p>
    <w:p>
      <w:pPr>
        <w:jc w:val="center"/>
      </w:pPr>
      <w:r>
        <w:drawing>
          <wp:inline xmlns:a="http://schemas.openxmlformats.org/drawingml/2006/main" xmlns:pic="http://schemas.openxmlformats.org/drawingml/2006/picture">
            <wp:extent cx="5623560" cy="7487368"/>
            <wp:docPr id="5" name="telegram-intelligence-flow" descr="Figure 5. Telegram ingestion, classification, correlation, and response path."/>
            <wp:cNvGraphicFramePr>
              <a:graphicFrameLocks noChangeAspect="1"/>
            </wp:cNvGraphicFramePr>
            <a:graphic>
              <a:graphicData uri="http://schemas.openxmlformats.org/drawingml/2006/picture">
                <pic:pic>
                  <pic:nvPicPr>
                    <pic:cNvPr id="0" name="telegram-intelligence-flow.png"/>
                    <pic:cNvPicPr/>
                  </pic:nvPicPr>
                  <pic:blipFill>
                    <a:blip r:embed="rId22">
                      <a:extLst>
                        <a:ext uri="{96DAC541-7B7A-43D3-8B79-37D633B846F1}">
                          <asvg:svgBlip xmlns:asvg="http://schemas.microsoft.com/office/drawing/2016/SVG/main" r:embed="rIdSvg5"/>
                        </a:ext>
                      </a:extLst>
                    </a:blip>
                    <a:stretch>
                      <a:fillRect/>
                    </a:stretch>
                  </pic:blipFill>
                  <pic:spPr>
                    <a:xfrm>
                      <a:off x="0" y="0"/>
                      <a:ext cx="5623560" cy="7487368"/>
                    </a:xfrm>
                    <a:prstGeom prst="rect"/>
                  </pic:spPr>
                </pic:pic>
              </a:graphicData>
            </a:graphic>
          </wp:inline>
        </w:drawing>
      </w:r>
    </w:p>
    <w:p>
      <w:pPr>
        <w:spacing w:after="160"/>
        <w:jc w:val="center"/>
      </w:pPr>
      <w:r>
        <w:rPr>
          <w:rFonts w:ascii="Calibri" w:hAnsi="Calibri" w:eastAsia="Calibri"/>
          <w:b w:val="0"/>
          <w:i/>
          <w:color w:val="666666"/>
          <w:sz w:val="16"/>
        </w:rPr>
        <w:t>Figure 5. Telegram ingestion, classification, correlation, and response path.</w:t>
      </w:r>
      <w:r>
        <w:br w:type="page"/>
      </w:r>
    </w:p>
    <w:p>
      <w:pPr>
        <w:pStyle w:val="Heading2"/>
      </w:pPr>
      <w:r>
        <w:t>Flow-aligned mathematical algorithm and specification</w:t>
      </w:r>
    </w:p>
    <w:p>
      <w:r>
        <w:rPr>
          <w:rFonts w:ascii="Calibri" w:hAnsi="Calibri" w:eastAsia="Calibri"/>
          <w:b w:val="0"/>
          <w:i w:val="0"/>
          <w:color w:val="000000"/>
          <w:sz w:val="22"/>
        </w:rPr>
        <w:t>The Telegram algorithm follows authorization/import gates, normalization, rule categories, saturating confidence, bounded risk aggregation, flagging, persistence, customer correlation, search, graphing, and STIX export.</w:t>
      </w:r>
    </w:p>
    <w:p>
      <w:pPr>
        <w:pStyle w:val="Heading3"/>
      </w:pPr>
      <w:r>
        <w:t>Category saturation and aggregate risk</w:t>
      </w:r>
    </w:p>
    <w:p>
      <w:pPr>
        <w:pStyle w:val="CodeBlock"/>
        <w:keepLines/>
      </w:pPr>
      <w:r>
        <w:t>r_k = sum_i w_i * I(rule_i matches raw text or normalized text)</w:t>
      </w:r>
    </w:p>
    <w:p>
      <w:pPr>
        <w:pStyle w:val="CodeBlock"/>
        <w:keepLines/>
      </w:pPr>
      <w:r>
        <w:t>c_k = 1 - exp(-r_k/4)</w:t>
      </w:r>
    </w:p>
    <w:p>
      <w:pPr>
        <w:pStyle w:val="CodeBlock"/>
        <w:keepLines/>
      </w:pPr>
      <w:r>
        <w:t>A   = sum_k alpha_k * c_k</w:t>
      </w:r>
    </w:p>
    <w:p>
      <w:pPr>
        <w:pStyle w:val="CodeBlock"/>
        <w:keepLines/>
      </w:pPr>
      <w:r>
        <w:t>p_0 = 1 - exp(-A)</w:t>
      </w:r>
    </w:p>
    <w:tbl>
      <w:tblPr>
        <w:tblStyle w:val="TableGrid"/>
        <w:tblW w:type="dxa" w:w="9360"/>
        <w:tblLayout w:type="fixed"/>
        <w:tblLook w:firstColumn="1" w:firstRow="1" w:lastColumn="0" w:lastRow="0" w:noHBand="0" w:noVBand="1" w:val="04A0"/>
        <w:jc w:val="left"/>
        <w:tblInd w:w="120" w:type="dxa"/>
      </w:tblPr>
      <w:tblGrid>
        <w:gridCol w:w="6000"/>
        <w:gridCol w:w="3360"/>
      </w:tblGrid>
      <w:tr>
        <w:trPr>
          <w:tblHeader w:val="true"/>
        </w:trPr>
        <w:tc>
          <w:tcPr>
            <w:tcW w:type="dxa" w:w="6000"/>
            <w:tcMar>
              <w:top w:w="80" w:type="dxa"/>
              <w:start w:w="120" w:type="dxa"/>
              <w:bottom w:w="80" w:type="dxa"/>
              <w:end w:w="120" w:type="dxa"/>
            </w:tcMar>
            <w:vAlign w:val="center"/>
            <w:shd w:fill="E8EEF5"/>
          </w:tcPr>
          <w:p>
            <w:r>
              <w:rPr>
                <w:rFonts w:ascii="Calibri" w:hAnsi="Calibri" w:eastAsia="Calibri"/>
                <w:b/>
                <w:i w:val="0"/>
                <w:color w:val="1F4D78"/>
                <w:sz w:val="16"/>
              </w:rPr>
              <w:t>Category k</w:t>
            </w:r>
          </w:p>
        </w:tc>
        <w:tc>
          <w:tcPr>
            <w:tcW w:type="dxa" w:w="3360"/>
            <w:tcMar>
              <w:top w:w="80" w:type="dxa"/>
              <w:start w:w="120" w:type="dxa"/>
              <w:bottom w:w="80" w:type="dxa"/>
              <w:end w:w="120" w:type="dxa"/>
            </w:tcMar>
            <w:vAlign w:val="center"/>
            <w:shd w:fill="E8EEF5"/>
          </w:tcPr>
          <w:p>
            <w:r>
              <w:rPr>
                <w:rFonts w:ascii="Calibri" w:hAnsi="Calibri" w:eastAsia="Calibri"/>
                <w:b/>
                <w:i w:val="0"/>
                <w:color w:val="1F4D78"/>
                <w:sz w:val="16"/>
              </w:rPr>
              <w:t>alpha_k</w:t>
            </w:r>
          </w:p>
        </w:tc>
      </w:tr>
      <w:tr>
        <w:tc>
          <w:tcPr>
            <w:tcW w:type="dxa" w:w="6000"/>
            <w:tcMar>
              <w:top w:w="80" w:type="dxa"/>
              <w:start w:w="120" w:type="dxa"/>
              <w:bottom w:w="80" w:type="dxa"/>
              <w:end w:w="120" w:type="dxa"/>
            </w:tcMar>
            <w:vAlign w:val="center"/>
          </w:tcPr>
          <w:p>
            <w:r>
              <w:rPr>
                <w:rFonts w:ascii="Calibri" w:hAnsi="Calibri" w:eastAsia="Calibri"/>
                <w:b w:val="0"/>
                <w:i w:val="0"/>
                <w:color w:val="000000"/>
                <w:sz w:val="16"/>
              </w:rPr>
              <w:t>Ransomware</w:t>
            </w:r>
          </w:p>
        </w:tc>
        <w:tc>
          <w:tcPr>
            <w:tcW w:type="dxa" w:w="3360"/>
            <w:tcMar>
              <w:top w:w="80" w:type="dxa"/>
              <w:start w:w="120" w:type="dxa"/>
              <w:bottom w:w="80" w:type="dxa"/>
              <w:end w:w="120" w:type="dxa"/>
            </w:tcMar>
            <w:vAlign w:val="center"/>
          </w:tcPr>
          <w:p>
            <w:r>
              <w:rPr>
                <w:rFonts w:ascii="Calibri" w:hAnsi="Calibri" w:eastAsia="Calibri"/>
                <w:b w:val="0"/>
                <w:i w:val="0"/>
                <w:color w:val="000000"/>
                <w:sz w:val="16"/>
              </w:rPr>
              <w:t>1.00</w:t>
            </w:r>
          </w:p>
        </w:tc>
      </w:tr>
      <w:tr>
        <w:tc>
          <w:tcPr>
            <w:tcW w:type="dxa" w:w="6000"/>
            <w:tcMar>
              <w:top w:w="80" w:type="dxa"/>
              <w:start w:w="120" w:type="dxa"/>
              <w:bottom w:w="80" w:type="dxa"/>
              <w:end w:w="120" w:type="dxa"/>
            </w:tcMar>
            <w:vAlign w:val="center"/>
          </w:tcPr>
          <w:p>
            <w:r>
              <w:rPr>
                <w:rFonts w:ascii="Calibri" w:hAnsi="Calibri" w:eastAsia="Calibri"/>
                <w:b w:val="0"/>
                <w:i w:val="0"/>
                <w:color w:val="000000"/>
                <w:sz w:val="16"/>
              </w:rPr>
              <w:t>Data breach</w:t>
            </w:r>
          </w:p>
        </w:tc>
        <w:tc>
          <w:tcPr>
            <w:tcW w:type="dxa" w:w="3360"/>
            <w:tcMar>
              <w:top w:w="80" w:type="dxa"/>
              <w:start w:w="120" w:type="dxa"/>
              <w:bottom w:w="80" w:type="dxa"/>
              <w:end w:w="120" w:type="dxa"/>
            </w:tcMar>
            <w:vAlign w:val="center"/>
          </w:tcPr>
          <w:p>
            <w:r>
              <w:rPr>
                <w:rFonts w:ascii="Calibri" w:hAnsi="Calibri" w:eastAsia="Calibri"/>
                <w:b w:val="0"/>
                <w:i w:val="0"/>
                <w:color w:val="000000"/>
                <w:sz w:val="16"/>
              </w:rPr>
              <w:t>0.90</w:t>
            </w:r>
          </w:p>
        </w:tc>
      </w:tr>
      <w:tr>
        <w:tc>
          <w:tcPr>
            <w:tcW w:type="dxa" w:w="6000"/>
            <w:tcMar>
              <w:top w:w="80" w:type="dxa"/>
              <w:start w:w="120" w:type="dxa"/>
              <w:bottom w:w="80" w:type="dxa"/>
              <w:end w:w="120" w:type="dxa"/>
            </w:tcMar>
            <w:vAlign w:val="center"/>
          </w:tcPr>
          <w:p>
            <w:r>
              <w:rPr>
                <w:rFonts w:ascii="Calibri" w:hAnsi="Calibri" w:eastAsia="Calibri"/>
                <w:b w:val="0"/>
                <w:i w:val="0"/>
                <w:color w:val="000000"/>
                <w:sz w:val="16"/>
              </w:rPr>
              <w:t>Initial access</w:t>
            </w:r>
          </w:p>
        </w:tc>
        <w:tc>
          <w:tcPr>
            <w:tcW w:type="dxa" w:w="3360"/>
            <w:tcMar>
              <w:top w:w="80" w:type="dxa"/>
              <w:start w:w="120" w:type="dxa"/>
              <w:bottom w:w="80" w:type="dxa"/>
              <w:end w:w="120" w:type="dxa"/>
            </w:tcMar>
            <w:vAlign w:val="center"/>
          </w:tcPr>
          <w:p>
            <w:r>
              <w:rPr>
                <w:rFonts w:ascii="Calibri" w:hAnsi="Calibri" w:eastAsia="Calibri"/>
                <w:b w:val="0"/>
                <w:i w:val="0"/>
                <w:color w:val="000000"/>
                <w:sz w:val="16"/>
              </w:rPr>
              <w:t>0.90</w:t>
            </w:r>
          </w:p>
        </w:tc>
      </w:tr>
      <w:tr>
        <w:tc>
          <w:tcPr>
            <w:tcW w:type="dxa" w:w="6000"/>
            <w:tcMar>
              <w:top w:w="80" w:type="dxa"/>
              <w:start w:w="120" w:type="dxa"/>
              <w:bottom w:w="80" w:type="dxa"/>
              <w:end w:w="120" w:type="dxa"/>
            </w:tcMar>
            <w:vAlign w:val="center"/>
          </w:tcPr>
          <w:p>
            <w:r>
              <w:rPr>
                <w:rFonts w:ascii="Calibri" w:hAnsi="Calibri" w:eastAsia="Calibri"/>
                <w:b w:val="0"/>
                <w:i w:val="0"/>
                <w:color w:val="000000"/>
                <w:sz w:val="16"/>
              </w:rPr>
              <w:t>Carding</w:t>
            </w:r>
          </w:p>
        </w:tc>
        <w:tc>
          <w:tcPr>
            <w:tcW w:type="dxa" w:w="3360"/>
            <w:tcMar>
              <w:top w:w="80" w:type="dxa"/>
              <w:start w:w="120" w:type="dxa"/>
              <w:bottom w:w="80" w:type="dxa"/>
              <w:end w:w="120" w:type="dxa"/>
            </w:tcMar>
            <w:vAlign w:val="center"/>
          </w:tcPr>
          <w:p>
            <w:r>
              <w:rPr>
                <w:rFonts w:ascii="Calibri" w:hAnsi="Calibri" w:eastAsia="Calibri"/>
                <w:b w:val="0"/>
                <w:i w:val="0"/>
                <w:color w:val="000000"/>
                <w:sz w:val="16"/>
              </w:rPr>
              <w:t>0.85</w:t>
            </w:r>
          </w:p>
        </w:tc>
      </w:tr>
      <w:tr>
        <w:tc>
          <w:tcPr>
            <w:tcW w:type="dxa" w:w="6000"/>
            <w:tcMar>
              <w:top w:w="80" w:type="dxa"/>
              <w:start w:w="120" w:type="dxa"/>
              <w:bottom w:w="80" w:type="dxa"/>
              <w:end w:w="120" w:type="dxa"/>
            </w:tcMar>
            <w:vAlign w:val="center"/>
          </w:tcPr>
          <w:p>
            <w:r>
              <w:rPr>
                <w:rFonts w:ascii="Calibri" w:hAnsi="Calibri" w:eastAsia="Calibri"/>
                <w:b w:val="0"/>
                <w:i w:val="0"/>
                <w:color w:val="000000"/>
                <w:sz w:val="16"/>
              </w:rPr>
              <w:t>Phishing</w:t>
            </w:r>
          </w:p>
        </w:tc>
        <w:tc>
          <w:tcPr>
            <w:tcW w:type="dxa" w:w="3360"/>
            <w:tcMar>
              <w:top w:w="80" w:type="dxa"/>
              <w:start w:w="120" w:type="dxa"/>
              <w:bottom w:w="80" w:type="dxa"/>
              <w:end w:w="120" w:type="dxa"/>
            </w:tcMar>
            <w:vAlign w:val="center"/>
          </w:tcPr>
          <w:p>
            <w:r>
              <w:rPr>
                <w:rFonts w:ascii="Calibri" w:hAnsi="Calibri" w:eastAsia="Calibri"/>
                <w:b w:val="0"/>
                <w:i w:val="0"/>
                <w:color w:val="000000"/>
                <w:sz w:val="16"/>
              </w:rPr>
              <w:t>0.75</w:t>
            </w:r>
          </w:p>
        </w:tc>
      </w:tr>
      <w:tr>
        <w:tc>
          <w:tcPr>
            <w:tcW w:type="dxa" w:w="6000"/>
            <w:tcMar>
              <w:top w:w="80" w:type="dxa"/>
              <w:start w:w="120" w:type="dxa"/>
              <w:bottom w:w="80" w:type="dxa"/>
              <w:end w:w="120" w:type="dxa"/>
            </w:tcMar>
            <w:vAlign w:val="center"/>
          </w:tcPr>
          <w:p>
            <w:r>
              <w:rPr>
                <w:rFonts w:ascii="Calibri" w:hAnsi="Calibri" w:eastAsia="Calibri"/>
                <w:b w:val="0"/>
                <w:i w:val="0"/>
                <w:color w:val="000000"/>
                <w:sz w:val="16"/>
              </w:rPr>
              <w:t>Exploit</w:t>
            </w:r>
          </w:p>
        </w:tc>
        <w:tc>
          <w:tcPr>
            <w:tcW w:type="dxa" w:w="3360"/>
            <w:tcMar>
              <w:top w:w="80" w:type="dxa"/>
              <w:start w:w="120" w:type="dxa"/>
              <w:bottom w:w="80" w:type="dxa"/>
              <w:end w:w="120" w:type="dxa"/>
            </w:tcMar>
            <w:vAlign w:val="center"/>
          </w:tcPr>
          <w:p>
            <w:r>
              <w:rPr>
                <w:rFonts w:ascii="Calibri" w:hAnsi="Calibri" w:eastAsia="Calibri"/>
                <w:b w:val="0"/>
                <w:i w:val="0"/>
                <w:color w:val="000000"/>
                <w:sz w:val="16"/>
              </w:rPr>
              <w:t>0.80</w:t>
            </w:r>
          </w:p>
        </w:tc>
      </w:tr>
      <w:tr>
        <w:tc>
          <w:tcPr>
            <w:tcW w:type="dxa" w:w="6000"/>
            <w:tcMar>
              <w:top w:w="80" w:type="dxa"/>
              <w:start w:w="120" w:type="dxa"/>
              <w:bottom w:w="80" w:type="dxa"/>
              <w:end w:w="120" w:type="dxa"/>
            </w:tcMar>
            <w:vAlign w:val="center"/>
          </w:tcPr>
          <w:p>
            <w:r>
              <w:rPr>
                <w:rFonts w:ascii="Calibri" w:hAnsi="Calibri" w:eastAsia="Calibri"/>
                <w:b w:val="0"/>
                <w:i w:val="0"/>
                <w:color w:val="000000"/>
                <w:sz w:val="16"/>
              </w:rPr>
              <w:t>Broker contact</w:t>
            </w:r>
          </w:p>
        </w:tc>
        <w:tc>
          <w:tcPr>
            <w:tcW w:type="dxa" w:w="3360"/>
            <w:tcMar>
              <w:top w:w="80" w:type="dxa"/>
              <w:start w:w="120" w:type="dxa"/>
              <w:bottom w:w="80" w:type="dxa"/>
              <w:end w:w="120" w:type="dxa"/>
            </w:tcMar>
            <w:vAlign w:val="center"/>
          </w:tcPr>
          <w:p>
            <w:r>
              <w:rPr>
                <w:rFonts w:ascii="Calibri" w:hAnsi="Calibri" w:eastAsia="Calibri"/>
                <w:b w:val="0"/>
                <w:i w:val="0"/>
                <w:color w:val="000000"/>
                <w:sz w:val="16"/>
              </w:rPr>
              <w:t>0.35</w:t>
            </w:r>
          </w:p>
        </w:tc>
      </w:tr>
    </w:tbl>
    <w:p>
      <w:pPr>
        <w:spacing w:after="0"/>
      </w:pPr>
    </w:p>
    <w:p>
      <w:pPr>
        <w:pStyle w:val="CodeBlock"/>
        <w:keepLines/>
      </w:pPr>
      <w:r>
        <w:t>if external channel: p = 1 - (1-p_0)*0.90</w:t>
      </w:r>
    </w:p>
    <w:p>
      <w:pPr>
        <w:pStyle w:val="CodeBlock"/>
        <w:keepLines/>
      </w:pPr>
      <w:r>
        <w:t>if risky attachment: p = 1 - (1-p)*0.88</w:t>
      </w:r>
    </w:p>
    <w:p>
      <w:pPr>
        <w:pStyle w:val="CodeBlock"/>
        <w:keepLines/>
      </w:pPr>
      <w:r>
        <w:t>risk = clip(round(100*p), 0, 100)</w:t>
      </w:r>
    </w:p>
    <w:p>
      <w:pPr>
        <w:pStyle w:val="CodeBlock"/>
        <w:keepLines/>
      </w:pPr>
      <w:r>
        <w:t>flagged = (risk &gt;= 55) OR (c_ransomware &gt;= 0.65)</w:t>
      </w:r>
    </w:p>
    <w:p>
      <w:r>
        <w:rPr>
          <w:rFonts w:ascii="Calibri" w:hAnsi="Calibri" w:eastAsia="Calibri"/>
          <w:b w:val="0"/>
          <w:i w:val="0"/>
          <w:color w:val="000000"/>
          <w:sz w:val="22"/>
        </w:rPr>
        <w:t>The exponential transforms are monotone and bounded, so repeated synonymous rules have diminishing marginal effect. The complement updates have a noisy-OR-style form. The resulting p is a risk-like score, not a calibrated real-world probability of criminality or compromise.</w:t>
      </w:r>
    </w:p>
    <w:p>
      <w:pPr>
        <w:pStyle w:val="Heading3"/>
      </w:pPr>
      <w:r>
        <w:t>Typo-tolerant token similarity</w:t>
      </w:r>
    </w:p>
    <w:p>
      <w:pPr>
        <w:pStyle w:val="CodeBlock"/>
        <w:keepLines/>
      </w:pPr>
      <w:r>
        <w:t>sim(q,t) = 2*M / (|q|+|t|)</w:t>
      </w:r>
    </w:p>
    <w:p>
      <w:pPr>
        <w:pStyle w:val="CodeBlock"/>
        <w:keepLines/>
      </w:pPr>
      <w:r>
        <w:t>M = total characters in recursively matched common subsequences</w:t>
      </w:r>
    </w:p>
    <w:p>
      <w:pPr>
        <w:pStyle w:val="CodeBlock"/>
        <w:keepLines/>
      </w:pPr>
      <w:r>
        <w:t>best(q,text) = max over bounded query/candidate token pairs sim(q_i,t_j)</w:t>
      </w:r>
    </w:p>
    <w:p>
      <w:r>
        <w:rPr>
          <w:rFonts w:ascii="Calibri" w:hAnsi="Calibri" w:eastAsia="Calibri"/>
          <w:b w:val="0"/>
          <w:i w:val="0"/>
          <w:color w:val="000000"/>
          <w:sz w:val="22"/>
        </w:rPr>
        <w:t>The implementation uses Python SequenceMatcher, discards tokens shorter than four characters, caps candidate tokens at 450, and skips pairs whose lengths differ by more than 50 percent. Search fetches at most 2,000 database candidates before ranking.</w:t>
      </w:r>
    </w:p>
    <w:p>
      <w:pPr>
        <w:pStyle w:val="Heading3"/>
      </w:pPr>
      <w:r>
        <w:t>Executable algorithm</w:t>
      </w:r>
    </w:p>
    <w:p>
      <w:pPr>
        <w:pStyle w:val="CodeBlock"/>
        <w:keepLines/>
      </w:pPr>
      <w:r>
        <w:t>TELEGRAM-ANALYZE(message):</w:t>
      </w:r>
    </w:p>
    <w:p>
      <w:pPr>
        <w:pStyle w:val="CodeBlock"/>
        <w:keepLines/>
      </w:pPr>
      <w:r>
        <w:t xml:space="preserve">  1. validate authorized session/channel or bounded import</w:t>
      </w:r>
    </w:p>
    <w:p>
      <w:pPr>
        <w:pStyle w:val="CodeBlock"/>
        <w:keepLines/>
      </w:pPr>
      <w:r>
        <w:t xml:space="preserve">  2. normalize case, leetspeak, separators and whitespace</w:t>
      </w:r>
    </w:p>
    <w:p>
      <w:pPr>
        <w:pStyle w:val="CodeBlock"/>
        <w:keepLines/>
      </w:pPr>
      <w:r>
        <w:t xml:space="preserve">  3. evaluate deterministic rules in raw and normalized text</w:t>
      </w:r>
    </w:p>
    <w:p>
      <w:pPr>
        <w:pStyle w:val="CodeBlock"/>
        <w:keepLines/>
      </w:pPr>
      <w:r>
        <w:t xml:space="preserve">  4. compute r_k, c_k, A and bounded risk</w:t>
      </w:r>
    </w:p>
    <w:p>
      <w:pPr>
        <w:pStyle w:val="CodeBlock"/>
        <w:keepLines/>
      </w:pPr>
      <w:r>
        <w:t xml:space="preserve">  5. apply channel/attachment complement boosts; evaluate flag gate</w:t>
      </w:r>
    </w:p>
    <w:p>
      <w:pPr>
        <w:pStyle w:val="CodeBlock"/>
        <w:keepLines/>
      </w:pPr>
      <w:r>
        <w:t xml:space="preserve">  6. extract links, mentions, attachments and IOCs</w:t>
      </w:r>
    </w:p>
    <w:p>
      <w:pPr>
        <w:pStyle w:val="CodeBlock"/>
        <w:keepLines/>
      </w:pPr>
      <w:r>
        <w:t xml:space="preserve">  7. persist evidence and correlate exact customer assets</w:t>
      </w:r>
    </w:p>
    <w:p>
      <w:pPr>
        <w:pStyle w:val="CodeBlock"/>
        <w:keepLines/>
      </w:pPr>
      <w:r>
        <w:t xml:space="preserve">  8. expose alerts/search/graph and STIX after analyst review</w:t>
      </w:r>
    </w:p>
    <w:tbl>
      <w:tblPr>
        <w:tblStyle w:val="TableGrid"/>
        <w:tblW w:type="dxa" w:w="9360"/>
        <w:tblLayout w:type="fixed"/>
        <w:tblLook w:firstColumn="1" w:firstRow="1" w:lastColumn="0" w:lastRow="0" w:noHBand="0" w:noVBand="1" w:val="04A0"/>
        <w:jc w:val="left"/>
        <w:tblInd w:w="120" w:type="dxa"/>
      </w:tblPr>
      <w:tblGrid>
        <w:gridCol w:w="2200"/>
        <w:gridCol w:w="7160"/>
      </w:tblGrid>
      <w:tr>
        <w:trPr>
          <w:tblHeader w:val="true"/>
        </w:trPr>
        <w:tc>
          <w:tcPr>
            <w:tcW w:type="dxa" w:w="2200"/>
            <w:tcMar>
              <w:top w:w="80" w:type="dxa"/>
              <w:start w:w="120" w:type="dxa"/>
              <w:bottom w:w="80" w:type="dxa"/>
              <w:end w:w="120" w:type="dxa"/>
            </w:tcMar>
            <w:vAlign w:val="center"/>
            <w:shd w:fill="E8EEF5"/>
          </w:tcPr>
          <w:p>
            <w:r>
              <w:rPr>
                <w:rFonts w:ascii="Calibri" w:hAnsi="Calibri" w:eastAsia="Calibri"/>
                <w:b/>
                <w:i w:val="0"/>
                <w:color w:val="1F4D78"/>
                <w:sz w:val="16"/>
              </w:rPr>
              <w:t>Property</w:t>
            </w:r>
          </w:p>
        </w:tc>
        <w:tc>
          <w:tcPr>
            <w:tcW w:type="dxa" w:w="7160"/>
            <w:tcMar>
              <w:top w:w="80" w:type="dxa"/>
              <w:start w:w="120" w:type="dxa"/>
              <w:bottom w:w="80" w:type="dxa"/>
              <w:end w:w="120" w:type="dxa"/>
            </w:tcMar>
            <w:vAlign w:val="center"/>
            <w:shd w:fill="E8EEF5"/>
          </w:tcPr>
          <w:p>
            <w:r>
              <w:rPr>
                <w:rFonts w:ascii="Calibri" w:hAnsi="Calibri" w:eastAsia="Calibri"/>
                <w:b/>
                <w:i w:val="0"/>
                <w:color w:val="1F4D78"/>
                <w:sz w:val="16"/>
              </w:rPr>
              <w:t>Result</w:t>
            </w:r>
          </w:p>
        </w:tc>
      </w:tr>
      <w:tr>
        <w:tc>
          <w:tcPr>
            <w:tcW w:type="dxa" w:w="2200"/>
            <w:tcMar>
              <w:top w:w="80" w:type="dxa"/>
              <w:start w:w="120" w:type="dxa"/>
              <w:bottom w:w="80" w:type="dxa"/>
              <w:end w:w="120" w:type="dxa"/>
            </w:tcMar>
            <w:vAlign w:val="center"/>
          </w:tcPr>
          <w:p>
            <w:r>
              <w:rPr>
                <w:rFonts w:ascii="Calibri" w:hAnsi="Calibri" w:eastAsia="Calibri"/>
                <w:b w:val="0"/>
                <w:i w:val="0"/>
                <w:color w:val="000000"/>
                <w:sz w:val="16"/>
              </w:rPr>
              <w:t>Bounds</w:t>
            </w:r>
          </w:p>
        </w:tc>
        <w:tc>
          <w:tcPr>
            <w:tcW w:type="dxa" w:w="7160"/>
            <w:tcMar>
              <w:top w:w="80" w:type="dxa"/>
              <w:start w:w="120" w:type="dxa"/>
              <w:bottom w:w="80" w:type="dxa"/>
              <w:end w:w="120" w:type="dxa"/>
            </w:tcMar>
            <w:vAlign w:val="center"/>
          </w:tcPr>
          <w:p>
            <w:r>
              <w:rPr>
                <w:rFonts w:ascii="Calibri" w:hAnsi="Calibri" w:eastAsia="Calibri"/>
                <w:b w:val="0"/>
                <w:i w:val="0"/>
                <w:color w:val="000000"/>
                <w:sz w:val="16"/>
              </w:rPr>
              <w:t>0 &lt;= c_k &lt; 1 and 0 &lt;= risk &lt;= 100</w:t>
            </w:r>
          </w:p>
        </w:tc>
      </w:tr>
      <w:tr>
        <w:tc>
          <w:tcPr>
            <w:tcW w:type="dxa" w:w="2200"/>
            <w:tcMar>
              <w:top w:w="80" w:type="dxa"/>
              <w:start w:w="120" w:type="dxa"/>
              <w:bottom w:w="80" w:type="dxa"/>
              <w:end w:w="120" w:type="dxa"/>
            </w:tcMar>
            <w:vAlign w:val="center"/>
          </w:tcPr>
          <w:p>
            <w:r>
              <w:rPr>
                <w:rFonts w:ascii="Calibri" w:hAnsi="Calibri" w:eastAsia="Calibri"/>
                <w:b w:val="0"/>
                <w:i w:val="0"/>
                <w:color w:val="000000"/>
                <w:sz w:val="16"/>
              </w:rPr>
              <w:t>Rule evaluation</w:t>
            </w:r>
          </w:p>
        </w:tc>
        <w:tc>
          <w:tcPr>
            <w:tcW w:type="dxa" w:w="7160"/>
            <w:tcMar>
              <w:top w:w="80" w:type="dxa"/>
              <w:start w:w="120" w:type="dxa"/>
              <w:bottom w:w="80" w:type="dxa"/>
              <w:end w:w="120" w:type="dxa"/>
            </w:tcMar>
            <w:vAlign w:val="center"/>
          </w:tcPr>
          <w:p>
            <w:r>
              <w:rPr>
                <w:rFonts w:ascii="Calibri" w:hAnsi="Calibri" w:eastAsia="Calibri"/>
                <w:b w:val="0"/>
                <w:i w:val="0"/>
                <w:color w:val="000000"/>
                <w:sz w:val="16"/>
              </w:rPr>
              <w:t>Deterministic for the same text, media name and rule set</w:t>
            </w:r>
          </w:p>
        </w:tc>
      </w:tr>
      <w:tr>
        <w:tc>
          <w:tcPr>
            <w:tcW w:type="dxa" w:w="2200"/>
            <w:tcMar>
              <w:top w:w="80" w:type="dxa"/>
              <w:start w:w="120" w:type="dxa"/>
              <w:bottom w:w="80" w:type="dxa"/>
              <w:end w:w="120" w:type="dxa"/>
            </w:tcMar>
            <w:vAlign w:val="center"/>
          </w:tcPr>
          <w:p>
            <w:r>
              <w:rPr>
                <w:rFonts w:ascii="Calibri" w:hAnsi="Calibri" w:eastAsia="Calibri"/>
                <w:b w:val="0"/>
                <w:i w:val="0"/>
                <w:color w:val="000000"/>
                <w:sz w:val="16"/>
              </w:rPr>
              <w:t>Fuzzy-search bound</w:t>
            </w:r>
          </w:p>
        </w:tc>
        <w:tc>
          <w:tcPr>
            <w:tcW w:type="dxa" w:w="7160"/>
            <w:tcMar>
              <w:top w:w="80" w:type="dxa"/>
              <w:start w:w="120" w:type="dxa"/>
              <w:bottom w:w="80" w:type="dxa"/>
              <w:end w:w="120" w:type="dxa"/>
            </w:tcMar>
            <w:vAlign w:val="center"/>
          </w:tcPr>
          <w:p>
            <w:r>
              <w:rPr>
                <w:rFonts w:ascii="Calibri" w:hAnsi="Calibri" w:eastAsia="Calibri"/>
                <w:b w:val="0"/>
                <w:i w:val="0"/>
                <w:color w:val="000000"/>
                <w:sz w:val="16"/>
              </w:rPr>
              <w:t>At most 450 candidate tokens per message and 2,000 fetched message rows</w:t>
            </w:r>
          </w:p>
        </w:tc>
      </w:tr>
      <w:tr>
        <w:tc>
          <w:tcPr>
            <w:tcW w:type="dxa" w:w="2200"/>
            <w:tcMar>
              <w:top w:w="80" w:type="dxa"/>
              <w:start w:w="120" w:type="dxa"/>
              <w:bottom w:w="80" w:type="dxa"/>
              <w:end w:w="120" w:type="dxa"/>
            </w:tcMar>
            <w:vAlign w:val="center"/>
          </w:tcPr>
          <w:p>
            <w:r>
              <w:rPr>
                <w:rFonts w:ascii="Calibri" w:hAnsi="Calibri" w:eastAsia="Calibri"/>
                <w:b w:val="0"/>
                <w:i w:val="0"/>
                <w:color w:val="000000"/>
                <w:sz w:val="16"/>
              </w:rPr>
              <w:t>Validation boundary</w:t>
            </w:r>
          </w:p>
        </w:tc>
        <w:tc>
          <w:tcPr>
            <w:tcW w:type="dxa" w:w="7160"/>
            <w:tcMar>
              <w:top w:w="80" w:type="dxa"/>
              <w:start w:w="120" w:type="dxa"/>
              <w:bottom w:w="80" w:type="dxa"/>
              <w:end w:w="120" w:type="dxa"/>
            </w:tcMar>
            <w:vAlign w:val="center"/>
          </w:tcPr>
          <w:p>
            <w:r>
              <w:rPr>
                <w:rFonts w:ascii="Calibri" w:hAnsi="Calibri" w:eastAsia="Calibri"/>
                <w:b w:val="0"/>
                <w:i w:val="0"/>
                <w:color w:val="000000"/>
                <w:sz w:val="16"/>
              </w:rPr>
              <w:t>Weights and flag thresholds require labeled-corpus precision/recall calibration before probabilistic interpretation</w:t>
            </w:r>
          </w:p>
        </w:tc>
      </w:tr>
    </w:tbl>
    <w:p>
      <w:pPr>
        <w:spacing w:after="0"/>
      </w:pPr>
    </w:p>
    <w:p>
      <w:pPr>
        <w:pStyle w:val="Heading3"/>
      </w:pPr>
      <w:r>
        <w:t>Research and standards basis</w:t>
      </w:r>
    </w:p>
    <w:p>
      <w:r>
        <w:rPr>
          <w:rFonts w:ascii="Calibri" w:hAnsi="Calibri" w:eastAsia="Calibri"/>
          <w:b w:val="0"/>
          <w:i w:val="0"/>
          <w:color w:val="000000"/>
          <w:sz w:val="22"/>
        </w:rPr>
        <w:t>Noisy-OR literature supports bounded aggregation of multiple partially independent causes, and Ratcliff-Metzener describes the Gestalt string-similarity family used by SequenceMatcher. Argus uses these mathematical shapes deterministically; independence and probability calibration have not been established on a labeled Telegram corpus.</w:t>
      </w:r>
    </w:p>
    <w:p>
      <w:pPr>
        <w:pStyle w:val="ListBullet"/>
      </w:pPr>
      <w:hyperlink r:id="rId23">
        <w:r>
          <w:rPr>
            <w:color w:val="2E74B5"/>
            <w:u w:val="single"/>
          </w:rPr>
          <w:t>Srinivas — A Generalization of the Noisy-Or Model</w:t>
        </w:r>
      </w:hyperlink>
    </w:p>
    <w:p>
      <w:pPr>
        <w:pStyle w:val="ListBullet"/>
      </w:pPr>
      <w:hyperlink r:id="rId24">
        <w:r>
          <w:rPr>
            <w:color w:val="2E74B5"/>
            <w:u w:val="single"/>
          </w:rPr>
          <w:t>Ratcliff and Metzener — Pattern Matching: The Gestalt Approach</w:t>
        </w:r>
      </w:hyperlink>
    </w:p>
    <w:p>
      <w:pPr>
        <w:pStyle w:val="Heading2"/>
      </w:pPr>
      <w:r>
        <w:t>PII, IOC correlation and STIX</w:t>
      </w:r>
    </w:p>
    <w:p>
      <w:pPr>
        <w:jc w:val="center"/>
      </w:pPr>
      <w:r>
        <w:drawing>
          <wp:inline xmlns:a="http://schemas.openxmlformats.org/drawingml/2006/main" xmlns:pic="http://schemas.openxmlformats.org/drawingml/2006/picture">
            <wp:extent cx="5623560" cy="7487368"/>
            <wp:docPr id="6" name="pii-ioc-stix-flow" descr="Figure 6. Shared PII/IOC extraction, customer correlation, and STIX mapping."/>
            <wp:cNvGraphicFramePr>
              <a:graphicFrameLocks noChangeAspect="1"/>
            </wp:cNvGraphicFramePr>
            <a:graphic>
              <a:graphicData uri="http://schemas.openxmlformats.org/drawingml/2006/picture">
                <pic:pic>
                  <pic:nvPicPr>
                    <pic:cNvPr id="0" name="pii-ioc-stix-flow.png"/>
                    <pic:cNvPicPr/>
                  </pic:nvPicPr>
                  <pic:blipFill>
                    <a:blip r:embed="rId25">
                      <a:extLst>
                        <a:ext uri="{96DAC541-7B7A-43D3-8B79-37D633B846F1}">
                          <asvg:svgBlip xmlns:asvg="http://schemas.microsoft.com/office/drawing/2016/SVG/main" r:embed="rIdSvg6"/>
                        </a:ext>
                      </a:extLst>
                    </a:blip>
                    <a:stretch>
                      <a:fillRect/>
                    </a:stretch>
                  </pic:blipFill>
                  <pic:spPr>
                    <a:xfrm>
                      <a:off x="0" y="0"/>
                      <a:ext cx="5623560" cy="7487368"/>
                    </a:xfrm>
                    <a:prstGeom prst="rect"/>
                  </pic:spPr>
                </pic:pic>
              </a:graphicData>
            </a:graphic>
          </wp:inline>
        </w:drawing>
      </w:r>
    </w:p>
    <w:p>
      <w:pPr>
        <w:spacing w:after="160"/>
        <w:jc w:val="center"/>
      </w:pPr>
      <w:r>
        <w:rPr>
          <w:rFonts w:ascii="Calibri" w:hAnsi="Calibri" w:eastAsia="Calibri"/>
          <w:b w:val="0"/>
          <w:i/>
          <w:color w:val="666666"/>
          <w:sz w:val="16"/>
        </w:rPr>
        <w:t>Figure 6. Shared PII/IOC extraction, customer correlation, and STIX mapping.</w:t>
      </w:r>
      <w:r>
        <w:br w:type="page"/>
      </w:r>
    </w:p>
    <w:p>
      <w:pPr>
        <w:pStyle w:val="Heading2"/>
      </w:pPr>
      <w:r>
        <w:t>Flow-aligned mathematical algorithm and specification</w:t>
      </w:r>
    </w:p>
    <w:p>
      <w:r>
        <w:rPr>
          <w:rFonts w:ascii="Calibri" w:hAnsi="Calibri" w:eastAsia="Calibri"/>
          <w:b w:val="0"/>
          <w:i w:val="0"/>
          <w:color w:val="000000"/>
          <w:sz w:val="22"/>
        </w:rPr>
        <w:t>The PII/IOC/STIX algorithm follows ordered pattern recognition, noise guards, canonicalization, deduplication, confidence adjustment, cautious customer attribution, and standards-based object mapping.</w:t>
      </w:r>
    </w:p>
    <w:p>
      <w:pPr>
        <w:pStyle w:val="Heading3"/>
      </w:pPr>
      <w:r>
        <w:t>Ordered detection and confidence</w:t>
      </w:r>
    </w:p>
    <w:p>
      <w:pPr>
        <w:pStyle w:val="CodeBlock"/>
        <w:keepLines/>
      </w:pPr>
      <w:r>
        <w:t>For ordered pattern p_i and line l:</w:t>
      </w:r>
    </w:p>
    <w:p>
      <w:pPr>
        <w:pStyle w:val="CodeBlock"/>
        <w:keepLines/>
      </w:pPr>
      <w:r>
        <w:t>I_i(l) = 1 if regex p_i matches l and all noise guards pass, else 0</w:t>
      </w:r>
    </w:p>
    <w:p>
      <w:pPr>
        <w:pStyle w:val="CodeBlock"/>
        <w:keepLines/>
      </w:pPr>
      <w:r>
        <w:t>K(match) = (category, ioc_type, exact_value)</w:t>
      </w:r>
    </w:p>
    <w:p>
      <w:pPr>
        <w:pStyle w:val="CodeBlock"/>
        <w:keepLines/>
      </w:pPr>
      <w:r>
        <w:t>keep the first unique K under specific-to-generic scan order</w:t>
      </w:r>
    </w:p>
    <w:p>
      <w:pPr>
        <w:pStyle w:val="CodeBlock"/>
        <w:keepLines/>
      </w:pPr>
      <w:r>
        <w:t>confidence = min(1, base_confidence + 0.10*I(customer_domain occurs on same line))</w:t>
      </w:r>
    </w:p>
    <w:p>
      <w:r>
        <w:rPr>
          <w:rFonts w:ascii="Calibri" w:hAnsi="Calibri" w:eastAsia="Calibri"/>
          <w:b w:val="0"/>
          <w:i w:val="0"/>
          <w:color w:val="000000"/>
          <w:sz w:val="22"/>
        </w:rPr>
        <w:t>The engine evaluates 92 expressions in 17 ordered families. Specific credential, token, session and exfiltration patterns precede generic URL, domain, email, IP and hash patterns. Private/localhost IP guards and removed high-noise expressions reduce false positives.</w:t>
      </w:r>
    </w:p>
    <w:p>
      <w:pPr>
        <w:pStyle w:val="Heading3"/>
      </w:pPr>
      <w:r>
        <w:t>Customer attribution predicates</w:t>
      </w:r>
    </w:p>
    <w:p>
      <w:pPr>
        <w:pStyle w:val="CodeBlock"/>
        <w:keepLines/>
      </w:pPr>
      <w:r>
        <w:t>A(e,c) = IP_EXACT_OR_CIDR(e,c) OR DOMAIN_EXACT_OR_SUBDOMAIN(e,c)</w:t>
      </w:r>
    </w:p>
    <w:p>
      <w:pPr>
        <w:pStyle w:val="CodeBlock"/>
        <w:keepLines/>
      </w:pPr>
      <w:r>
        <w:t xml:space="preserve">         OR EMAIL_DOMAIN_OR_EXECUTIVE(e,c) OR CVE_PRODUCT_VERSION(e,c)</w:t>
      </w:r>
    </w:p>
    <w:p>
      <w:pPr>
        <w:pStyle w:val="CodeBlock"/>
        <w:keepLines/>
      </w:pPr>
      <w:r>
        <w:t xml:space="preserve">         OR BOUNDED_BRAND_KEYWORD_EVIDENCE(e,c)</w:t>
      </w:r>
    </w:p>
    <w:p>
      <w:pPr>
        <w:pStyle w:val="CodeBlock"/>
        <w:keepLines/>
      </w:pPr>
      <w:r/>
    </w:p>
    <w:p>
      <w:pPr>
        <w:pStyle w:val="CodeBlock"/>
        <w:keepLines/>
      </w:pPr>
      <w:r>
        <w:t>Direct finding only when an implemented attribution predicate supplies match proof.</w:t>
      </w:r>
    </w:p>
    <w:p>
      <w:pPr>
        <w:pStyle w:val="CodeBlock"/>
        <w:keepLines/>
      </w:pPr>
      <w:r>
        <w:t>Unknown product version =&gt; probable exposure at lower confidence.</w:t>
      </w:r>
    </w:p>
    <w:p>
      <w:pPr>
        <w:pStyle w:val="CodeBlock"/>
        <w:keepLines/>
      </w:pPr>
      <w:r>
        <w:t>No attributable predicate =&gt; global signal, not a customer finding.</w:t>
      </w:r>
    </w:p>
    <w:p>
      <w:r>
        <w:rPr>
          <w:rFonts w:ascii="Calibri" w:hAnsi="Calibri" w:eastAsia="Calibri"/>
          <w:b w:val="0"/>
          <w:i w:val="0"/>
          <w:color w:val="000000"/>
          <w:sz w:val="22"/>
        </w:rPr>
        <w:t>Domain matching is boundary-aware; raw substring containment is not treated as exact ownership. IP ranges use canonical address membership. These are conservative logical predicates rather than a learned entity-resolution model.</w:t>
      </w:r>
    </w:p>
    <w:p>
      <w:pPr>
        <w:pStyle w:val="Heading3"/>
      </w:pPr>
      <w:r>
        <w:t>STIX confidence and deterministic names</w:t>
      </w:r>
    </w:p>
    <w:p>
      <w:pPr>
        <w:pStyle w:val="CodeBlock"/>
        <w:keepLines/>
      </w:pPr>
      <w:r>
        <w:t>C_stix = clip(round(100*confidence), 0, 100)</w:t>
      </w:r>
    </w:p>
    <w:p>
      <w:pPr>
        <w:pStyle w:val="CodeBlock"/>
        <w:keepLines/>
      </w:pPr>
      <w:r>
        <w:t>UUIDv5(namespace,name) = RFC9562_Format(first128(SHA1(namespace || canonical_name)))</w:t>
      </w:r>
    </w:p>
    <w:p>
      <w:pPr>
        <w:pStyle w:val="CodeBlock"/>
        <w:keepLines/>
      </w:pPr>
      <w:r>
        <w:t>Bundle UUIDs are UUIDv4; Telegram-derived object IDs use UUIDv5.</w:t>
      </w:r>
    </w:p>
    <w:p>
      <w:pPr>
        <w:pStyle w:val="CodeBlock"/>
        <w:keepLines/>
      </w:pPr>
      <w:r>
        <w:t>Duplicate exported objects are removed by normalized (type,value) identity.</w:t>
      </w:r>
    </w:p>
    <w:p>
      <w:r>
        <w:rPr>
          <w:rFonts w:ascii="Calibri" w:hAnsi="Calibri" w:eastAsia="Calibri"/>
          <w:b w:val="0"/>
          <w:i w:val="0"/>
          <w:color w:val="000000"/>
          <w:sz w:val="22"/>
        </w:rPr>
        <w:t>Standard IP, domain, URL, email and hash values become STIX Indicator patterns; CVEs become Vulnerability objects in the Telegram export path; unsupported types use the documented open 'argus' pattern type instead of pretending to be valid STIX pattern syntax.</w:t>
      </w:r>
    </w:p>
    <w:p>
      <w:pPr>
        <w:pStyle w:val="Heading3"/>
      </w:pPr>
      <w:r>
        <w:t>Executable algorithm</w:t>
      </w:r>
    </w:p>
    <w:p>
      <w:pPr>
        <w:pStyle w:val="CodeBlock"/>
        <w:keepLines/>
      </w:pPr>
      <w:r>
        <w:t>PII-IOC-STIX(text, customer):</w:t>
      </w:r>
    </w:p>
    <w:p>
      <w:pPr>
        <w:pStyle w:val="CodeBlock"/>
        <w:keepLines/>
      </w:pPr>
      <w:r>
        <w:t xml:space="preserve">  1. scan each line with specific-to-generic compiled patterns</w:t>
      </w:r>
    </w:p>
    <w:p>
      <w:pPr>
        <w:pStyle w:val="CodeBlock"/>
        <w:keepLines/>
      </w:pPr>
      <w:r>
        <w:t xml:space="preserve">  2. reject short, private, localhost and duplicate candidates</w:t>
      </w:r>
    </w:p>
    <w:p>
      <w:pPr>
        <w:pStyle w:val="CodeBlock"/>
        <w:keepLines/>
      </w:pPr>
      <w:r>
        <w:t xml:space="preserve">  3. normalize values; attach line context and bounded confidence</w:t>
      </w:r>
    </w:p>
    <w:p>
      <w:pPr>
        <w:pStyle w:val="CodeBlock"/>
        <w:keepLines/>
      </w:pPr>
      <w:r>
        <w:t xml:space="preserve">  4. evaluate exact/boundary/CIDR/CVE customer predicates</w:t>
      </w:r>
    </w:p>
    <w:p>
      <w:pPr>
        <w:pStyle w:val="CodeBlock"/>
        <w:keepLines/>
      </w:pPr>
      <w:r>
        <w:t xml:space="preserve">  5. create direct, probable or global evidence without false attribution</w:t>
      </w:r>
    </w:p>
    <w:p>
      <w:pPr>
        <w:pStyle w:val="CodeBlock"/>
        <w:keepLines/>
      </w:pPr>
      <w:r>
        <w:t xml:space="preserve">  6. map supported values to STIX 2.1 objects and escape patterns</w:t>
      </w:r>
    </w:p>
    <w:p>
      <w:pPr>
        <w:pStyle w:val="CodeBlock"/>
        <w:keepLines/>
      </w:pPr>
      <w:r>
        <w:t xml:space="preserve">  7. assign bounded confidence and stable IDs where implemented</w:t>
      </w:r>
    </w:p>
    <w:p>
      <w:pPr>
        <w:pStyle w:val="CodeBlock"/>
        <w:keepLines/>
      </w:pPr>
      <w:r>
        <w:t xml:space="preserve">  8. deduplicate bundle and retain evidence for analyst review</w:t>
      </w:r>
    </w:p>
    <w:tbl>
      <w:tblPr>
        <w:tblStyle w:val="TableGrid"/>
        <w:tblW w:type="dxa" w:w="9360"/>
        <w:tblLayout w:type="fixed"/>
        <w:tblLook w:firstColumn="1" w:firstRow="1" w:lastColumn="0" w:lastRow="0" w:noHBand="0" w:noVBand="1" w:val="04A0"/>
        <w:jc w:val="left"/>
        <w:tblInd w:w="120" w:type="dxa"/>
      </w:tblPr>
      <w:tblGrid>
        <w:gridCol w:w="2200"/>
        <w:gridCol w:w="7160"/>
      </w:tblGrid>
      <w:tr>
        <w:trPr>
          <w:tblHeader w:val="true"/>
        </w:trPr>
        <w:tc>
          <w:tcPr>
            <w:tcW w:type="dxa" w:w="2200"/>
            <w:tcMar>
              <w:top w:w="80" w:type="dxa"/>
              <w:start w:w="120" w:type="dxa"/>
              <w:bottom w:w="80" w:type="dxa"/>
              <w:end w:w="120" w:type="dxa"/>
            </w:tcMar>
            <w:vAlign w:val="center"/>
            <w:shd w:fill="E8EEF5"/>
          </w:tcPr>
          <w:p>
            <w:r>
              <w:rPr>
                <w:rFonts w:ascii="Calibri" w:hAnsi="Calibri" w:eastAsia="Calibri"/>
                <w:b/>
                <w:i w:val="0"/>
                <w:color w:val="1F4D78"/>
                <w:sz w:val="16"/>
              </w:rPr>
              <w:t>Property</w:t>
            </w:r>
          </w:p>
        </w:tc>
        <w:tc>
          <w:tcPr>
            <w:tcW w:type="dxa" w:w="7160"/>
            <w:tcMar>
              <w:top w:w="80" w:type="dxa"/>
              <w:start w:w="120" w:type="dxa"/>
              <w:bottom w:w="80" w:type="dxa"/>
              <w:end w:w="120" w:type="dxa"/>
            </w:tcMar>
            <w:vAlign w:val="center"/>
            <w:shd w:fill="E8EEF5"/>
          </w:tcPr>
          <w:p>
            <w:r>
              <w:rPr>
                <w:rFonts w:ascii="Calibri" w:hAnsi="Calibri" w:eastAsia="Calibri"/>
                <w:b/>
                <w:i w:val="0"/>
                <w:color w:val="1F4D78"/>
                <w:sz w:val="16"/>
              </w:rPr>
              <w:t>Result</w:t>
            </w:r>
          </w:p>
        </w:tc>
      </w:tr>
      <w:tr>
        <w:tc>
          <w:tcPr>
            <w:tcW w:type="dxa" w:w="2200"/>
            <w:tcMar>
              <w:top w:w="80" w:type="dxa"/>
              <w:start w:w="120" w:type="dxa"/>
              <w:bottom w:w="80" w:type="dxa"/>
              <w:end w:w="120" w:type="dxa"/>
            </w:tcMar>
            <w:vAlign w:val="center"/>
          </w:tcPr>
          <w:p>
            <w:r>
              <w:rPr>
                <w:rFonts w:ascii="Calibri" w:hAnsi="Calibri" w:eastAsia="Calibri"/>
                <w:b w:val="0"/>
                <w:i w:val="0"/>
                <w:color w:val="000000"/>
                <w:sz w:val="16"/>
              </w:rPr>
              <w:t>Detection cost</w:t>
            </w:r>
          </w:p>
        </w:tc>
        <w:tc>
          <w:tcPr>
            <w:tcW w:type="dxa" w:w="7160"/>
            <w:tcMar>
              <w:top w:w="80" w:type="dxa"/>
              <w:start w:w="120" w:type="dxa"/>
              <w:bottom w:w="80" w:type="dxa"/>
              <w:end w:w="120" w:type="dxa"/>
            </w:tcMar>
            <w:vAlign w:val="center"/>
          </w:tcPr>
          <w:p>
            <w:r>
              <w:rPr>
                <w:rFonts w:ascii="Calibri" w:hAnsi="Calibri" w:eastAsia="Calibri"/>
                <w:b w:val="0"/>
                <w:i w:val="0"/>
                <w:color w:val="000000"/>
                <w:sz w:val="16"/>
              </w:rPr>
              <w:t>O(L * P * match_cost) for L lines and P compiled expressions; P is fixed at 92</w:t>
            </w:r>
          </w:p>
        </w:tc>
      </w:tr>
      <w:tr>
        <w:tc>
          <w:tcPr>
            <w:tcW w:type="dxa" w:w="2200"/>
            <w:tcMar>
              <w:top w:w="80" w:type="dxa"/>
              <w:start w:w="120" w:type="dxa"/>
              <w:bottom w:w="80" w:type="dxa"/>
              <w:end w:w="120" w:type="dxa"/>
            </w:tcMar>
            <w:vAlign w:val="center"/>
          </w:tcPr>
          <w:p>
            <w:r>
              <w:rPr>
                <w:rFonts w:ascii="Calibri" w:hAnsi="Calibri" w:eastAsia="Calibri"/>
                <w:b w:val="0"/>
                <w:i w:val="0"/>
                <w:color w:val="000000"/>
                <w:sz w:val="16"/>
              </w:rPr>
              <w:t>Deduplication</w:t>
            </w:r>
          </w:p>
        </w:tc>
        <w:tc>
          <w:tcPr>
            <w:tcW w:type="dxa" w:w="7160"/>
            <w:tcMar>
              <w:top w:w="80" w:type="dxa"/>
              <w:start w:w="120" w:type="dxa"/>
              <w:bottom w:w="80" w:type="dxa"/>
              <w:end w:w="120" w:type="dxa"/>
            </w:tcMar>
            <w:vAlign w:val="center"/>
          </w:tcPr>
          <w:p>
            <w:r>
              <w:rPr>
                <w:rFonts w:ascii="Calibri" w:hAnsi="Calibri" w:eastAsia="Calibri"/>
                <w:b w:val="0"/>
                <w:i w:val="0"/>
                <w:color w:val="000000"/>
                <w:sz w:val="16"/>
              </w:rPr>
              <w:t>Expected O(M) with a hash set for M candidate matches</w:t>
            </w:r>
          </w:p>
        </w:tc>
      </w:tr>
      <w:tr>
        <w:tc>
          <w:tcPr>
            <w:tcW w:type="dxa" w:w="2200"/>
            <w:tcMar>
              <w:top w:w="80" w:type="dxa"/>
              <w:start w:w="120" w:type="dxa"/>
              <w:bottom w:w="80" w:type="dxa"/>
              <w:end w:w="120" w:type="dxa"/>
            </w:tcMar>
            <w:vAlign w:val="center"/>
          </w:tcPr>
          <w:p>
            <w:r>
              <w:rPr>
                <w:rFonts w:ascii="Calibri" w:hAnsi="Calibri" w:eastAsia="Calibri"/>
                <w:b w:val="0"/>
                <w:i w:val="0"/>
                <w:color w:val="000000"/>
                <w:sz w:val="16"/>
              </w:rPr>
              <w:t>Interoperability</w:t>
            </w:r>
          </w:p>
        </w:tc>
        <w:tc>
          <w:tcPr>
            <w:tcW w:type="dxa" w:w="7160"/>
            <w:tcMar>
              <w:top w:w="80" w:type="dxa"/>
              <w:start w:w="120" w:type="dxa"/>
              <w:bottom w:w="80" w:type="dxa"/>
              <w:end w:w="120" w:type="dxa"/>
            </w:tcMar>
            <w:vAlign w:val="center"/>
          </w:tcPr>
          <w:p>
            <w:r>
              <w:rPr>
                <w:rFonts w:ascii="Calibri" w:hAnsi="Calibri" w:eastAsia="Calibri"/>
                <w:b w:val="0"/>
                <w:i w:val="0"/>
                <w:color w:val="000000"/>
                <w:sz w:val="16"/>
              </w:rPr>
              <w:t>STIX structure and pattern vocabulary follow OASIS STIX 2.1</w:t>
            </w:r>
          </w:p>
        </w:tc>
      </w:tr>
      <w:tr>
        <w:tc>
          <w:tcPr>
            <w:tcW w:type="dxa" w:w="2200"/>
            <w:tcMar>
              <w:top w:w="80" w:type="dxa"/>
              <w:start w:w="120" w:type="dxa"/>
              <w:bottom w:w="80" w:type="dxa"/>
              <w:end w:w="120" w:type="dxa"/>
            </w:tcMar>
            <w:vAlign w:val="center"/>
          </w:tcPr>
          <w:p>
            <w:r>
              <w:rPr>
                <w:rFonts w:ascii="Calibri" w:hAnsi="Calibri" w:eastAsia="Calibri"/>
                <w:b w:val="0"/>
                <w:i w:val="0"/>
                <w:color w:val="000000"/>
                <w:sz w:val="16"/>
              </w:rPr>
              <w:t>Validation boundary</w:t>
            </w:r>
          </w:p>
        </w:tc>
        <w:tc>
          <w:tcPr>
            <w:tcW w:type="dxa" w:w="7160"/>
            <w:tcMar>
              <w:top w:w="80" w:type="dxa"/>
              <w:start w:w="120" w:type="dxa"/>
              <w:bottom w:w="80" w:type="dxa"/>
              <w:end w:w="120" w:type="dxa"/>
            </w:tcMar>
            <w:vAlign w:val="center"/>
          </w:tcPr>
          <w:p>
            <w:r>
              <w:rPr>
                <w:rFonts w:ascii="Calibri" w:hAnsi="Calibri" w:eastAsia="Calibri"/>
                <w:b w:val="0"/>
                <w:i w:val="0"/>
                <w:color w:val="000000"/>
                <w:sz w:val="16"/>
              </w:rPr>
              <w:t>Regex-shaped PII and secrets are candidates; provider checksums/contextual validation may still be required</w:t>
            </w:r>
          </w:p>
        </w:tc>
      </w:tr>
    </w:tbl>
    <w:p>
      <w:pPr>
        <w:spacing w:after="0"/>
      </w:pPr>
    </w:p>
    <w:p>
      <w:pPr>
        <w:pStyle w:val="Heading3"/>
      </w:pPr>
      <w:r>
        <w:t>Research and standards basis</w:t>
      </w:r>
    </w:p>
    <w:p>
      <w:r>
        <w:rPr>
          <w:rFonts w:ascii="Calibri" w:hAnsi="Calibri" w:eastAsia="Calibri"/>
          <w:b w:val="0"/>
          <w:i w:val="0"/>
          <w:color w:val="000000"/>
          <w:sz w:val="22"/>
        </w:rPr>
        <w:t>Kleene's formal-language work supplies the theoretical basis for regular-expression recognition; OASIS specifies STIX 2.1; RFC 9562 specifies UUIDv5; FIPS 180-4 specifies SHA-1/SHA-256 primitives. These standards validate representation mechanics, not the semantic truth of a regex match or customer attribution.</w:t>
      </w:r>
    </w:p>
    <w:p>
      <w:pPr>
        <w:pStyle w:val="ListBullet"/>
      </w:pPr>
      <w:hyperlink r:id="rId26">
        <w:r>
          <w:rPr>
            <w:color w:val="2E74B5"/>
            <w:u w:val="single"/>
          </w:rPr>
          <w:t>Kleene — Representation of Events in Nerve Nets and Finite Automata</w:t>
        </w:r>
      </w:hyperlink>
    </w:p>
    <w:p>
      <w:pPr>
        <w:pStyle w:val="ListBullet"/>
      </w:pPr>
      <w:hyperlink r:id="rId27">
        <w:r>
          <w:rPr>
            <w:color w:val="2E74B5"/>
            <w:u w:val="single"/>
          </w:rPr>
          <w:t>OASIS STIX 2.1 introduction</w:t>
        </w:r>
      </w:hyperlink>
    </w:p>
    <w:p>
      <w:pPr>
        <w:pStyle w:val="ListBullet"/>
      </w:pPr>
      <w:hyperlink r:id="rId28">
        <w:r>
          <w:rPr>
            <w:color w:val="2E74B5"/>
            <w:u w:val="single"/>
          </w:rPr>
          <w:t>IETF RFC 9562 — Universally Unique IDentifiers</w:t>
        </w:r>
      </w:hyperlink>
    </w:p>
    <w:p>
      <w:pPr>
        <w:pStyle w:val="ListBullet"/>
      </w:pPr>
      <w:hyperlink r:id="rId21">
        <w:r>
          <w:rPr>
            <w:color w:val="2E74B5"/>
            <w:u w:val="single"/>
          </w:rPr>
          <w:t>NIST FIPS 180-4 — Secure Hash Standard</w:t>
        </w:r>
      </w:hyperlink>
    </w:p>
    <w:p>
      <w:pPr>
        <w:pStyle w:val="Heading1"/>
      </w:pPr>
      <w:r>
        <w:t>Unified end-to-end mathematical algorithm</w:t>
      </w:r>
    </w:p>
    <w:p>
      <w:r>
        <w:rPr>
          <w:rFonts w:ascii="Calibri" w:hAnsi="Calibri" w:eastAsia="Calibri"/>
          <w:b w:val="0"/>
          <w:i w:val="0"/>
          <w:color w:val="000000"/>
          <w:sz w:val="22"/>
        </w:rPr>
        <w:t>The unified model composes the five module algorithms without averaging incompatible scores. OSINT identity evidence, breach relationships, Telegram risk, IOC candidates and core exposure remain typed values until explicit correlation predicates create a customer finding.</w:t>
      </w:r>
    </w:p>
    <w:p>
      <w:pPr>
        <w:pStyle w:val="CodeBlock"/>
        <w:keepLines/>
      </w:pPr>
      <w:r>
        <w:t>O = O_core union O_osint union O_breach union O_telegram union O_pii_ioc</w:t>
      </w:r>
    </w:p>
    <w:p>
      <w:pPr>
        <w:pStyle w:val="CodeBlock"/>
        <w:keepLines/>
      </w:pPr>
      <w:r>
        <w:t>E = DEDUP(NORMALIZE(O), provenance-preserving typed key)</w:t>
      </w:r>
    </w:p>
    <w:p>
      <w:pPr>
        <w:pStyle w:val="CodeBlock"/>
        <w:keepLines/>
      </w:pPr>
      <w:r>
        <w:t>F_c = { e in E : A(e,c)=1 and policy_gate(e,c)=ALLOW }</w:t>
      </w:r>
    </w:p>
    <w:p>
      <w:pPr>
        <w:pStyle w:val="CodeBlock"/>
        <w:keepLines/>
      </w:pPr>
      <w:r>
        <w:t>G_c = { e in E : A(e,c)=0 }  # global/sector evidence, never forced attribution</w:t>
      </w:r>
    </w:p>
    <w:p>
      <w:pPr>
        <w:pStyle w:val="CodeBlock"/>
        <w:keepLines/>
      </w:pPr>
      <w:r>
        <w:t>Risk_c = CORE_D1_D5(F_c, threat_pressure(G_c), assets_c)</w:t>
      </w:r>
    </w:p>
    <w:p>
      <w:pPr>
        <w:pStyle w:val="CodeBlock"/>
        <w:keepLines/>
      </w:pPr>
      <w:r>
        <w:t>ARGUS-UNIFIED(input, customer):</w:t>
      </w:r>
    </w:p>
    <w:p>
      <w:pPr>
        <w:pStyle w:val="CodeBlock"/>
        <w:keepLines/>
      </w:pPr>
      <w:r>
        <w:t xml:space="preserve">  1. enforce authorization, tenant, source and rate-limit gates</w:t>
      </w:r>
    </w:p>
    <w:p>
      <w:pPr>
        <w:pStyle w:val="CodeBlock"/>
        <w:keepLines/>
      </w:pPr>
      <w:r>
        <w:t xml:space="preserve">  2. dispatch typed input to OSINT, breach, Telegram and IOC modules</w:t>
      </w:r>
    </w:p>
    <w:p>
      <w:pPr>
        <w:pStyle w:val="CodeBlock"/>
        <w:keepLines/>
      </w:pPr>
      <w:r>
        <w:t xml:space="preserve">  3. preserve each module's raw evidence, confidence and provenance</w:t>
      </w:r>
    </w:p>
    <w:p>
      <w:pPr>
        <w:pStyle w:val="CodeBlock"/>
        <w:keepLines/>
      </w:pPr>
      <w:r>
        <w:t xml:space="preserve">  4. normalize/deduplicate; do not numerically merge unlike scores</w:t>
      </w:r>
    </w:p>
    <w:p>
      <w:pPr>
        <w:pStyle w:val="CodeBlock"/>
        <w:keepLines/>
      </w:pPr>
      <w:r>
        <w:t xml:space="preserve">  5. evaluate exact customer-asset attribution predicates</w:t>
      </w:r>
    </w:p>
    <w:p>
      <w:pPr>
        <w:pStyle w:val="CodeBlock"/>
        <w:keepLines/>
      </w:pPr>
      <w:r>
        <w:t xml:space="preserve">  6. route direct evidence to findings and unmatched evidence to pressure</w:t>
      </w:r>
    </w:p>
    <w:p>
      <w:pPr>
        <w:pStyle w:val="CodeBlock"/>
        <w:keepLines/>
      </w:pPr>
      <w:r>
        <w:t xml:space="preserve">  7. calculate D1..D5 exposure and remediation priority</w:t>
      </w:r>
    </w:p>
    <w:p>
      <w:pPr>
        <w:pStyle w:val="CodeBlock"/>
        <w:keepLines/>
      </w:pPr>
      <w:r>
        <w:t xml:space="preserve">  8. require analyst review for identity, attribution and consequential action</w:t>
      </w:r>
    </w:p>
    <w:p>
      <w:pPr>
        <w:pStyle w:val="CodeBlock"/>
        <w:keepLines/>
      </w:pPr>
      <w:r>
        <w:t xml:space="preserve">  9. export reviewed intelligence to STIX/SIEM/reports/alerts</w:t>
      </w:r>
    </w:p>
    <w:p>
      <w:pPr>
        <w:pStyle w:val="CodeBlock"/>
        <w:keepLines/>
      </w:pPr>
      <w:r>
        <w:t xml:space="preserve"> 10. retain audit trail, score history and operational bounds</w:t>
      </w:r>
    </w:p>
    <w:tbl>
      <w:tblPr>
        <w:tblStyle w:val="TableGrid"/>
        <w:tblW w:type="dxa" w:w="9360"/>
        <w:tblLayout w:type="fixed"/>
        <w:tblLook w:firstColumn="1" w:firstRow="1" w:lastColumn="0" w:lastRow="0" w:noHBand="0" w:noVBand="1" w:val="04A0"/>
        <w:jc w:val="left"/>
        <w:tblInd w:w="120" w:type="dxa"/>
      </w:tblPr>
      <w:tblGrid>
        <w:gridCol w:w="2200"/>
        <w:gridCol w:w="7160"/>
      </w:tblGrid>
      <w:tr>
        <w:trPr>
          <w:tblHeader w:val="true"/>
        </w:trPr>
        <w:tc>
          <w:tcPr>
            <w:tcW w:type="dxa" w:w="2200"/>
            <w:tcMar>
              <w:top w:w="80" w:type="dxa"/>
              <w:start w:w="120" w:type="dxa"/>
              <w:bottom w:w="80" w:type="dxa"/>
              <w:end w:w="120" w:type="dxa"/>
            </w:tcMar>
            <w:vAlign w:val="center"/>
            <w:shd w:fill="E8EEF5"/>
          </w:tcPr>
          <w:p>
            <w:r>
              <w:rPr>
                <w:rFonts w:ascii="Calibri" w:hAnsi="Calibri" w:eastAsia="Calibri"/>
                <w:b/>
                <w:i w:val="0"/>
                <w:color w:val="1F4D78"/>
                <w:sz w:val="16"/>
              </w:rPr>
              <w:t>System invariant</w:t>
            </w:r>
          </w:p>
        </w:tc>
        <w:tc>
          <w:tcPr>
            <w:tcW w:type="dxa" w:w="7160"/>
            <w:tcMar>
              <w:top w:w="80" w:type="dxa"/>
              <w:start w:w="120" w:type="dxa"/>
              <w:bottom w:w="80" w:type="dxa"/>
              <w:end w:w="120" w:type="dxa"/>
            </w:tcMar>
            <w:vAlign w:val="center"/>
            <w:shd w:fill="E8EEF5"/>
          </w:tcPr>
          <w:p>
            <w:r>
              <w:rPr>
                <w:rFonts w:ascii="Calibri" w:hAnsi="Calibri" w:eastAsia="Calibri"/>
                <w:b/>
                <w:i w:val="0"/>
                <w:color w:val="1F4D78"/>
                <w:sz w:val="16"/>
              </w:rPr>
              <w:t>Meaning</w:t>
            </w:r>
          </w:p>
        </w:tc>
      </w:tr>
      <w:tr>
        <w:tc>
          <w:tcPr>
            <w:tcW w:type="dxa" w:w="2200"/>
            <w:tcMar>
              <w:top w:w="80" w:type="dxa"/>
              <w:start w:w="120" w:type="dxa"/>
              <w:bottom w:w="80" w:type="dxa"/>
              <w:end w:w="120" w:type="dxa"/>
            </w:tcMar>
            <w:vAlign w:val="center"/>
          </w:tcPr>
          <w:p>
            <w:r>
              <w:rPr>
                <w:rFonts w:ascii="Calibri" w:hAnsi="Calibri" w:eastAsia="Calibri"/>
                <w:b w:val="0"/>
                <w:i w:val="0"/>
                <w:color w:val="000000"/>
                <w:sz w:val="16"/>
              </w:rPr>
              <w:t>Type preservation</w:t>
            </w:r>
          </w:p>
        </w:tc>
        <w:tc>
          <w:tcPr>
            <w:tcW w:type="dxa" w:w="7160"/>
            <w:tcMar>
              <w:top w:w="80" w:type="dxa"/>
              <w:start w:w="120" w:type="dxa"/>
              <w:bottom w:w="80" w:type="dxa"/>
              <w:end w:w="120" w:type="dxa"/>
            </w:tcMar>
            <w:vAlign w:val="center"/>
          </w:tcPr>
          <w:p>
            <w:r>
              <w:rPr>
                <w:rFonts w:ascii="Calibri" w:hAnsi="Calibri" w:eastAsia="Calibri"/>
                <w:b w:val="0"/>
                <w:i w:val="0"/>
                <w:color w:val="000000"/>
                <w:sz w:val="16"/>
              </w:rPr>
              <w:t>An OSINT confidence class is not treated as a Telegram probability or breach graph weight</w:t>
            </w:r>
          </w:p>
        </w:tc>
      </w:tr>
      <w:tr>
        <w:tc>
          <w:tcPr>
            <w:tcW w:type="dxa" w:w="2200"/>
            <w:tcMar>
              <w:top w:w="80" w:type="dxa"/>
              <w:start w:w="120" w:type="dxa"/>
              <w:bottom w:w="80" w:type="dxa"/>
              <w:end w:w="120" w:type="dxa"/>
            </w:tcMar>
            <w:vAlign w:val="center"/>
          </w:tcPr>
          <w:p>
            <w:r>
              <w:rPr>
                <w:rFonts w:ascii="Calibri" w:hAnsi="Calibri" w:eastAsia="Calibri"/>
                <w:b w:val="0"/>
                <w:i w:val="0"/>
                <w:color w:val="000000"/>
                <w:sz w:val="16"/>
              </w:rPr>
              <w:t>No forced attribution</w:t>
            </w:r>
          </w:p>
        </w:tc>
        <w:tc>
          <w:tcPr>
            <w:tcW w:type="dxa" w:w="7160"/>
            <w:tcMar>
              <w:top w:w="80" w:type="dxa"/>
              <w:start w:w="120" w:type="dxa"/>
              <w:bottom w:w="80" w:type="dxa"/>
              <w:end w:w="120" w:type="dxa"/>
            </w:tcMar>
            <w:vAlign w:val="center"/>
          </w:tcPr>
          <w:p>
            <w:r>
              <w:rPr>
                <w:rFonts w:ascii="Calibri" w:hAnsi="Calibri" w:eastAsia="Calibri"/>
                <w:b w:val="0"/>
                <w:i w:val="0"/>
                <w:color w:val="000000"/>
                <w:sz w:val="16"/>
              </w:rPr>
              <w:t>Unmatched indicators contribute only to global/sector pressure</w:t>
            </w:r>
          </w:p>
        </w:tc>
      </w:tr>
      <w:tr>
        <w:tc>
          <w:tcPr>
            <w:tcW w:type="dxa" w:w="2200"/>
            <w:tcMar>
              <w:top w:w="80" w:type="dxa"/>
              <w:start w:w="120" w:type="dxa"/>
              <w:bottom w:w="80" w:type="dxa"/>
              <w:end w:w="120" w:type="dxa"/>
            </w:tcMar>
            <w:vAlign w:val="center"/>
          </w:tcPr>
          <w:p>
            <w:r>
              <w:rPr>
                <w:rFonts w:ascii="Calibri" w:hAnsi="Calibri" w:eastAsia="Calibri"/>
                <w:b w:val="0"/>
                <w:i w:val="0"/>
                <w:color w:val="000000"/>
                <w:sz w:val="16"/>
              </w:rPr>
              <w:t>Bounded outputs</w:t>
            </w:r>
          </w:p>
        </w:tc>
        <w:tc>
          <w:tcPr>
            <w:tcW w:type="dxa" w:w="7160"/>
            <w:tcMar>
              <w:top w:w="80" w:type="dxa"/>
              <w:start w:w="120" w:type="dxa"/>
              <w:bottom w:w="80" w:type="dxa"/>
              <w:end w:w="120" w:type="dxa"/>
            </w:tcMar>
            <w:vAlign w:val="center"/>
          </w:tcPr>
          <w:p>
            <w:r>
              <w:rPr>
                <w:rFonts w:ascii="Calibri" w:hAnsi="Calibri" w:eastAsia="Calibri"/>
                <w:b w:val="0"/>
                <w:i w:val="0"/>
                <w:color w:val="000000"/>
                <w:sz w:val="16"/>
              </w:rPr>
              <w:t>Module caps and the 0..100 core score prevent unbounded operational values</w:t>
            </w:r>
          </w:p>
        </w:tc>
      </w:tr>
      <w:tr>
        <w:tc>
          <w:tcPr>
            <w:tcW w:type="dxa" w:w="2200"/>
            <w:tcMar>
              <w:top w:w="80" w:type="dxa"/>
              <w:start w:w="120" w:type="dxa"/>
              <w:bottom w:w="80" w:type="dxa"/>
              <w:end w:w="120" w:type="dxa"/>
            </w:tcMar>
            <w:vAlign w:val="center"/>
          </w:tcPr>
          <w:p>
            <w:r>
              <w:rPr>
                <w:rFonts w:ascii="Calibri" w:hAnsi="Calibri" w:eastAsia="Calibri"/>
                <w:b w:val="0"/>
                <w:i w:val="0"/>
                <w:color w:val="000000"/>
                <w:sz w:val="16"/>
              </w:rPr>
              <w:t>Human decision gate</w:t>
            </w:r>
          </w:p>
        </w:tc>
        <w:tc>
          <w:tcPr>
            <w:tcW w:type="dxa" w:w="7160"/>
            <w:tcMar>
              <w:top w:w="80" w:type="dxa"/>
              <w:start w:w="120" w:type="dxa"/>
              <w:bottom w:w="80" w:type="dxa"/>
              <w:end w:w="120" w:type="dxa"/>
            </w:tcMar>
            <w:vAlign w:val="center"/>
          </w:tcPr>
          <w:p>
            <w:r>
              <w:rPr>
                <w:rFonts w:ascii="Calibri" w:hAnsi="Calibri" w:eastAsia="Calibri"/>
                <w:b w:val="0"/>
                <w:i w:val="0"/>
                <w:color w:val="000000"/>
                <w:sz w:val="16"/>
              </w:rPr>
              <w:t>Automated evidence ranking does not establish identity, intent, ownership or legal conclusion</w:t>
            </w:r>
          </w:p>
        </w:tc>
      </w:tr>
      <w:tr>
        <w:tc>
          <w:tcPr>
            <w:tcW w:type="dxa" w:w="2200"/>
            <w:tcMar>
              <w:top w:w="80" w:type="dxa"/>
              <w:start w:w="120" w:type="dxa"/>
              <w:bottom w:w="80" w:type="dxa"/>
              <w:end w:w="120" w:type="dxa"/>
            </w:tcMar>
            <w:vAlign w:val="center"/>
          </w:tcPr>
          <w:p>
            <w:r>
              <w:rPr>
                <w:rFonts w:ascii="Calibri" w:hAnsi="Calibri" w:eastAsia="Calibri"/>
                <w:b w:val="0"/>
                <w:i w:val="0"/>
                <w:color w:val="000000"/>
                <w:sz w:val="16"/>
              </w:rPr>
              <w:t>Reproducibility</w:t>
            </w:r>
          </w:p>
        </w:tc>
        <w:tc>
          <w:tcPr>
            <w:tcW w:type="dxa" w:w="7160"/>
            <w:tcMar>
              <w:top w:w="80" w:type="dxa"/>
              <w:start w:w="120" w:type="dxa"/>
              <w:bottom w:w="80" w:type="dxa"/>
              <w:end w:w="120" w:type="dxa"/>
            </w:tcMar>
            <w:vAlign w:val="center"/>
          </w:tcPr>
          <w:p>
            <w:r>
              <w:rPr>
                <w:rFonts w:ascii="Calibri" w:hAnsi="Calibri" w:eastAsia="Calibri"/>
                <w:b w:val="0"/>
                <w:i w:val="0"/>
                <w:color w:val="000000"/>
                <w:sz w:val="16"/>
              </w:rPr>
              <w:t>Deterministic modules reproduce results for identical inputs, configuration, data and time reference</w:t>
            </w:r>
          </w:p>
        </w:tc>
      </w:tr>
    </w:tbl>
    <w:p>
      <w:pPr>
        <w:spacing w:after="0"/>
      </w:pPr>
    </w:p>
    <w:p>
      <w:pPr>
        <w:pStyle w:val="Heading2"/>
      </w:pPr>
      <w:r>
        <w:t>Research and standards basis</w:t>
      </w:r>
    </w:p>
    <w:p>
      <w:r>
        <w:rPr>
          <w:rFonts w:ascii="Calibri" w:hAnsi="Calibri" w:eastAsia="Calibri"/>
          <w:b w:val="0"/>
          <w:i w:val="0"/>
          <w:color w:val="000000"/>
          <w:sz w:val="22"/>
        </w:rPr>
        <w:t>The complete pipeline combines established structures from risk assessment, record linkage, bounded entity-resolution graphs, noisy-OR-style evidence aggregation and standardized CTI representation. The integration is engineering work specific to Argus; publication-quality empirical validation would additionally require labeled datasets, calibration curves, error analysis, ablation studies and external replication.</w:t>
      </w:r>
    </w:p>
    <w:p>
      <w:pPr>
        <w:pStyle w:val="ListBullet"/>
      </w:pPr>
      <w:hyperlink r:id="rId13">
        <w:r>
          <w:rPr>
            <w:color w:val="2E74B5"/>
            <w:u w:val="single"/>
          </w:rPr>
          <w:t>NIST SP 800-30 Rev. 1 — Guide for Conducting Risk Assessments</w:t>
        </w:r>
      </w:hyperlink>
    </w:p>
    <w:p>
      <w:pPr>
        <w:pStyle w:val="ListBullet"/>
      </w:pPr>
      <w:hyperlink r:id="rId16">
        <w:r>
          <w:rPr>
            <w:color w:val="2E74B5"/>
            <w:u w:val="single"/>
          </w:rPr>
          <w:t>Fellegi and Sunter — A Theory for Record Linkage</w:t>
        </w:r>
      </w:hyperlink>
    </w:p>
    <w:p>
      <w:pPr>
        <w:pStyle w:val="ListBullet"/>
      </w:pPr>
      <w:hyperlink r:id="rId20">
        <w:r>
          <w:rPr>
            <w:color w:val="2E74B5"/>
            <w:u w:val="single"/>
          </w:rPr>
          <w:t>Papadakis et al. — Enhanced Meta-Blocking for Entity Resolution</w:t>
        </w:r>
      </w:hyperlink>
    </w:p>
    <w:p>
      <w:pPr>
        <w:pStyle w:val="ListBullet"/>
      </w:pPr>
      <w:hyperlink r:id="rId23">
        <w:r>
          <w:rPr>
            <w:color w:val="2E74B5"/>
            <w:u w:val="single"/>
          </w:rPr>
          <w:t>Srinivas — A Generalization of the Noisy-Or Model</w:t>
        </w:r>
      </w:hyperlink>
    </w:p>
    <w:p>
      <w:pPr>
        <w:pStyle w:val="ListBullet"/>
      </w:pPr>
      <w:hyperlink r:id="rId27">
        <w:r>
          <w:rPr>
            <w:color w:val="2E74B5"/>
            <w:u w:val="single"/>
          </w:rPr>
          <w:t>OASIS STIX 2.1 introduction</w:t>
        </w:r>
      </w:hyperlink>
    </w:p>
    <w:p>
      <w:pPr>
        <w:pStyle w:val="Heading1"/>
      </w:pPr>
      <w:r>
        <w:t>Consolidated market alternatives</w:t>
      </w:r>
    </w:p>
    <w:p>
      <w:r>
        <w:rPr>
          <w:rFonts w:ascii="Calibri" w:hAnsi="Calibri" w:eastAsia="Calibri"/>
          <w:b w:val="0"/>
          <w:i w:val="0"/>
          <w:color w:val="000000"/>
          <w:sz w:val="22"/>
        </w:rPr>
        <w:t>The following matrices consolidate the module-level research into the system walkthrough. They compare native, evidenced capability rather than marketing similarity. Argus checks reflect the present repository only; external checks reflect the cited official product documentation reviewed on 10 August 2026. A product can often gain crossed capabilities through custom development, paid add-ons, connectors, or partner data.</w:t>
      </w:r>
    </w:p>
    <w:tbl>
      <w:tblPr>
        <w:tblStyle w:val="TableGrid"/>
        <w:tblW w:type="dxa" w:w="9360"/>
        <w:tblLayout w:type="fixed"/>
        <w:tblLook w:firstColumn="1" w:firstRow="1" w:lastColumn="0" w:lastRow="0" w:noHBand="0" w:noVBand="1" w:val="04A0"/>
        <w:jc w:val="left"/>
        <w:tblInd w:w="120" w:type="dxa"/>
      </w:tblPr>
      <w:tblGrid>
        <w:gridCol w:w="1500"/>
        <w:gridCol w:w="2400"/>
        <w:gridCol w:w="2780"/>
        <w:gridCol w:w="2680"/>
      </w:tblGrid>
      <w:tr>
        <w:trPr>
          <w:tblHeader w:val="true"/>
        </w:trPr>
        <w:tc>
          <w:tcPr>
            <w:tcW w:type="dxa" w:w="1500"/>
            <w:tcMar>
              <w:top w:w="80" w:type="dxa"/>
              <w:start w:w="120" w:type="dxa"/>
              <w:bottom w:w="80" w:type="dxa"/>
              <w:end w:w="120" w:type="dxa"/>
            </w:tcMar>
            <w:vAlign w:val="center"/>
            <w:shd w:fill="E8EEF5"/>
          </w:tcPr>
          <w:p>
            <w:r>
              <w:rPr>
                <w:rFonts w:ascii="Calibri" w:hAnsi="Calibri" w:eastAsia="Calibri"/>
                <w:b/>
                <w:i w:val="0"/>
                <w:color w:val="1F4D78"/>
                <w:sz w:val="14"/>
              </w:rPr>
              <w:t>Argus area</w:t>
            </w:r>
          </w:p>
        </w:tc>
        <w:tc>
          <w:tcPr>
            <w:tcW w:type="dxa" w:w="2400"/>
            <w:tcMar>
              <w:top w:w="80" w:type="dxa"/>
              <w:start w:w="120" w:type="dxa"/>
              <w:bottom w:w="80" w:type="dxa"/>
              <w:end w:w="120" w:type="dxa"/>
            </w:tcMar>
            <w:vAlign w:val="center"/>
            <w:shd w:fill="E8EEF5"/>
          </w:tcPr>
          <w:p>
            <w:r>
              <w:rPr>
                <w:rFonts w:ascii="Calibri" w:hAnsi="Calibri" w:eastAsia="Calibri"/>
                <w:b/>
                <w:i w:val="0"/>
                <w:color w:val="1F4D78"/>
                <w:sz w:val="14"/>
              </w:rPr>
              <w:t>Representative alternatives</w:t>
            </w:r>
          </w:p>
        </w:tc>
        <w:tc>
          <w:tcPr>
            <w:tcW w:type="dxa" w:w="2780"/>
            <w:tcMar>
              <w:top w:w="80" w:type="dxa"/>
              <w:start w:w="120" w:type="dxa"/>
              <w:bottom w:w="80" w:type="dxa"/>
              <w:end w:w="120" w:type="dxa"/>
            </w:tcMar>
            <w:vAlign w:val="center"/>
            <w:shd w:fill="E8EEF5"/>
          </w:tcPr>
          <w:p>
            <w:r>
              <w:rPr>
                <w:rFonts w:ascii="Calibri" w:hAnsi="Calibri" w:eastAsia="Calibri"/>
                <w:b/>
                <w:i w:val="0"/>
                <w:color w:val="1F4D78"/>
                <w:sz w:val="14"/>
              </w:rPr>
              <w:t>Where the alternative is strongest</w:t>
            </w:r>
          </w:p>
        </w:tc>
        <w:tc>
          <w:tcPr>
            <w:tcW w:type="dxa" w:w="2680"/>
            <w:tcMar>
              <w:top w:w="80" w:type="dxa"/>
              <w:start w:w="120" w:type="dxa"/>
              <w:bottom w:w="80" w:type="dxa"/>
              <w:end w:w="120" w:type="dxa"/>
            </w:tcMar>
            <w:vAlign w:val="center"/>
            <w:shd w:fill="E8EEF5"/>
          </w:tcPr>
          <w:p>
            <w:r>
              <w:rPr>
                <w:rFonts w:ascii="Calibri" w:hAnsi="Calibri" w:eastAsia="Calibri"/>
                <w:b/>
                <w:i w:val="0"/>
                <w:color w:val="1F4D78"/>
                <w:sz w:val="14"/>
              </w:rPr>
              <w:t>Argus-specific integration</w:t>
            </w:r>
          </w:p>
        </w:tc>
      </w:tr>
      <w:tr>
        <w:tc>
          <w:tcPr>
            <w:tcW w:type="dxa" w:w="1500"/>
            <w:tcMar>
              <w:top w:w="80" w:type="dxa"/>
              <w:start w:w="120" w:type="dxa"/>
              <w:bottom w:w="80" w:type="dxa"/>
              <w:end w:w="120" w:type="dxa"/>
            </w:tcMar>
            <w:vAlign w:val="center"/>
          </w:tcPr>
          <w:p>
            <w:r>
              <w:rPr>
                <w:rFonts w:ascii="Calibri" w:hAnsi="Calibri" w:eastAsia="Calibri"/>
                <w:b w:val="0"/>
                <w:i w:val="0"/>
                <w:color w:val="000000"/>
                <w:sz w:val="14"/>
              </w:rPr>
              <w:t>Core CTI platform</w:t>
            </w:r>
          </w:p>
        </w:tc>
        <w:tc>
          <w:tcPr>
            <w:tcW w:type="dxa" w:w="2400"/>
            <w:tcMar>
              <w:top w:w="80" w:type="dxa"/>
              <w:start w:w="120" w:type="dxa"/>
              <w:bottom w:w="80" w:type="dxa"/>
              <w:end w:w="120" w:type="dxa"/>
            </w:tcMar>
            <w:vAlign w:val="center"/>
          </w:tcPr>
          <w:p>
            <w:r>
              <w:rPr>
                <w:rFonts w:ascii="Calibri" w:hAnsi="Calibri" w:eastAsia="Calibri"/>
                <w:b w:val="0"/>
                <w:i w:val="0"/>
                <w:color w:val="000000"/>
                <w:sz w:val="14"/>
              </w:rPr>
              <w:t>OpenCTI, MISP, ThreatConnect, Recorded Future</w:t>
            </w:r>
          </w:p>
        </w:tc>
        <w:tc>
          <w:tcPr>
            <w:tcW w:type="dxa" w:w="2780"/>
            <w:tcMar>
              <w:top w:w="80" w:type="dxa"/>
              <w:start w:w="120" w:type="dxa"/>
              <w:bottom w:w="80" w:type="dxa"/>
              <w:end w:w="120" w:type="dxa"/>
            </w:tcMar>
            <w:vAlign w:val="center"/>
          </w:tcPr>
          <w:p>
            <w:r>
              <w:rPr>
                <w:rFonts w:ascii="Calibri" w:hAnsi="Calibri" w:eastAsia="Calibri"/>
                <w:b w:val="0"/>
                <w:i w:val="0"/>
                <w:color w:val="000000"/>
                <w:sz w:val="14"/>
              </w:rPr>
              <w:t>Mature CTI sharing/graphs, commercial case tooling, or managed intelligence corpus</w:t>
            </w:r>
          </w:p>
        </w:tc>
        <w:tc>
          <w:tcPr>
            <w:tcW w:type="dxa" w:w="2680"/>
            <w:tcMar>
              <w:top w:w="80" w:type="dxa"/>
              <w:start w:w="120" w:type="dxa"/>
              <w:bottom w:w="80" w:type="dxa"/>
              <w:end w:w="120" w:type="dxa"/>
            </w:tcMar>
            <w:vAlign w:val="center"/>
          </w:tcPr>
          <w:p>
            <w:r>
              <w:rPr>
                <w:rFonts w:ascii="Calibri" w:hAnsi="Calibri" w:eastAsia="Calibri"/>
                <w:b w:val="0"/>
                <w:i w:val="0"/>
                <w:color w:val="000000"/>
                <w:sz w:val="14"/>
              </w:rPr>
              <w:t>Owned-asset correlation plus recon, breach, Telegram, exposure, SLA, and remediation</w:t>
            </w:r>
          </w:p>
        </w:tc>
      </w:tr>
      <w:tr>
        <w:tc>
          <w:tcPr>
            <w:tcW w:type="dxa" w:w="1500"/>
            <w:tcMar>
              <w:top w:w="80" w:type="dxa"/>
              <w:start w:w="120" w:type="dxa"/>
              <w:bottom w:w="80" w:type="dxa"/>
              <w:end w:w="120" w:type="dxa"/>
            </w:tcMar>
            <w:vAlign w:val="center"/>
          </w:tcPr>
          <w:p>
            <w:r>
              <w:rPr>
                <w:rFonts w:ascii="Calibri" w:hAnsi="Calibri" w:eastAsia="Calibri"/>
                <w:b w:val="0"/>
                <w:i w:val="0"/>
                <w:color w:val="000000"/>
                <w:sz w:val="14"/>
              </w:rPr>
              <w:t>OSINT investigation</w:t>
            </w:r>
          </w:p>
        </w:tc>
        <w:tc>
          <w:tcPr>
            <w:tcW w:type="dxa" w:w="2400"/>
            <w:tcMar>
              <w:top w:w="80" w:type="dxa"/>
              <w:start w:w="120" w:type="dxa"/>
              <w:bottom w:w="80" w:type="dxa"/>
              <w:end w:w="120" w:type="dxa"/>
            </w:tcMar>
            <w:vAlign w:val="center"/>
          </w:tcPr>
          <w:p>
            <w:r>
              <w:rPr>
                <w:rFonts w:ascii="Calibri" w:hAnsi="Calibri" w:eastAsia="Calibri"/>
                <w:b w:val="0"/>
                <w:i w:val="0"/>
                <w:color w:val="000000"/>
                <w:sz w:val="14"/>
              </w:rPr>
              <w:t>SpiderFoot, Maltego, Sherlock, Maigret</w:t>
            </w:r>
          </w:p>
        </w:tc>
        <w:tc>
          <w:tcPr>
            <w:tcW w:type="dxa" w:w="2780"/>
            <w:tcMar>
              <w:top w:w="80" w:type="dxa"/>
              <w:start w:w="120" w:type="dxa"/>
              <w:bottom w:w="80" w:type="dxa"/>
              <w:end w:w="120" w:type="dxa"/>
            </w:tcMar>
            <w:vAlign w:val="center"/>
          </w:tcPr>
          <w:p>
            <w:r>
              <w:rPr>
                <w:rFonts w:ascii="Calibri" w:hAnsi="Calibri" w:eastAsia="Calibri"/>
                <w:b w:val="0"/>
                <w:i w:val="0"/>
                <w:color w:val="000000"/>
                <w:sz w:val="14"/>
              </w:rPr>
              <w:t>Broad modules, graph analysis/collaboration, or focused username enumeration</w:t>
            </w:r>
          </w:p>
        </w:tc>
        <w:tc>
          <w:tcPr>
            <w:tcW w:type="dxa" w:w="2680"/>
            <w:tcMar>
              <w:top w:w="80" w:type="dxa"/>
              <w:start w:w="120" w:type="dxa"/>
              <w:bottom w:w="80" w:type="dxa"/>
              <w:end w:w="120" w:type="dxa"/>
            </w:tcMar>
            <w:vAlign w:val="center"/>
          </w:tcPr>
          <w:p>
            <w:r>
              <w:rPr>
                <w:rFonts w:ascii="Calibri" w:hAnsi="Calibri" w:eastAsia="Calibri"/>
                <w:b w:val="0"/>
                <w:i w:val="0"/>
                <w:color w:val="000000"/>
                <w:sz w:val="14"/>
              </w:rPr>
              <w:t>Subject disambiguation, evidence tiers, calibration, resumable jobs, downstream pivots</w:t>
            </w:r>
          </w:p>
        </w:tc>
      </w:tr>
      <w:tr>
        <w:tc>
          <w:tcPr>
            <w:tcW w:type="dxa" w:w="1500"/>
            <w:tcMar>
              <w:top w:w="80" w:type="dxa"/>
              <w:start w:w="120" w:type="dxa"/>
              <w:bottom w:w="80" w:type="dxa"/>
              <w:end w:w="120" w:type="dxa"/>
            </w:tcMar>
            <w:vAlign w:val="center"/>
          </w:tcPr>
          <w:p>
            <w:r>
              <w:rPr>
                <w:rFonts w:ascii="Calibri" w:hAnsi="Calibri" w:eastAsia="Calibri"/>
                <w:b w:val="0"/>
                <w:i w:val="0"/>
                <w:color w:val="000000"/>
                <w:sz w:val="14"/>
              </w:rPr>
              <w:t>Breach search</w:t>
            </w:r>
          </w:p>
        </w:tc>
        <w:tc>
          <w:tcPr>
            <w:tcW w:type="dxa" w:w="2400"/>
            <w:tcMar>
              <w:top w:w="80" w:type="dxa"/>
              <w:start w:w="120" w:type="dxa"/>
              <w:bottom w:w="80" w:type="dxa"/>
              <w:end w:w="120" w:type="dxa"/>
            </w:tcMar>
            <w:vAlign w:val="center"/>
          </w:tcPr>
          <w:p>
            <w:r>
              <w:rPr>
                <w:rFonts w:ascii="Calibri" w:hAnsi="Calibri" w:eastAsia="Calibri"/>
                <w:b w:val="0"/>
                <w:i w:val="0"/>
                <w:color w:val="000000"/>
                <w:sz w:val="14"/>
              </w:rPr>
              <w:t>HIBP, Intelligence X, LeakCheck, DeHashed</w:t>
            </w:r>
          </w:p>
        </w:tc>
        <w:tc>
          <w:tcPr>
            <w:tcW w:type="dxa" w:w="2780"/>
            <w:tcMar>
              <w:top w:w="80" w:type="dxa"/>
              <w:start w:w="120" w:type="dxa"/>
              <w:bottom w:w="80" w:type="dxa"/>
              <w:end w:w="120" w:type="dxa"/>
            </w:tcMar>
            <w:vAlign w:val="center"/>
          </w:tcPr>
          <w:p>
            <w:r>
              <w:rPr>
                <w:rFonts w:ascii="Calibri" w:hAnsi="Calibri" w:eastAsia="Calibri"/>
                <w:b w:val="0"/>
                <w:i w:val="0"/>
                <w:color w:val="000000"/>
                <w:sz w:val="14"/>
              </w:rPr>
              <w:t>Hosted corpora, notifications, and externally maintained search coverage</w:t>
            </w:r>
          </w:p>
        </w:tc>
        <w:tc>
          <w:tcPr>
            <w:tcW w:type="dxa" w:w="2680"/>
            <w:tcMar>
              <w:top w:w="80" w:type="dxa"/>
              <w:start w:w="120" w:type="dxa"/>
              <w:bottom w:w="80" w:type="dxa"/>
              <w:end w:w="120" w:type="dxa"/>
            </w:tcMar>
            <w:vAlign w:val="center"/>
          </w:tcPr>
          <w:p>
            <w:r>
              <w:rPr>
                <w:rFonts w:ascii="Calibri" w:hAnsi="Calibri" w:eastAsia="Calibri"/>
                <w:b w:val="0"/>
                <w:i w:val="0"/>
                <w:color w:val="000000"/>
                <w:sz w:val="14"/>
              </w:rPr>
              <w:t>Operator-controlled stores, bounded PII graph, stable IDs, customer finding handoff</w:t>
            </w:r>
          </w:p>
        </w:tc>
      </w:tr>
      <w:tr>
        <w:tc>
          <w:tcPr>
            <w:tcW w:type="dxa" w:w="1500"/>
            <w:tcMar>
              <w:top w:w="80" w:type="dxa"/>
              <w:start w:w="120" w:type="dxa"/>
              <w:bottom w:w="80" w:type="dxa"/>
              <w:end w:w="120" w:type="dxa"/>
            </w:tcMar>
            <w:vAlign w:val="center"/>
          </w:tcPr>
          <w:p>
            <w:r>
              <w:rPr>
                <w:rFonts w:ascii="Calibri" w:hAnsi="Calibri" w:eastAsia="Calibri"/>
                <w:b w:val="0"/>
                <w:i w:val="0"/>
                <w:color w:val="000000"/>
                <w:sz w:val="14"/>
              </w:rPr>
              <w:t>Telegram intelligence</w:t>
            </w:r>
          </w:p>
        </w:tc>
        <w:tc>
          <w:tcPr>
            <w:tcW w:type="dxa" w:w="2400"/>
            <w:tcMar>
              <w:top w:w="80" w:type="dxa"/>
              <w:start w:w="120" w:type="dxa"/>
              <w:bottom w:w="80" w:type="dxa"/>
              <w:end w:w="120" w:type="dxa"/>
            </w:tcMar>
            <w:vAlign w:val="center"/>
          </w:tcPr>
          <w:p>
            <w:r>
              <w:rPr>
                <w:rFonts w:ascii="Calibri" w:hAnsi="Calibri" w:eastAsia="Calibri"/>
                <w:b w:val="0"/>
                <w:i w:val="0"/>
                <w:color w:val="000000"/>
                <w:sz w:val="14"/>
              </w:rPr>
              <w:t>Telethon, Maltego Monitor, Social Links, OpenCTI</w:t>
            </w:r>
          </w:p>
        </w:tc>
        <w:tc>
          <w:tcPr>
            <w:tcW w:type="dxa" w:w="2780"/>
            <w:tcMar>
              <w:top w:w="80" w:type="dxa"/>
              <w:start w:w="120" w:type="dxa"/>
              <w:bottom w:w="80" w:type="dxa"/>
              <w:end w:w="120" w:type="dxa"/>
            </w:tcMar>
            <w:vAlign w:val="center"/>
          </w:tcPr>
          <w:p>
            <w:r>
              <w:rPr>
                <w:rFonts w:ascii="Calibri" w:hAnsi="Calibri" w:eastAsia="Calibri"/>
                <w:b w:val="0"/>
                <w:i w:val="0"/>
                <w:color w:val="000000"/>
                <w:sz w:val="14"/>
              </w:rPr>
              <w:t>Raw MTProto development, commercial monitoring/transforms, or general CTI graphing</w:t>
            </w:r>
          </w:p>
        </w:tc>
        <w:tc>
          <w:tcPr>
            <w:tcW w:type="dxa" w:w="2680"/>
            <w:tcMar>
              <w:top w:w="80" w:type="dxa"/>
              <w:start w:w="120" w:type="dxa"/>
              <w:bottom w:w="80" w:type="dxa"/>
              <w:end w:w="120" w:type="dxa"/>
            </w:tcMar>
            <w:vAlign w:val="center"/>
          </w:tcPr>
          <w:p>
            <w:r>
              <w:rPr>
                <w:rFonts w:ascii="Calibri" w:hAnsi="Calibri" w:eastAsia="Calibri"/>
                <w:b w:val="0"/>
                <w:i w:val="0"/>
                <w:color w:val="000000"/>
                <w:sz w:val="14"/>
              </w:rPr>
              <w:t>Deterministic cybercrime scoring, bounded import, IOC/customer matching, STIX</w:t>
            </w:r>
          </w:p>
        </w:tc>
      </w:tr>
      <w:tr>
        <w:tc>
          <w:tcPr>
            <w:tcW w:type="dxa" w:w="1500"/>
            <w:tcMar>
              <w:top w:w="80" w:type="dxa"/>
              <w:start w:w="120" w:type="dxa"/>
              <w:bottom w:w="80" w:type="dxa"/>
              <w:end w:w="120" w:type="dxa"/>
            </w:tcMar>
            <w:vAlign w:val="center"/>
          </w:tcPr>
          <w:p>
            <w:r>
              <w:rPr>
                <w:rFonts w:ascii="Calibri" w:hAnsi="Calibri" w:eastAsia="Calibri"/>
                <w:b w:val="0"/>
                <w:i w:val="0"/>
                <w:color w:val="000000"/>
                <w:sz w:val="14"/>
              </w:rPr>
              <w:t>PII / IOC / STIX</w:t>
            </w:r>
          </w:p>
        </w:tc>
        <w:tc>
          <w:tcPr>
            <w:tcW w:type="dxa" w:w="2400"/>
            <w:tcMar>
              <w:top w:w="80" w:type="dxa"/>
              <w:start w:w="120" w:type="dxa"/>
              <w:bottom w:w="80" w:type="dxa"/>
              <w:end w:w="120" w:type="dxa"/>
            </w:tcMar>
            <w:vAlign w:val="center"/>
          </w:tcPr>
          <w:p>
            <w:r>
              <w:rPr>
                <w:rFonts w:ascii="Calibri" w:hAnsi="Calibri" w:eastAsia="Calibri"/>
                <w:b w:val="0"/>
                <w:i w:val="0"/>
                <w:color w:val="000000"/>
                <w:sz w:val="14"/>
              </w:rPr>
              <w:t>Presidio, Google SDP, Macie, iocextract, OpenCTI, MISP</w:t>
            </w:r>
          </w:p>
        </w:tc>
        <w:tc>
          <w:tcPr>
            <w:tcW w:type="dxa" w:w="2780"/>
            <w:tcMar>
              <w:top w:w="80" w:type="dxa"/>
              <w:start w:w="120" w:type="dxa"/>
              <w:bottom w:w="80" w:type="dxa"/>
              <w:end w:w="120" w:type="dxa"/>
            </w:tcMar>
            <w:vAlign w:val="center"/>
          </w:tcPr>
          <w:p>
            <w:r>
              <w:rPr>
                <w:rFonts w:ascii="Calibri" w:hAnsi="Calibri" w:eastAsia="Calibri"/>
                <w:b w:val="0"/>
                <w:i w:val="0"/>
                <w:color w:val="000000"/>
                <w:sz w:val="14"/>
              </w:rPr>
              <w:t>PII anonymization, managed data discovery, defanged IOC extraction, CTI sharing</w:t>
            </w:r>
          </w:p>
        </w:tc>
        <w:tc>
          <w:tcPr>
            <w:tcW w:type="dxa" w:w="2680"/>
            <w:tcMar>
              <w:top w:w="80" w:type="dxa"/>
              <w:start w:w="120" w:type="dxa"/>
              <w:bottom w:w="80" w:type="dxa"/>
              <w:end w:w="120" w:type="dxa"/>
            </w:tcMar>
            <w:vAlign w:val="center"/>
          </w:tcPr>
          <w:p>
            <w:r>
              <w:rPr>
                <w:rFonts w:ascii="Calibri" w:hAnsi="Calibri" w:eastAsia="Calibri"/>
                <w:b w:val="0"/>
                <w:i w:val="0"/>
                <w:color w:val="000000"/>
                <w:sz w:val="14"/>
              </w:rPr>
              <w:t>One ordered detector feeding attribution, breach graph, findings, and deterministic STIX</w:t>
            </w:r>
          </w:p>
        </w:tc>
      </w:tr>
    </w:tbl>
    <w:p>
      <w:pPr>
        <w:spacing w:after="0"/>
      </w:pPr>
    </w:p>
    <w:p>
      <w:pPr>
        <w:pStyle w:val="Heading2"/>
      </w:pPr>
      <w:r>
        <w:t>Core platform alternatives</w:t>
      </w:r>
    </w:p>
    <w:p>
      <w:r>
        <w:rPr>
          <w:rFonts w:ascii="Calibri" w:hAnsi="Calibri" w:eastAsia="Calibri"/>
          <w:b w:val="0"/>
          <w:i w:val="0"/>
          <w:color w:val="000000"/>
          <w:sz w:val="22"/>
        </w:rPr>
        <w:t>Evidence rule (reviewed 10 August 2026): ✓ = native capability implemented in Argus or explicitly documented by the cited primary source; ✗ = not evidenced as a native capability in the reviewed source. A cross does not mean a custom integration, partner feed, or extension is impossible. Product editions and licensing can change.</w:t>
      </w:r>
    </w:p>
    <w:tbl>
      <w:tblPr>
        <w:tblStyle w:val="TableGrid"/>
        <w:tblW w:type="dxa" w:w="9360"/>
        <w:tblLayout w:type="fixed"/>
        <w:tblLook w:firstColumn="1" w:firstRow="1" w:lastColumn="0" w:lastRow="0" w:noHBand="0" w:noVBand="1" w:val="04A0"/>
        <w:jc w:val="left"/>
        <w:tblInd w:w="120" w:type="dxa"/>
      </w:tblPr>
      <w:tblGrid>
        <w:gridCol w:w="3360"/>
        <w:gridCol w:w="1200"/>
        <w:gridCol w:w="1200"/>
        <w:gridCol w:w="1200"/>
        <w:gridCol w:w="1200"/>
        <w:gridCol w:w="1200"/>
      </w:tblGrid>
      <w:tr>
        <w:trPr>
          <w:tblHeader w:val="true"/>
        </w:trPr>
        <w:tc>
          <w:tcPr>
            <w:tcW w:type="dxa" w:w="3360"/>
            <w:tcMar>
              <w:top w:w="80" w:type="dxa"/>
              <w:start w:w="120" w:type="dxa"/>
              <w:bottom w:w="80" w:type="dxa"/>
              <w:end w:w="120" w:type="dxa"/>
            </w:tcMar>
            <w:vAlign w:val="center"/>
            <w:shd w:fill="E8EEF5"/>
          </w:tcPr>
          <w:p>
            <w:r>
              <w:rPr>
                <w:rFonts w:ascii="Calibri" w:hAnsi="Calibri" w:eastAsia="Calibri"/>
                <w:b/>
                <w:i w:val="0"/>
                <w:color w:val="1F4D78"/>
                <w:sz w:val="14"/>
              </w:rPr>
              <w:t>Feature</w:t>
            </w:r>
          </w:p>
        </w:tc>
        <w:tc>
          <w:tcPr>
            <w:tcW w:type="dxa" w:w="1200"/>
            <w:tcMar>
              <w:top w:w="80" w:type="dxa"/>
              <w:start w:w="120" w:type="dxa"/>
              <w:bottom w:w="80" w:type="dxa"/>
              <w:end w:w="120" w:type="dxa"/>
            </w:tcMar>
            <w:vAlign w:val="center"/>
            <w:shd w:fill="E8EEF5"/>
          </w:tcPr>
          <w:p>
            <w:r>
              <w:rPr>
                <w:rFonts w:ascii="Calibri" w:hAnsi="Calibri" w:eastAsia="Calibri"/>
                <w:b/>
                <w:i w:val="0"/>
                <w:color w:val="1F4D78"/>
                <w:sz w:val="14"/>
              </w:rPr>
              <w:t>Argus Unified</w:t>
            </w:r>
          </w:p>
        </w:tc>
        <w:tc>
          <w:tcPr>
            <w:tcW w:type="dxa" w:w="1200"/>
            <w:tcMar>
              <w:top w:w="80" w:type="dxa"/>
              <w:start w:w="120" w:type="dxa"/>
              <w:bottom w:w="80" w:type="dxa"/>
              <w:end w:w="120" w:type="dxa"/>
            </w:tcMar>
            <w:vAlign w:val="center"/>
            <w:shd w:fill="E8EEF5"/>
          </w:tcPr>
          <w:p>
            <w:r>
              <w:rPr>
                <w:rFonts w:ascii="Calibri" w:hAnsi="Calibri" w:eastAsia="Calibri"/>
                <w:b/>
                <w:i w:val="0"/>
                <w:color w:val="1F4D78"/>
                <w:sz w:val="14"/>
              </w:rPr>
              <w:t>OpenCTI</w:t>
            </w:r>
          </w:p>
        </w:tc>
        <w:tc>
          <w:tcPr>
            <w:tcW w:type="dxa" w:w="1200"/>
            <w:tcMar>
              <w:top w:w="80" w:type="dxa"/>
              <w:start w:w="120" w:type="dxa"/>
              <w:bottom w:w="80" w:type="dxa"/>
              <w:end w:w="120" w:type="dxa"/>
            </w:tcMar>
            <w:vAlign w:val="center"/>
            <w:shd w:fill="E8EEF5"/>
          </w:tcPr>
          <w:p>
            <w:r>
              <w:rPr>
                <w:rFonts w:ascii="Calibri" w:hAnsi="Calibri" w:eastAsia="Calibri"/>
                <w:b/>
                <w:i w:val="0"/>
                <w:color w:val="1F4D78"/>
                <w:sz w:val="14"/>
              </w:rPr>
              <w:t>MISP</w:t>
            </w:r>
          </w:p>
        </w:tc>
        <w:tc>
          <w:tcPr>
            <w:tcW w:type="dxa" w:w="1200"/>
            <w:tcMar>
              <w:top w:w="80" w:type="dxa"/>
              <w:start w:w="120" w:type="dxa"/>
              <w:bottom w:w="80" w:type="dxa"/>
              <w:end w:w="120" w:type="dxa"/>
            </w:tcMar>
            <w:vAlign w:val="center"/>
            <w:shd w:fill="E8EEF5"/>
          </w:tcPr>
          <w:p>
            <w:r>
              <w:rPr>
                <w:rFonts w:ascii="Calibri" w:hAnsi="Calibri" w:eastAsia="Calibri"/>
                <w:b/>
                <w:i w:val="0"/>
                <w:color w:val="1F4D78"/>
                <w:sz w:val="14"/>
              </w:rPr>
              <w:t>ThreatConnect</w:t>
            </w:r>
          </w:p>
        </w:tc>
        <w:tc>
          <w:tcPr>
            <w:tcW w:type="dxa" w:w="1200"/>
            <w:tcMar>
              <w:top w:w="80" w:type="dxa"/>
              <w:start w:w="120" w:type="dxa"/>
              <w:bottom w:w="80" w:type="dxa"/>
              <w:end w:w="120" w:type="dxa"/>
            </w:tcMar>
            <w:vAlign w:val="center"/>
            <w:shd w:fill="E8EEF5"/>
          </w:tcPr>
          <w:p>
            <w:r>
              <w:rPr>
                <w:rFonts w:ascii="Calibri" w:hAnsi="Calibri" w:eastAsia="Calibri"/>
                <w:b/>
                <w:i w:val="0"/>
                <w:color w:val="1F4D78"/>
                <w:sz w:val="14"/>
              </w:rPr>
              <w:t>Recorded Future</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Self-hosted open-source deployment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Structured CTI objects and relationships</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Feed/import connector framework</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STIX 2.1-compatible export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Customer/victim asset inventory</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Automated asset-to-indicator correlation</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Native attack-surface/recon collection</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Native breach-record search and graph</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Native Telegram collection and analysis</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Case/task or investigation workflow</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Finding SLA and remediation state</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Published deterministic exposure formula</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Built-in commercial intelligence corpus</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API/SIEM-oriented integration</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RBAC and auditable activity controls</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Dashboards or analyst reporting</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bl>
    <w:p>
      <w:pPr>
        <w:spacing w:after="0"/>
      </w:pPr>
    </w:p>
    <w:p>
      <w:pPr>
        <w:pStyle w:val="Heading2"/>
      </w:pPr>
      <w:r>
        <w:t>OSINT alternatives</w:t>
      </w:r>
    </w:p>
    <w:p>
      <w:r>
        <w:rPr>
          <w:rFonts w:ascii="Calibri" w:hAnsi="Calibri" w:eastAsia="Calibri"/>
          <w:b w:val="0"/>
          <w:i w:val="0"/>
          <w:color w:val="000000"/>
          <w:sz w:val="22"/>
        </w:rPr>
        <w:t>Evidence rule (reviewed 10 August 2026): ✓ = native capability implemented in Argus or explicitly documented by the cited primary source; ✗ = not evidenced as a native capability in the reviewed source. A cross does not mean a custom integration, partner feed, or extension is impossible. Product editions and licensing can change.</w:t>
      </w:r>
    </w:p>
    <w:tbl>
      <w:tblPr>
        <w:tblStyle w:val="TableGrid"/>
        <w:tblW w:type="dxa" w:w="9360"/>
        <w:tblLayout w:type="fixed"/>
        <w:tblLook w:firstColumn="1" w:firstRow="1" w:lastColumn="0" w:lastRow="0" w:noHBand="0" w:noVBand="1" w:val="04A0"/>
        <w:jc w:val="left"/>
        <w:tblInd w:w="120" w:type="dxa"/>
      </w:tblPr>
      <w:tblGrid>
        <w:gridCol w:w="3360"/>
        <w:gridCol w:w="1200"/>
        <w:gridCol w:w="1200"/>
        <w:gridCol w:w="1200"/>
        <w:gridCol w:w="1200"/>
        <w:gridCol w:w="1200"/>
      </w:tblGrid>
      <w:tr>
        <w:trPr>
          <w:tblHeader w:val="true"/>
        </w:trPr>
        <w:tc>
          <w:tcPr>
            <w:tcW w:type="dxa" w:w="3360"/>
            <w:tcMar>
              <w:top w:w="80" w:type="dxa"/>
              <w:start w:w="120" w:type="dxa"/>
              <w:bottom w:w="80" w:type="dxa"/>
              <w:end w:w="120" w:type="dxa"/>
            </w:tcMar>
            <w:vAlign w:val="center"/>
            <w:shd w:fill="E8EEF5"/>
          </w:tcPr>
          <w:p>
            <w:r>
              <w:rPr>
                <w:rFonts w:ascii="Calibri" w:hAnsi="Calibri" w:eastAsia="Calibri"/>
                <w:b/>
                <w:i w:val="0"/>
                <w:color w:val="1F4D78"/>
                <w:sz w:val="14"/>
              </w:rPr>
              <w:t>Feature</w:t>
            </w:r>
          </w:p>
        </w:tc>
        <w:tc>
          <w:tcPr>
            <w:tcW w:type="dxa" w:w="1200"/>
            <w:tcMar>
              <w:top w:w="80" w:type="dxa"/>
              <w:start w:w="120" w:type="dxa"/>
              <w:bottom w:w="80" w:type="dxa"/>
              <w:end w:w="120" w:type="dxa"/>
            </w:tcMar>
            <w:vAlign w:val="center"/>
            <w:shd w:fill="E8EEF5"/>
          </w:tcPr>
          <w:p>
            <w:r>
              <w:rPr>
                <w:rFonts w:ascii="Calibri" w:hAnsi="Calibri" w:eastAsia="Calibri"/>
                <w:b/>
                <w:i w:val="0"/>
                <w:color w:val="1F4D78"/>
                <w:sz w:val="14"/>
              </w:rPr>
              <w:t>Argus Unified</w:t>
            </w:r>
          </w:p>
        </w:tc>
        <w:tc>
          <w:tcPr>
            <w:tcW w:type="dxa" w:w="1200"/>
            <w:tcMar>
              <w:top w:w="80" w:type="dxa"/>
              <w:start w:w="120" w:type="dxa"/>
              <w:bottom w:w="80" w:type="dxa"/>
              <w:end w:w="120" w:type="dxa"/>
            </w:tcMar>
            <w:vAlign w:val="center"/>
            <w:shd w:fill="E8EEF5"/>
          </w:tcPr>
          <w:p>
            <w:r>
              <w:rPr>
                <w:rFonts w:ascii="Calibri" w:hAnsi="Calibri" w:eastAsia="Calibri"/>
                <w:b/>
                <w:i w:val="0"/>
                <w:color w:val="1F4D78"/>
                <w:sz w:val="14"/>
              </w:rPr>
              <w:t>SpiderFoot</w:t>
            </w:r>
          </w:p>
        </w:tc>
        <w:tc>
          <w:tcPr>
            <w:tcW w:type="dxa" w:w="1200"/>
            <w:tcMar>
              <w:top w:w="80" w:type="dxa"/>
              <w:start w:w="120" w:type="dxa"/>
              <w:bottom w:w="80" w:type="dxa"/>
              <w:end w:w="120" w:type="dxa"/>
            </w:tcMar>
            <w:vAlign w:val="center"/>
            <w:shd w:fill="E8EEF5"/>
          </w:tcPr>
          <w:p>
            <w:r>
              <w:rPr>
                <w:rFonts w:ascii="Calibri" w:hAnsi="Calibri" w:eastAsia="Calibri"/>
                <w:b/>
                <w:i w:val="0"/>
                <w:color w:val="1F4D78"/>
                <w:sz w:val="14"/>
              </w:rPr>
              <w:t>Maltego</w:t>
            </w:r>
          </w:p>
        </w:tc>
        <w:tc>
          <w:tcPr>
            <w:tcW w:type="dxa" w:w="1200"/>
            <w:tcMar>
              <w:top w:w="80" w:type="dxa"/>
              <w:start w:w="120" w:type="dxa"/>
              <w:bottom w:w="80" w:type="dxa"/>
              <w:end w:w="120" w:type="dxa"/>
            </w:tcMar>
            <w:vAlign w:val="center"/>
            <w:shd w:fill="E8EEF5"/>
          </w:tcPr>
          <w:p>
            <w:r>
              <w:rPr>
                <w:rFonts w:ascii="Calibri" w:hAnsi="Calibri" w:eastAsia="Calibri"/>
                <w:b/>
                <w:i w:val="0"/>
                <w:color w:val="1F4D78"/>
                <w:sz w:val="14"/>
              </w:rPr>
              <w:t>Sherlock</w:t>
            </w:r>
          </w:p>
        </w:tc>
        <w:tc>
          <w:tcPr>
            <w:tcW w:type="dxa" w:w="1200"/>
            <w:tcMar>
              <w:top w:w="80" w:type="dxa"/>
              <w:start w:w="120" w:type="dxa"/>
              <w:bottom w:w="80" w:type="dxa"/>
              <w:end w:w="120" w:type="dxa"/>
            </w:tcMar>
            <w:vAlign w:val="center"/>
            <w:shd w:fill="E8EEF5"/>
          </w:tcPr>
          <w:p>
            <w:r>
              <w:rPr>
                <w:rFonts w:ascii="Calibri" w:hAnsi="Calibri" w:eastAsia="Calibri"/>
                <w:b/>
                <w:i w:val="0"/>
                <w:color w:val="1F4D78"/>
                <w:sz w:val="14"/>
              </w:rPr>
              <w:t>Maigret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Self-hosted open-source core</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Username enumeration</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Name/email/phone/person inputs</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Multi-source module/transform ecosystem</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Rich subject-profile disambiguation</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Evidence-chain confidence tiers</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DOM-skeleton account verification</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Structured profile metadata extraction</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Recursive pivot discovery</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WAF/challenge-aware checks</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Known-positive/negative calibration</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Pause/resume/cancel background jobs</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Visual relationship graph</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Real-time graph collaboration</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Local CSV/intelbase lookup</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Structured report/export formats</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bl>
    <w:p>
      <w:pPr>
        <w:spacing w:after="0"/>
      </w:pPr>
    </w:p>
    <w:p>
      <w:pPr>
        <w:pStyle w:val="Heading2"/>
      </w:pPr>
      <w:r>
        <w:t>Breach-search alternatives</w:t>
      </w:r>
    </w:p>
    <w:p>
      <w:r>
        <w:rPr>
          <w:rFonts w:ascii="Calibri" w:hAnsi="Calibri" w:eastAsia="Calibri"/>
          <w:b w:val="0"/>
          <w:i w:val="0"/>
          <w:color w:val="000000"/>
          <w:sz w:val="22"/>
        </w:rPr>
        <w:t>Evidence rule (reviewed 10 August 2026): ✓ = native capability implemented in Argus or explicitly documented by the cited primary source; ✗ = not evidenced as a native capability in the reviewed source. A cross does not mean a custom integration, partner feed, or extension is impossible. Product editions and licensing can change.</w:t>
      </w:r>
    </w:p>
    <w:tbl>
      <w:tblPr>
        <w:tblStyle w:val="TableGrid"/>
        <w:tblW w:type="dxa" w:w="9360"/>
        <w:tblLayout w:type="fixed"/>
        <w:tblLook w:firstColumn="1" w:firstRow="1" w:lastColumn="0" w:lastRow="0" w:noHBand="0" w:noVBand="1" w:val="04A0"/>
        <w:jc w:val="left"/>
        <w:tblInd w:w="120" w:type="dxa"/>
      </w:tblPr>
      <w:tblGrid>
        <w:gridCol w:w="3360"/>
        <w:gridCol w:w="1200"/>
        <w:gridCol w:w="1200"/>
        <w:gridCol w:w="1200"/>
        <w:gridCol w:w="1200"/>
        <w:gridCol w:w="1200"/>
      </w:tblGrid>
      <w:tr>
        <w:trPr>
          <w:tblHeader w:val="true"/>
        </w:trPr>
        <w:tc>
          <w:tcPr>
            <w:tcW w:type="dxa" w:w="3360"/>
            <w:tcMar>
              <w:top w:w="80" w:type="dxa"/>
              <w:start w:w="120" w:type="dxa"/>
              <w:bottom w:w="80" w:type="dxa"/>
              <w:end w:w="120" w:type="dxa"/>
            </w:tcMar>
            <w:vAlign w:val="center"/>
            <w:shd w:fill="E8EEF5"/>
          </w:tcPr>
          <w:p>
            <w:r>
              <w:rPr>
                <w:rFonts w:ascii="Calibri" w:hAnsi="Calibri" w:eastAsia="Calibri"/>
                <w:b/>
                <w:i w:val="0"/>
                <w:color w:val="1F4D78"/>
                <w:sz w:val="14"/>
              </w:rPr>
              <w:t>Feature</w:t>
            </w:r>
          </w:p>
        </w:tc>
        <w:tc>
          <w:tcPr>
            <w:tcW w:type="dxa" w:w="1200"/>
            <w:tcMar>
              <w:top w:w="80" w:type="dxa"/>
              <w:start w:w="120" w:type="dxa"/>
              <w:bottom w:w="80" w:type="dxa"/>
              <w:end w:w="120" w:type="dxa"/>
            </w:tcMar>
            <w:vAlign w:val="center"/>
            <w:shd w:fill="E8EEF5"/>
          </w:tcPr>
          <w:p>
            <w:r>
              <w:rPr>
                <w:rFonts w:ascii="Calibri" w:hAnsi="Calibri" w:eastAsia="Calibri"/>
                <w:b/>
                <w:i w:val="0"/>
                <w:color w:val="1F4D78"/>
                <w:sz w:val="14"/>
              </w:rPr>
              <w:t>Argus Unified</w:t>
            </w:r>
          </w:p>
        </w:tc>
        <w:tc>
          <w:tcPr>
            <w:tcW w:type="dxa" w:w="1200"/>
            <w:tcMar>
              <w:top w:w="80" w:type="dxa"/>
              <w:start w:w="120" w:type="dxa"/>
              <w:bottom w:w="80" w:type="dxa"/>
              <w:end w:w="120" w:type="dxa"/>
            </w:tcMar>
            <w:vAlign w:val="center"/>
            <w:shd w:fill="E8EEF5"/>
          </w:tcPr>
          <w:p>
            <w:r>
              <w:rPr>
                <w:rFonts w:ascii="Calibri" w:hAnsi="Calibri" w:eastAsia="Calibri"/>
                <w:b/>
                <w:i w:val="0"/>
                <w:color w:val="1F4D78"/>
                <w:sz w:val="14"/>
              </w:rPr>
              <w:t>HIBP</w:t>
            </w:r>
          </w:p>
        </w:tc>
        <w:tc>
          <w:tcPr>
            <w:tcW w:type="dxa" w:w="1200"/>
            <w:tcMar>
              <w:top w:w="80" w:type="dxa"/>
              <w:start w:w="120" w:type="dxa"/>
              <w:bottom w:w="80" w:type="dxa"/>
              <w:end w:w="120" w:type="dxa"/>
            </w:tcMar>
            <w:vAlign w:val="center"/>
            <w:shd w:fill="E8EEF5"/>
          </w:tcPr>
          <w:p>
            <w:r>
              <w:rPr>
                <w:rFonts w:ascii="Calibri" w:hAnsi="Calibri" w:eastAsia="Calibri"/>
                <w:b/>
                <w:i w:val="0"/>
                <w:color w:val="1F4D78"/>
                <w:sz w:val="14"/>
              </w:rPr>
              <w:t>Intelligence X</w:t>
            </w:r>
          </w:p>
        </w:tc>
        <w:tc>
          <w:tcPr>
            <w:tcW w:type="dxa" w:w="1200"/>
            <w:tcMar>
              <w:top w:w="80" w:type="dxa"/>
              <w:start w:w="120" w:type="dxa"/>
              <w:bottom w:w="80" w:type="dxa"/>
              <w:end w:w="120" w:type="dxa"/>
            </w:tcMar>
            <w:vAlign w:val="center"/>
            <w:shd w:fill="E8EEF5"/>
          </w:tcPr>
          <w:p>
            <w:r>
              <w:rPr>
                <w:rFonts w:ascii="Calibri" w:hAnsi="Calibri" w:eastAsia="Calibri"/>
                <w:b/>
                <w:i w:val="0"/>
                <w:color w:val="1F4D78"/>
                <w:sz w:val="14"/>
              </w:rPr>
              <w:t>LeakCheck</w:t>
            </w:r>
          </w:p>
        </w:tc>
        <w:tc>
          <w:tcPr>
            <w:tcW w:type="dxa" w:w="1200"/>
            <w:tcMar>
              <w:top w:w="80" w:type="dxa"/>
              <w:start w:w="120" w:type="dxa"/>
              <w:bottom w:w="80" w:type="dxa"/>
              <w:end w:w="120" w:type="dxa"/>
            </w:tcMar>
            <w:vAlign w:val="center"/>
            <w:shd w:fill="E8EEF5"/>
          </w:tcPr>
          <w:p>
            <w:r>
              <w:rPr>
                <w:rFonts w:ascii="Calibri" w:hAnsi="Calibri" w:eastAsia="Calibri"/>
                <w:b/>
                <w:i w:val="0"/>
                <w:color w:val="1F4D78"/>
                <w:sz w:val="14"/>
              </w:rPr>
              <w:t>DeHashed</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Self-hosted local-corpus search</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Vendor-hosted breach corpus</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Email lookup</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Username lookup</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Phone lookup</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IP-address lookup</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Domain exposure/search</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Name/address pivot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Combined multi-field query</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Full raw record fields</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Dataset/breach provenance</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Paginated programmatic API</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Record-to-PII relationship graph</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Common-value graph expansion guard</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Stable local node/edge identifiers</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Redis cache with uncached fallback</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Integrated customer finding/exposure</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Hosted monitoring/notifications</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bl>
    <w:p>
      <w:pPr>
        <w:spacing w:after="0"/>
      </w:pPr>
    </w:p>
    <w:p>
      <w:pPr>
        <w:pStyle w:val="Heading2"/>
      </w:pPr>
      <w:r>
        <w:t>Telegram-intelligence alternatives</w:t>
      </w:r>
    </w:p>
    <w:p>
      <w:r>
        <w:rPr>
          <w:rFonts w:ascii="Calibri" w:hAnsi="Calibri" w:eastAsia="Calibri"/>
          <w:b w:val="0"/>
          <w:i w:val="0"/>
          <w:color w:val="000000"/>
          <w:sz w:val="22"/>
        </w:rPr>
        <w:t>Evidence rule (reviewed 10 August 2026): ✓ = native capability implemented in Argus or explicitly documented by the cited primary source; ✗ = not evidenced as a native capability in the reviewed source. A cross does not mean a custom integration, partner feed, or extension is impossible. Product editions and licensing can change.</w:t>
      </w:r>
    </w:p>
    <w:tbl>
      <w:tblPr>
        <w:tblStyle w:val="TableGrid"/>
        <w:tblW w:type="dxa" w:w="9360"/>
        <w:tblLayout w:type="fixed"/>
        <w:tblLook w:firstColumn="1" w:firstRow="1" w:lastColumn="0" w:lastRow="0" w:noHBand="0" w:noVBand="1" w:val="04A0"/>
        <w:jc w:val="left"/>
        <w:tblInd w:w="120" w:type="dxa"/>
      </w:tblPr>
      <w:tblGrid>
        <w:gridCol w:w="3360"/>
        <w:gridCol w:w="1200"/>
        <w:gridCol w:w="1200"/>
        <w:gridCol w:w="1200"/>
        <w:gridCol w:w="1200"/>
        <w:gridCol w:w="1200"/>
      </w:tblGrid>
      <w:tr>
        <w:trPr>
          <w:tblHeader w:val="true"/>
        </w:trPr>
        <w:tc>
          <w:tcPr>
            <w:tcW w:type="dxa" w:w="3360"/>
            <w:tcMar>
              <w:top w:w="80" w:type="dxa"/>
              <w:start w:w="120" w:type="dxa"/>
              <w:bottom w:w="80" w:type="dxa"/>
              <w:end w:w="120" w:type="dxa"/>
            </w:tcMar>
            <w:vAlign w:val="center"/>
            <w:shd w:fill="E8EEF5"/>
          </w:tcPr>
          <w:p>
            <w:r>
              <w:rPr>
                <w:rFonts w:ascii="Calibri" w:hAnsi="Calibri" w:eastAsia="Calibri"/>
                <w:b/>
                <w:i w:val="0"/>
                <w:color w:val="1F4D78"/>
                <w:sz w:val="14"/>
              </w:rPr>
              <w:t>Feature</w:t>
            </w:r>
          </w:p>
        </w:tc>
        <w:tc>
          <w:tcPr>
            <w:tcW w:type="dxa" w:w="1200"/>
            <w:tcMar>
              <w:top w:w="80" w:type="dxa"/>
              <w:start w:w="120" w:type="dxa"/>
              <w:bottom w:w="80" w:type="dxa"/>
              <w:end w:w="120" w:type="dxa"/>
            </w:tcMar>
            <w:vAlign w:val="center"/>
            <w:shd w:fill="E8EEF5"/>
          </w:tcPr>
          <w:p>
            <w:r>
              <w:rPr>
                <w:rFonts w:ascii="Calibri" w:hAnsi="Calibri" w:eastAsia="Calibri"/>
                <w:b/>
                <w:i w:val="0"/>
                <w:color w:val="1F4D78"/>
                <w:sz w:val="14"/>
              </w:rPr>
              <w:t>Argus Unified</w:t>
            </w:r>
          </w:p>
        </w:tc>
        <w:tc>
          <w:tcPr>
            <w:tcW w:type="dxa" w:w="1200"/>
            <w:tcMar>
              <w:top w:w="80" w:type="dxa"/>
              <w:start w:w="120" w:type="dxa"/>
              <w:bottom w:w="80" w:type="dxa"/>
              <w:end w:w="120" w:type="dxa"/>
            </w:tcMar>
            <w:vAlign w:val="center"/>
            <w:shd w:fill="E8EEF5"/>
          </w:tcPr>
          <w:p>
            <w:r>
              <w:rPr>
                <w:rFonts w:ascii="Calibri" w:hAnsi="Calibri" w:eastAsia="Calibri"/>
                <w:b/>
                <w:i w:val="0"/>
                <w:color w:val="1F4D78"/>
                <w:sz w:val="14"/>
              </w:rPr>
              <w:t>Telethon</w:t>
            </w:r>
          </w:p>
        </w:tc>
        <w:tc>
          <w:tcPr>
            <w:tcW w:type="dxa" w:w="1200"/>
            <w:tcMar>
              <w:top w:w="80" w:type="dxa"/>
              <w:start w:w="120" w:type="dxa"/>
              <w:bottom w:w="80" w:type="dxa"/>
              <w:end w:w="120" w:type="dxa"/>
            </w:tcMar>
            <w:vAlign w:val="center"/>
            <w:shd w:fill="E8EEF5"/>
          </w:tcPr>
          <w:p>
            <w:r>
              <w:rPr>
                <w:rFonts w:ascii="Calibri" w:hAnsi="Calibri" w:eastAsia="Calibri"/>
                <w:b/>
                <w:i w:val="0"/>
                <w:color w:val="1F4D78"/>
                <w:sz w:val="14"/>
              </w:rPr>
              <w:t>Maltego Monitor</w:t>
            </w:r>
          </w:p>
        </w:tc>
        <w:tc>
          <w:tcPr>
            <w:tcW w:type="dxa" w:w="1200"/>
            <w:tcMar>
              <w:top w:w="80" w:type="dxa"/>
              <w:start w:w="120" w:type="dxa"/>
              <w:bottom w:w="80" w:type="dxa"/>
              <w:end w:w="120" w:type="dxa"/>
            </w:tcMar>
            <w:vAlign w:val="center"/>
            <w:shd w:fill="E8EEF5"/>
          </w:tcPr>
          <w:p>
            <w:r>
              <w:rPr>
                <w:rFonts w:ascii="Calibri" w:hAnsi="Calibri" w:eastAsia="Calibri"/>
                <w:b/>
                <w:i w:val="0"/>
                <w:color w:val="1F4D78"/>
                <w:sz w:val="14"/>
              </w:rPr>
              <w:t>Social Links</w:t>
            </w:r>
          </w:p>
        </w:tc>
        <w:tc>
          <w:tcPr>
            <w:tcW w:type="dxa" w:w="1200"/>
            <w:tcMar>
              <w:top w:w="80" w:type="dxa"/>
              <w:start w:w="120" w:type="dxa"/>
              <w:bottom w:w="80" w:type="dxa"/>
              <w:end w:w="120" w:type="dxa"/>
            </w:tcMar>
            <w:vAlign w:val="center"/>
            <w:shd w:fill="E8EEF5"/>
          </w:tcPr>
          <w:p>
            <w:r>
              <w:rPr>
                <w:rFonts w:ascii="Calibri" w:hAnsi="Calibri" w:eastAsia="Calibri"/>
                <w:b/>
                <w:i w:val="0"/>
                <w:color w:val="1F4D78"/>
                <w:sz w:val="14"/>
              </w:rPr>
              <w:t>OpenCTI</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Self-hosted open-source component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Authorized Telegram account/API collection</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Explicit channel/group monitoring</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Historical message retrieval</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Incoming-message event handling</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Bounded JSON/ZIP offline import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Text, links and attachment extraction</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Obfuscation/leetspeak normalization</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Deterministic cybercrime categories</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Published risk/confidence formula</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Typo-tolerant local message search</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Alert/case monitoring interface</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Channel/reference relationship graph</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Customer asset-to-IOC findings</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STIX 2.1 export after ingestion</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General-purpose Telegram client API</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bl>
    <w:p>
      <w:pPr>
        <w:spacing w:after="0"/>
      </w:pPr>
    </w:p>
    <w:p>
      <w:pPr>
        <w:pStyle w:val="Heading2"/>
      </w:pPr>
      <w:r>
        <w:t>PII and sensitive-data alternatives</w:t>
      </w:r>
    </w:p>
    <w:p>
      <w:r>
        <w:rPr>
          <w:rFonts w:ascii="Calibri" w:hAnsi="Calibri" w:eastAsia="Calibri"/>
          <w:b w:val="0"/>
          <w:i w:val="0"/>
          <w:color w:val="000000"/>
          <w:sz w:val="22"/>
        </w:rPr>
        <w:t>Evidence rule (reviewed 10 August 2026): ✓ = native capability implemented in Argus or explicitly documented by the cited primary source; ✗ = not evidenced as a native capability in the reviewed source. A cross does not mean a custom integration, partner feed, or extension is impossible. Product editions and licensing can change.</w:t>
      </w:r>
    </w:p>
    <w:tbl>
      <w:tblPr>
        <w:tblStyle w:val="TableGrid"/>
        <w:tblW w:type="dxa" w:w="9360"/>
        <w:tblLayout w:type="fixed"/>
        <w:tblLook w:firstColumn="1" w:firstRow="1" w:lastColumn="0" w:lastRow="0" w:noHBand="0" w:noVBand="1" w:val="04A0"/>
        <w:jc w:val="left"/>
        <w:tblInd w:w="120" w:type="dxa"/>
      </w:tblPr>
      <w:tblGrid>
        <w:gridCol w:w="3360"/>
        <w:gridCol w:w="1500"/>
        <w:gridCol w:w="1500"/>
        <w:gridCol w:w="1500"/>
        <w:gridCol w:w="1500"/>
      </w:tblGrid>
      <w:tr>
        <w:trPr>
          <w:tblHeader w:val="true"/>
        </w:trPr>
        <w:tc>
          <w:tcPr>
            <w:tcW w:type="dxa" w:w="3360"/>
            <w:tcMar>
              <w:top w:w="80" w:type="dxa"/>
              <w:start w:w="120" w:type="dxa"/>
              <w:bottom w:w="80" w:type="dxa"/>
              <w:end w:w="120" w:type="dxa"/>
            </w:tcMar>
            <w:vAlign w:val="center"/>
            <w:shd w:fill="E8EEF5"/>
          </w:tcPr>
          <w:p>
            <w:r>
              <w:rPr>
                <w:rFonts w:ascii="Calibri" w:hAnsi="Calibri" w:eastAsia="Calibri"/>
                <w:b/>
                <w:i w:val="0"/>
                <w:color w:val="1F4D78"/>
                <w:sz w:val="15"/>
              </w:rPr>
              <w:t>Feature</w:t>
            </w:r>
          </w:p>
        </w:tc>
        <w:tc>
          <w:tcPr>
            <w:tcW w:type="dxa" w:w="1500"/>
            <w:tcMar>
              <w:top w:w="80" w:type="dxa"/>
              <w:start w:w="120" w:type="dxa"/>
              <w:bottom w:w="80" w:type="dxa"/>
              <w:end w:w="120" w:type="dxa"/>
            </w:tcMar>
            <w:vAlign w:val="center"/>
            <w:shd w:fill="E8EEF5"/>
          </w:tcPr>
          <w:p>
            <w:r>
              <w:rPr>
                <w:rFonts w:ascii="Calibri" w:hAnsi="Calibri" w:eastAsia="Calibri"/>
                <w:b/>
                <w:i w:val="0"/>
                <w:color w:val="1F4D78"/>
                <w:sz w:val="15"/>
              </w:rPr>
              <w:t>Argus Unified</w:t>
            </w:r>
          </w:p>
        </w:tc>
        <w:tc>
          <w:tcPr>
            <w:tcW w:type="dxa" w:w="1500"/>
            <w:tcMar>
              <w:top w:w="80" w:type="dxa"/>
              <w:start w:w="120" w:type="dxa"/>
              <w:bottom w:w="80" w:type="dxa"/>
              <w:end w:w="120" w:type="dxa"/>
            </w:tcMar>
            <w:vAlign w:val="center"/>
            <w:shd w:fill="E8EEF5"/>
          </w:tcPr>
          <w:p>
            <w:r>
              <w:rPr>
                <w:rFonts w:ascii="Calibri" w:hAnsi="Calibri" w:eastAsia="Calibri"/>
                <w:b/>
                <w:i w:val="0"/>
                <w:color w:val="1F4D78"/>
                <w:sz w:val="15"/>
              </w:rPr>
              <w:t>Presidio</w:t>
            </w:r>
          </w:p>
        </w:tc>
        <w:tc>
          <w:tcPr>
            <w:tcW w:type="dxa" w:w="1500"/>
            <w:tcMar>
              <w:top w:w="80" w:type="dxa"/>
              <w:start w:w="120" w:type="dxa"/>
              <w:bottom w:w="80" w:type="dxa"/>
              <w:end w:w="120" w:type="dxa"/>
            </w:tcMar>
            <w:vAlign w:val="center"/>
            <w:shd w:fill="E8EEF5"/>
          </w:tcPr>
          <w:p>
            <w:r>
              <w:rPr>
                <w:rFonts w:ascii="Calibri" w:hAnsi="Calibri" w:eastAsia="Calibri"/>
                <w:b/>
                <w:i w:val="0"/>
                <w:color w:val="1F4D78"/>
                <w:sz w:val="15"/>
              </w:rPr>
              <w:t>Google SDP</w:t>
            </w:r>
          </w:p>
        </w:tc>
        <w:tc>
          <w:tcPr>
            <w:tcW w:type="dxa" w:w="1500"/>
            <w:tcMar>
              <w:top w:w="80" w:type="dxa"/>
              <w:start w:w="120" w:type="dxa"/>
              <w:bottom w:w="80" w:type="dxa"/>
              <w:end w:w="120" w:type="dxa"/>
            </w:tcMar>
            <w:vAlign w:val="center"/>
            <w:shd w:fill="E8EEF5"/>
          </w:tcPr>
          <w:p>
            <w:r>
              <w:rPr>
                <w:rFonts w:ascii="Calibri" w:hAnsi="Calibri" w:eastAsia="Calibri"/>
                <w:b/>
                <w:i w:val="0"/>
                <w:color w:val="1F4D78"/>
                <w:sz w:val="15"/>
              </w:rPr>
              <w:t>Amazon Macie</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5"/>
              </w:rPr>
              <w:t>Self-hosted text detection</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5"/>
              </w:rPr>
              <w:t>Built-in PII/financial identifiers</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5"/>
              </w:rPr>
              <w:t>Credential/secret detection</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5"/>
              </w:rPr>
              <w:t>Regex/context/custom detectors</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5"/>
              </w:rPr>
              <w:t>NER or machine-learning detection</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5"/>
              </w:rPr>
              <w:t>Detection confidence/likelihood</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5"/>
              </w:rPr>
              <w:t>Threat IOC families in same scan</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5"/>
              </w:rPr>
              <w:t>Cloud data-store discovery</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5"/>
              </w:rPr>
              <w:t>Image PII inspection/redaction</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5"/>
              </w:rPr>
              <w:t>Anonymize/de-identify operations</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5"/>
              </w:rPr>
              <w:t>Customer asset attribution</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5"/>
              </w:rPr>
              <w:t>Breach relationship-graph integration</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5"/>
              </w:rPr>
              <w:t>STIX 2.1 CTI export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5"/>
              </w:rPr>
              <w:t>Fully managed cloud service</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r>
    </w:tbl>
    <w:p>
      <w:pPr>
        <w:spacing w:after="0"/>
      </w:pPr>
    </w:p>
    <w:p>
      <w:pPr>
        <w:pStyle w:val="Heading2"/>
      </w:pPr>
      <w:r>
        <w:t>IOC extraction and STIX alternatives</w:t>
      </w:r>
    </w:p>
    <w:p>
      <w:r>
        <w:rPr>
          <w:rFonts w:ascii="Calibri" w:hAnsi="Calibri" w:eastAsia="Calibri"/>
          <w:b w:val="0"/>
          <w:i w:val="0"/>
          <w:color w:val="000000"/>
          <w:sz w:val="22"/>
        </w:rPr>
        <w:t>Evidence rule (reviewed 10 August 2026): ✓ = native capability implemented in Argus or explicitly documented by the cited primary source; ✗ = not evidenced as a native capability in the reviewed source. A cross does not mean a custom integration, partner feed, or extension is impossible. Product editions and licensing can change.</w:t>
      </w:r>
    </w:p>
    <w:tbl>
      <w:tblPr>
        <w:tblStyle w:val="TableGrid"/>
        <w:tblW w:type="dxa" w:w="9360"/>
        <w:tblLayout w:type="fixed"/>
        <w:tblLook w:firstColumn="1" w:firstRow="1" w:lastColumn="0" w:lastRow="0" w:noHBand="0" w:noVBand="1" w:val="04A0"/>
        <w:jc w:val="left"/>
        <w:tblInd w:w="120" w:type="dxa"/>
      </w:tblPr>
      <w:tblGrid>
        <w:gridCol w:w="3360"/>
        <w:gridCol w:w="1500"/>
        <w:gridCol w:w="1500"/>
        <w:gridCol w:w="1500"/>
        <w:gridCol w:w="1500"/>
      </w:tblGrid>
      <w:tr>
        <w:trPr>
          <w:tblHeader w:val="true"/>
        </w:trPr>
        <w:tc>
          <w:tcPr>
            <w:tcW w:type="dxa" w:w="3360"/>
            <w:tcMar>
              <w:top w:w="80" w:type="dxa"/>
              <w:start w:w="120" w:type="dxa"/>
              <w:bottom w:w="80" w:type="dxa"/>
              <w:end w:w="120" w:type="dxa"/>
            </w:tcMar>
            <w:vAlign w:val="center"/>
            <w:shd w:fill="E8EEF5"/>
          </w:tcPr>
          <w:p>
            <w:r>
              <w:rPr>
                <w:rFonts w:ascii="Calibri" w:hAnsi="Calibri" w:eastAsia="Calibri"/>
                <w:b/>
                <w:i w:val="0"/>
                <w:color w:val="1F4D78"/>
                <w:sz w:val="15"/>
              </w:rPr>
              <w:t>Feature</w:t>
            </w:r>
          </w:p>
        </w:tc>
        <w:tc>
          <w:tcPr>
            <w:tcW w:type="dxa" w:w="1500"/>
            <w:tcMar>
              <w:top w:w="80" w:type="dxa"/>
              <w:start w:w="120" w:type="dxa"/>
              <w:bottom w:w="80" w:type="dxa"/>
              <w:end w:w="120" w:type="dxa"/>
            </w:tcMar>
            <w:vAlign w:val="center"/>
            <w:shd w:fill="E8EEF5"/>
          </w:tcPr>
          <w:p>
            <w:r>
              <w:rPr>
                <w:rFonts w:ascii="Calibri" w:hAnsi="Calibri" w:eastAsia="Calibri"/>
                <w:b/>
                <w:i w:val="0"/>
                <w:color w:val="1F4D78"/>
                <w:sz w:val="15"/>
              </w:rPr>
              <w:t>Argus Unified</w:t>
            </w:r>
          </w:p>
        </w:tc>
        <w:tc>
          <w:tcPr>
            <w:tcW w:type="dxa" w:w="1500"/>
            <w:tcMar>
              <w:top w:w="80" w:type="dxa"/>
              <w:start w:w="120" w:type="dxa"/>
              <w:bottom w:w="80" w:type="dxa"/>
              <w:end w:w="120" w:type="dxa"/>
            </w:tcMar>
            <w:vAlign w:val="center"/>
            <w:shd w:fill="E8EEF5"/>
          </w:tcPr>
          <w:p>
            <w:r>
              <w:rPr>
                <w:rFonts w:ascii="Calibri" w:hAnsi="Calibri" w:eastAsia="Calibri"/>
                <w:b/>
                <w:i w:val="0"/>
                <w:color w:val="1F4D78"/>
                <w:sz w:val="15"/>
              </w:rPr>
              <w:t>iocextract</w:t>
            </w:r>
          </w:p>
        </w:tc>
        <w:tc>
          <w:tcPr>
            <w:tcW w:type="dxa" w:w="1500"/>
            <w:tcMar>
              <w:top w:w="80" w:type="dxa"/>
              <w:start w:w="120" w:type="dxa"/>
              <w:bottom w:w="80" w:type="dxa"/>
              <w:end w:w="120" w:type="dxa"/>
            </w:tcMar>
            <w:vAlign w:val="center"/>
            <w:shd w:fill="E8EEF5"/>
          </w:tcPr>
          <w:p>
            <w:r>
              <w:rPr>
                <w:rFonts w:ascii="Calibri" w:hAnsi="Calibri" w:eastAsia="Calibri"/>
                <w:b/>
                <w:i w:val="0"/>
                <w:color w:val="1F4D78"/>
                <w:sz w:val="15"/>
              </w:rPr>
              <w:t>OpenCTI</w:t>
            </w:r>
          </w:p>
        </w:tc>
        <w:tc>
          <w:tcPr>
            <w:tcW w:type="dxa" w:w="1500"/>
            <w:tcMar>
              <w:top w:w="80" w:type="dxa"/>
              <w:start w:w="120" w:type="dxa"/>
              <w:bottom w:w="80" w:type="dxa"/>
              <w:end w:w="120" w:type="dxa"/>
            </w:tcMar>
            <w:vAlign w:val="center"/>
            <w:shd w:fill="E8EEF5"/>
          </w:tcPr>
          <w:p>
            <w:r>
              <w:rPr>
                <w:rFonts w:ascii="Calibri" w:hAnsi="Calibri" w:eastAsia="Calibri"/>
                <w:b/>
                <w:i w:val="0"/>
                <w:color w:val="1F4D78"/>
                <w:sz w:val="15"/>
              </w:rPr>
              <w:t>MISP</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5"/>
              </w:rPr>
              <w:t>Self-hosted open-source component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5"/>
              </w:rPr>
              <w:t>IOC extraction from free text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5"/>
              </w:rPr>
              <w:t>Defanged IOC decoding/refanging</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5"/>
              </w:rPr>
              <w:t>Credential/token/PII pattern families</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5"/>
              </w:rPr>
              <w:t>Normalization and deduplication</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5"/>
              </w:rPr>
              <w:t>Per-indicator confidence</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5"/>
              </w:rPr>
              <w:t>False-positive/noise guard lists</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5"/>
              </w:rPr>
              <w:t>Customer asset/CIDR/domain matching</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5"/>
              </w:rPr>
              <w:t>CVE-to-product/version correlation</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5"/>
              </w:rPr>
              <w:t>STIX 2.1 import/export platform</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5"/>
              </w:rPr>
              <w:t>Deterministic UUIDv5 output IDs</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5"/>
              </w:rPr>
              <w:t>Knowledge/event relationship graph</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5"/>
              </w:rPr>
              <w:t>Breach-record graph integration</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5"/>
              </w:rPr>
              <w:t>Case or workflow handling</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r>
    </w:tbl>
    <w:p>
      <w:pPr>
        <w:spacing w:after="0"/>
      </w:pPr>
    </w:p>
    <w:p>
      <w:pPr>
        <w:pStyle w:val="Heading1"/>
      </w:pPr>
      <w:r>
        <w:t>Configuration and migration</w:t>
      </w:r>
    </w:p>
    <w:p>
      <w:pPr>
        <w:pStyle w:val="ListBullet"/>
      </w:pPr>
      <w:r>
        <w:t>The unified migration is backend/arguswatch/scripts/migrate_unified.py; database bootstrap includes initdb/15_telegram_intel.sql.</w:t>
      </w:r>
    </w:p>
    <w:p>
      <w:pPr>
        <w:pStyle w:val="ListBullet"/>
      </w:pPr>
      <w:r>
        <w:t>Auth and AI defaults are secure: AUTH_DISABLED=false and AI_AUTONOMY_ENABLED=false unless deliberately changed.</w:t>
      </w:r>
    </w:p>
    <w:p>
      <w:pPr>
        <w:pStyle w:val="ListBullet"/>
      </w:pPr>
      <w:r>
        <w:t>Only the Argus API port is published and it binds to 127.0.0.1 by default; infrastructure and internal application roles publish no host ports.</w:t>
      </w:r>
    </w:p>
    <w:p>
      <w:pPr>
        <w:pStyle w:val="ListBullet"/>
      </w:pPr>
      <w:r>
        <w:t>The canonical docker/Dockerfile builds the dashboard, modules SPA, API, workers, breach roles, intelligence proxy, and recon tools into the same non-root Argus image.</w:t>
      </w:r>
    </w:p>
    <w:p>
      <w:pPr>
        <w:pStyle w:val="ListBullet"/>
      </w:pPr>
      <w:r>
        <w:t>Python and JavaScript dependency pins were updated and audited; deprecated Starlette WSGI middleware was replaced with a2wsgi.</w:t>
      </w:r>
    </w:p>
    <w:p>
      <w:pPr>
        <w:pStyle w:val="ListBullet"/>
      </w:pPr>
      <w:r>
        <w:t>The multi-stage image builds Python wheels and the modules SPA once, pins recon-tool releases, runs as a non-root user, and keeps test dependencies outside the production image.</w:t>
      </w:r>
    </w:p>
    <w:p>
      <w:pPr>
        <w:pStyle w:val="Heading1"/>
      </w:pPr>
      <w:r>
        <w:t>Verification ledger</w:t>
      </w:r>
    </w:p>
    <w:tbl>
      <w:tblPr>
        <w:tblStyle w:val="TableGrid"/>
        <w:tblW w:type="dxa" w:w="9360"/>
        <w:tblLayout w:type="fixed"/>
        <w:tblLook w:firstColumn="1" w:firstRow="1" w:lastColumn="0" w:lastRow="0" w:noHBand="0" w:noVBand="1" w:val="04A0"/>
        <w:jc w:val="left"/>
        <w:tblInd w:w="120" w:type="dxa"/>
      </w:tblPr>
      <w:tblGrid>
        <w:gridCol w:w="3100"/>
        <w:gridCol w:w="2350"/>
        <w:gridCol w:w="3910"/>
      </w:tblGrid>
      <w:tr>
        <w:trPr>
          <w:tblHeader w:val="true"/>
        </w:trPr>
        <w:tc>
          <w:tcPr>
            <w:tcW w:type="dxa" w:w="3100"/>
            <w:tcMar>
              <w:top w:w="80" w:type="dxa"/>
              <w:start w:w="120" w:type="dxa"/>
              <w:bottom w:w="80" w:type="dxa"/>
              <w:end w:w="120" w:type="dxa"/>
            </w:tcMar>
            <w:vAlign w:val="center"/>
            <w:shd w:fill="E8EEF5"/>
          </w:tcPr>
          <w:p>
            <w:r>
              <w:rPr>
                <w:rFonts w:ascii="Calibri" w:hAnsi="Calibri" w:eastAsia="Calibri"/>
                <w:b/>
                <w:i w:val="0"/>
                <w:color w:val="1F4D78"/>
                <w:sz w:val="17"/>
              </w:rPr>
              <w:t>Check</w:t>
            </w:r>
          </w:p>
        </w:tc>
        <w:tc>
          <w:tcPr>
            <w:tcW w:type="dxa" w:w="2350"/>
            <w:tcMar>
              <w:top w:w="80" w:type="dxa"/>
              <w:start w:w="120" w:type="dxa"/>
              <w:bottom w:w="80" w:type="dxa"/>
              <w:end w:w="120" w:type="dxa"/>
            </w:tcMar>
            <w:vAlign w:val="center"/>
            <w:shd w:fill="E8EEF5"/>
          </w:tcPr>
          <w:p>
            <w:r>
              <w:rPr>
                <w:rFonts w:ascii="Calibri" w:hAnsi="Calibri" w:eastAsia="Calibri"/>
                <w:b/>
                <w:i w:val="0"/>
                <w:color w:val="1F4D78"/>
                <w:sz w:val="17"/>
              </w:rPr>
              <w:t>Result</w:t>
            </w:r>
          </w:p>
        </w:tc>
        <w:tc>
          <w:tcPr>
            <w:tcW w:type="dxa" w:w="3910"/>
            <w:tcMar>
              <w:top w:w="80" w:type="dxa"/>
              <w:start w:w="120" w:type="dxa"/>
              <w:bottom w:w="80" w:type="dxa"/>
              <w:end w:w="120" w:type="dxa"/>
            </w:tcMar>
            <w:vAlign w:val="center"/>
            <w:shd w:fill="E8EEF5"/>
          </w:tcPr>
          <w:p>
            <w:r>
              <w:rPr>
                <w:rFonts w:ascii="Calibri" w:hAnsi="Calibri" w:eastAsia="Calibri"/>
                <w:b/>
                <w:i w:val="0"/>
                <w:color w:val="1F4D78"/>
                <w:sz w:val="17"/>
              </w:rPr>
              <w:t>Boundary</w:t>
            </w:r>
          </w:p>
        </w:tc>
      </w:tr>
      <w:tr>
        <w:tc>
          <w:tcPr>
            <w:tcW w:type="dxa" w:w="3100"/>
            <w:tcMar>
              <w:top w:w="80" w:type="dxa"/>
              <w:start w:w="120" w:type="dxa"/>
              <w:bottom w:w="80" w:type="dxa"/>
              <w:end w:w="120" w:type="dxa"/>
            </w:tcMar>
            <w:vAlign w:val="center"/>
          </w:tcPr>
          <w:p>
            <w:r>
              <w:rPr>
                <w:rFonts w:ascii="Calibri" w:hAnsi="Calibri" w:eastAsia="Calibri"/>
                <w:b w:val="0"/>
                <w:i w:val="0"/>
                <w:color w:val="000000"/>
                <w:sz w:val="17"/>
              </w:rPr>
              <w:t>Python parse</w:t>
            </w:r>
          </w:p>
        </w:tc>
        <w:tc>
          <w:tcPr>
            <w:tcW w:type="dxa" w:w="2350"/>
            <w:tcMar>
              <w:top w:w="80" w:type="dxa"/>
              <w:start w:w="120" w:type="dxa"/>
              <w:bottom w:w="80" w:type="dxa"/>
              <w:end w:w="120" w:type="dxa"/>
            </w:tcMar>
            <w:vAlign w:val="center"/>
          </w:tcPr>
          <w:p>
            <w:r>
              <w:rPr>
                <w:rFonts w:ascii="Calibri" w:hAnsi="Calibri" w:eastAsia="Calibri"/>
                <w:b w:val="0"/>
                <w:i w:val="0"/>
                <w:color w:val="000000"/>
                <w:sz w:val="17"/>
              </w:rPr>
              <w:t>193 files passed</w:t>
            </w:r>
          </w:p>
        </w:tc>
        <w:tc>
          <w:tcPr>
            <w:tcW w:type="dxa" w:w="3910"/>
            <w:tcMar>
              <w:top w:w="80" w:type="dxa"/>
              <w:start w:w="120" w:type="dxa"/>
              <w:bottom w:w="80" w:type="dxa"/>
              <w:end w:w="120" w:type="dxa"/>
            </w:tcMar>
            <w:vAlign w:val="center"/>
          </w:tcPr>
          <w:p>
            <w:r>
              <w:rPr>
                <w:rFonts w:ascii="Calibri" w:hAnsi="Calibri" w:eastAsia="Calibri"/>
                <w:b w:val="0"/>
                <w:i w:val="0"/>
                <w:color w:val="000000"/>
                <w:sz w:val="17"/>
              </w:rPr>
              <w:t>Syntax/AST only</w:t>
            </w:r>
          </w:p>
        </w:tc>
      </w:tr>
      <w:tr>
        <w:tc>
          <w:tcPr>
            <w:tcW w:type="dxa" w:w="3100"/>
            <w:tcMar>
              <w:top w:w="80" w:type="dxa"/>
              <w:start w:w="120" w:type="dxa"/>
              <w:bottom w:w="80" w:type="dxa"/>
              <w:end w:w="120" w:type="dxa"/>
            </w:tcMar>
            <w:vAlign w:val="center"/>
          </w:tcPr>
          <w:p>
            <w:r>
              <w:rPr>
                <w:rFonts w:ascii="Calibri" w:hAnsi="Calibri" w:eastAsia="Calibri"/>
                <w:b w:val="0"/>
                <w:i w:val="0"/>
                <w:color w:val="000000"/>
                <w:sz w:val="17"/>
              </w:rPr>
              <w:t>Backend unit/stateless suite</w:t>
            </w:r>
          </w:p>
        </w:tc>
        <w:tc>
          <w:tcPr>
            <w:tcW w:type="dxa" w:w="2350"/>
            <w:tcMar>
              <w:top w:w="80" w:type="dxa"/>
              <w:start w:w="120" w:type="dxa"/>
              <w:bottom w:w="80" w:type="dxa"/>
              <w:end w:w="120" w:type="dxa"/>
            </w:tcMar>
            <w:vAlign w:val="center"/>
          </w:tcPr>
          <w:p>
            <w:r>
              <w:rPr>
                <w:rFonts w:ascii="Calibri" w:hAnsi="Calibri" w:eastAsia="Calibri"/>
                <w:b w:val="0"/>
                <w:i w:val="0"/>
                <w:color w:val="000000"/>
                <w:sz w:val="17"/>
              </w:rPr>
              <w:t>242 passed</w:t>
            </w:r>
          </w:p>
        </w:tc>
        <w:tc>
          <w:tcPr>
            <w:tcW w:type="dxa" w:w="3910"/>
            <w:tcMar>
              <w:top w:w="80" w:type="dxa"/>
              <w:start w:w="120" w:type="dxa"/>
              <w:bottom w:w="80" w:type="dxa"/>
              <w:end w:w="120" w:type="dxa"/>
            </w:tcMar>
            <w:vAlign w:val="center"/>
          </w:tcPr>
          <w:p>
            <w:r>
              <w:rPr>
                <w:rFonts w:ascii="Calibri" w:hAnsi="Calibri" w:eastAsia="Calibri"/>
                <w:b w:val="0"/>
                <w:i w:val="0"/>
                <w:color w:val="000000"/>
                <w:sz w:val="17"/>
              </w:rPr>
              <w:t>DB-heavy suites excluded from this pass</w:t>
            </w:r>
          </w:p>
        </w:tc>
      </w:tr>
      <w:tr>
        <w:tc>
          <w:tcPr>
            <w:tcW w:type="dxa" w:w="3100"/>
            <w:tcMar>
              <w:top w:w="80" w:type="dxa"/>
              <w:start w:w="120" w:type="dxa"/>
              <w:bottom w:w="80" w:type="dxa"/>
              <w:end w:w="120" w:type="dxa"/>
            </w:tcMar>
            <w:vAlign w:val="center"/>
          </w:tcPr>
          <w:p>
            <w:r>
              <w:rPr>
                <w:rFonts w:ascii="Calibri" w:hAnsi="Calibri" w:eastAsia="Calibri"/>
                <w:b w:val="0"/>
                <w:i w:val="0"/>
                <w:color w:val="000000"/>
                <w:sz w:val="17"/>
              </w:rPr>
              <w:t>Application smoke</w:t>
            </w:r>
          </w:p>
        </w:tc>
        <w:tc>
          <w:tcPr>
            <w:tcW w:type="dxa" w:w="2350"/>
            <w:tcMar>
              <w:top w:w="80" w:type="dxa"/>
              <w:start w:w="120" w:type="dxa"/>
              <w:bottom w:w="80" w:type="dxa"/>
              <w:end w:w="120" w:type="dxa"/>
            </w:tcMar>
            <w:vAlign w:val="center"/>
          </w:tcPr>
          <w:p>
            <w:r>
              <w:rPr>
                <w:rFonts w:ascii="Calibri" w:hAnsi="Calibri" w:eastAsia="Calibri"/>
                <w:b w:val="0"/>
                <w:i w:val="0"/>
                <w:color w:val="000000"/>
                <w:sz w:val="17"/>
              </w:rPr>
              <w:t>9 passed</w:t>
            </w:r>
          </w:p>
        </w:tc>
        <w:tc>
          <w:tcPr>
            <w:tcW w:type="dxa" w:w="3910"/>
            <w:tcMar>
              <w:top w:w="80" w:type="dxa"/>
              <w:start w:w="120" w:type="dxa"/>
              <w:bottom w:w="80" w:type="dxa"/>
              <w:end w:w="120" w:type="dxa"/>
            </w:tcMar>
            <w:vAlign w:val="center"/>
          </w:tcPr>
          <w:p>
            <w:r>
              <w:rPr>
                <w:rFonts w:ascii="Calibri" w:hAnsi="Calibri" w:eastAsia="Calibri"/>
                <w:b w:val="0"/>
                <w:i w:val="0"/>
                <w:color w:val="000000"/>
                <w:sz w:val="17"/>
              </w:rPr>
              <w:t>Boot/CORS/validation/auth without live data stores</w:t>
            </w:r>
          </w:p>
        </w:tc>
      </w:tr>
      <w:tr>
        <w:tc>
          <w:tcPr>
            <w:tcW w:type="dxa" w:w="3100"/>
            <w:tcMar>
              <w:top w:w="80" w:type="dxa"/>
              <w:start w:w="120" w:type="dxa"/>
              <w:bottom w:w="80" w:type="dxa"/>
              <w:end w:w="120" w:type="dxa"/>
            </w:tcMar>
            <w:vAlign w:val="center"/>
          </w:tcPr>
          <w:p>
            <w:r>
              <w:rPr>
                <w:rFonts w:ascii="Calibri" w:hAnsi="Calibri" w:eastAsia="Calibri"/>
                <w:b w:val="0"/>
                <w:i w:val="0"/>
                <w:color w:val="000000"/>
                <w:sz w:val="17"/>
              </w:rPr>
              <w:t>Frontend lint/build</w:t>
            </w:r>
          </w:p>
        </w:tc>
        <w:tc>
          <w:tcPr>
            <w:tcW w:type="dxa" w:w="2350"/>
            <w:tcMar>
              <w:top w:w="80" w:type="dxa"/>
              <w:start w:w="120" w:type="dxa"/>
              <w:bottom w:w="80" w:type="dxa"/>
              <w:end w:w="120" w:type="dxa"/>
            </w:tcMar>
            <w:vAlign w:val="center"/>
          </w:tcPr>
          <w:p>
            <w:r>
              <w:rPr>
                <w:rFonts w:ascii="Calibri" w:hAnsi="Calibri" w:eastAsia="Calibri"/>
                <w:b w:val="0"/>
                <w:i w:val="0"/>
                <w:color w:val="000000"/>
                <w:sz w:val="17"/>
              </w:rPr>
              <w:t>Passed</w:t>
            </w:r>
          </w:p>
        </w:tc>
        <w:tc>
          <w:tcPr>
            <w:tcW w:type="dxa" w:w="3910"/>
            <w:tcMar>
              <w:top w:w="80" w:type="dxa"/>
              <w:start w:w="120" w:type="dxa"/>
              <w:bottom w:w="80" w:type="dxa"/>
              <w:end w:w="120" w:type="dxa"/>
            </w:tcMar>
            <w:vAlign w:val="center"/>
          </w:tcPr>
          <w:p>
            <w:r>
              <w:rPr>
                <w:rFonts w:ascii="Calibri" w:hAnsi="Calibri" w:eastAsia="Calibri"/>
                <w:b w:val="0"/>
                <w:i w:val="0"/>
                <w:color w:val="000000"/>
                <w:sz w:val="17"/>
              </w:rPr>
              <w:t>Optimized Vite output generated</w:t>
            </w:r>
          </w:p>
        </w:tc>
      </w:tr>
      <w:tr>
        <w:tc>
          <w:tcPr>
            <w:tcW w:type="dxa" w:w="3100"/>
            <w:tcMar>
              <w:top w:w="80" w:type="dxa"/>
              <w:start w:w="120" w:type="dxa"/>
              <w:bottom w:w="80" w:type="dxa"/>
              <w:end w:w="120" w:type="dxa"/>
            </w:tcMar>
            <w:vAlign w:val="center"/>
          </w:tcPr>
          <w:p>
            <w:r>
              <w:rPr>
                <w:rFonts w:ascii="Calibri" w:hAnsi="Calibri" w:eastAsia="Calibri"/>
                <w:b w:val="0"/>
                <w:i w:val="0"/>
                <w:color w:val="000000"/>
                <w:sz w:val="17"/>
              </w:rPr>
              <w:t>Browser input</w:t>
            </w:r>
          </w:p>
        </w:tc>
        <w:tc>
          <w:tcPr>
            <w:tcW w:type="dxa" w:w="2350"/>
            <w:tcMar>
              <w:top w:w="80" w:type="dxa"/>
              <w:start w:w="120" w:type="dxa"/>
              <w:bottom w:w="80" w:type="dxa"/>
              <w:end w:w="120" w:type="dxa"/>
            </w:tcMar>
            <w:vAlign w:val="center"/>
          </w:tcPr>
          <w:p>
            <w:r>
              <w:rPr>
                <w:rFonts w:ascii="Calibri" w:hAnsi="Calibri" w:eastAsia="Calibri"/>
                <w:b w:val="0"/>
                <w:i w:val="0"/>
                <w:color w:val="000000"/>
                <w:sz w:val="17"/>
              </w:rPr>
              <w:t>Passed</w:t>
            </w:r>
          </w:p>
        </w:tc>
        <w:tc>
          <w:tcPr>
            <w:tcW w:type="dxa" w:w="3910"/>
            <w:tcMar>
              <w:top w:w="80" w:type="dxa"/>
              <w:start w:w="120" w:type="dxa"/>
              <w:bottom w:w="80" w:type="dxa"/>
              <w:end w:w="120" w:type="dxa"/>
            </w:tcMar>
            <w:vAlign w:val="center"/>
          </w:tcPr>
          <w:p>
            <w:r>
              <w:rPr>
                <w:rFonts w:ascii="Calibri" w:hAnsi="Calibri" w:eastAsia="Calibri"/>
                <w:b w:val="0"/>
                <w:i w:val="0"/>
                <w:color w:val="000000"/>
                <w:sz w:val="17"/>
              </w:rPr>
              <w:t>Telegram analysis verified at 1600×1000</w:t>
            </w:r>
          </w:p>
        </w:tc>
      </w:tr>
      <w:tr>
        <w:tc>
          <w:tcPr>
            <w:tcW w:type="dxa" w:w="3100"/>
            <w:tcMar>
              <w:top w:w="80" w:type="dxa"/>
              <w:start w:w="120" w:type="dxa"/>
              <w:bottom w:w="80" w:type="dxa"/>
              <w:end w:w="120" w:type="dxa"/>
            </w:tcMar>
            <w:vAlign w:val="center"/>
          </w:tcPr>
          <w:p>
            <w:r>
              <w:rPr>
                <w:rFonts w:ascii="Calibri" w:hAnsi="Calibri" w:eastAsia="Calibri"/>
                <w:b w:val="0"/>
                <w:i w:val="0"/>
                <w:color w:val="000000"/>
                <w:sz w:val="17"/>
              </w:rPr>
              <w:t>Python dependency audit</w:t>
            </w:r>
          </w:p>
        </w:tc>
        <w:tc>
          <w:tcPr>
            <w:tcW w:type="dxa" w:w="2350"/>
            <w:tcMar>
              <w:top w:w="80" w:type="dxa"/>
              <w:start w:w="120" w:type="dxa"/>
              <w:bottom w:w="80" w:type="dxa"/>
              <w:end w:w="120" w:type="dxa"/>
            </w:tcMar>
            <w:vAlign w:val="center"/>
          </w:tcPr>
          <w:p>
            <w:r>
              <w:rPr>
                <w:rFonts w:ascii="Calibri" w:hAnsi="Calibri" w:eastAsia="Calibri"/>
                <w:b w:val="0"/>
                <w:i w:val="0"/>
                <w:color w:val="000000"/>
                <w:sz w:val="17"/>
              </w:rPr>
              <w:t>0 known vulnerabilities</w:t>
            </w:r>
          </w:p>
        </w:tc>
        <w:tc>
          <w:tcPr>
            <w:tcW w:type="dxa" w:w="3910"/>
            <w:tcMar>
              <w:top w:w="80" w:type="dxa"/>
              <w:start w:w="120" w:type="dxa"/>
              <w:bottom w:w="80" w:type="dxa"/>
              <w:end w:w="120" w:type="dxa"/>
            </w:tcMar>
            <w:vAlign w:val="center"/>
          </w:tcPr>
          <w:p>
            <w:r>
              <w:rPr>
                <w:rFonts w:ascii="Calibri" w:hAnsi="Calibri" w:eastAsia="Calibri"/>
                <w:b w:val="0"/>
                <w:i w:val="0"/>
                <w:color w:val="000000"/>
                <w:sz w:val="17"/>
              </w:rPr>
              <w:t>Based on current advisory database</w:t>
            </w:r>
          </w:p>
        </w:tc>
      </w:tr>
      <w:tr>
        <w:tc>
          <w:tcPr>
            <w:tcW w:type="dxa" w:w="3100"/>
            <w:tcMar>
              <w:top w:w="80" w:type="dxa"/>
              <w:start w:w="120" w:type="dxa"/>
              <w:bottom w:w="80" w:type="dxa"/>
              <w:end w:w="120" w:type="dxa"/>
            </w:tcMar>
            <w:vAlign w:val="center"/>
          </w:tcPr>
          <w:p>
            <w:r>
              <w:rPr>
                <w:rFonts w:ascii="Calibri" w:hAnsi="Calibri" w:eastAsia="Calibri"/>
                <w:b w:val="0"/>
                <w:i w:val="0"/>
                <w:color w:val="000000"/>
                <w:sz w:val="17"/>
              </w:rPr>
              <w:t>npm audit</w:t>
            </w:r>
          </w:p>
        </w:tc>
        <w:tc>
          <w:tcPr>
            <w:tcW w:type="dxa" w:w="2350"/>
            <w:tcMar>
              <w:top w:w="80" w:type="dxa"/>
              <w:start w:w="120" w:type="dxa"/>
              <w:bottom w:w="80" w:type="dxa"/>
              <w:end w:w="120" w:type="dxa"/>
            </w:tcMar>
            <w:vAlign w:val="center"/>
          </w:tcPr>
          <w:p>
            <w:r>
              <w:rPr>
                <w:rFonts w:ascii="Calibri" w:hAnsi="Calibri" w:eastAsia="Calibri"/>
                <w:b w:val="0"/>
                <w:i w:val="0"/>
                <w:color w:val="000000"/>
                <w:sz w:val="17"/>
              </w:rPr>
              <w:t>0 known vulnerabilities</w:t>
            </w:r>
          </w:p>
        </w:tc>
        <w:tc>
          <w:tcPr>
            <w:tcW w:type="dxa" w:w="3910"/>
            <w:tcMar>
              <w:top w:w="80" w:type="dxa"/>
              <w:start w:w="120" w:type="dxa"/>
              <w:bottom w:w="80" w:type="dxa"/>
              <w:end w:w="120" w:type="dxa"/>
            </w:tcMar>
            <w:vAlign w:val="center"/>
          </w:tcPr>
          <w:p>
            <w:r>
              <w:rPr>
                <w:rFonts w:ascii="Calibri" w:hAnsi="Calibri" w:eastAsia="Calibri"/>
                <w:b w:val="0"/>
                <w:i w:val="0"/>
                <w:color w:val="000000"/>
                <w:sz w:val="17"/>
              </w:rPr>
              <w:t>Current lockfile</w:t>
            </w:r>
          </w:p>
        </w:tc>
      </w:tr>
      <w:tr>
        <w:tc>
          <w:tcPr>
            <w:tcW w:type="dxa" w:w="3100"/>
            <w:tcMar>
              <w:top w:w="80" w:type="dxa"/>
              <w:start w:w="120" w:type="dxa"/>
              <w:bottom w:w="80" w:type="dxa"/>
              <w:end w:w="120" w:type="dxa"/>
            </w:tcMar>
            <w:vAlign w:val="center"/>
          </w:tcPr>
          <w:p>
            <w:r>
              <w:rPr>
                <w:rFonts w:ascii="Calibri" w:hAnsi="Calibri" w:eastAsia="Calibri"/>
                <w:b w:val="0"/>
                <w:i w:val="0"/>
                <w:color w:val="000000"/>
                <w:sz w:val="17"/>
              </w:rPr>
              <w:t>Compose resolution</w:t>
            </w:r>
          </w:p>
        </w:tc>
        <w:tc>
          <w:tcPr>
            <w:tcW w:type="dxa" w:w="2350"/>
            <w:tcMar>
              <w:top w:w="80" w:type="dxa"/>
              <w:start w:w="120" w:type="dxa"/>
              <w:bottom w:w="80" w:type="dxa"/>
              <w:end w:w="120" w:type="dxa"/>
            </w:tcMar>
            <w:vAlign w:val="center"/>
          </w:tcPr>
          <w:p>
            <w:r>
              <w:rPr>
                <w:rFonts w:ascii="Calibri" w:hAnsi="Calibri" w:eastAsia="Calibri"/>
                <w:b w:val="0"/>
                <w:i w:val="0"/>
                <w:color w:val="000000"/>
                <w:sz w:val="17"/>
              </w:rPr>
              <w:t>Passed</w:t>
            </w:r>
          </w:p>
        </w:tc>
        <w:tc>
          <w:tcPr>
            <w:tcW w:type="dxa" w:w="3910"/>
            <w:tcMar>
              <w:top w:w="80" w:type="dxa"/>
              <w:start w:w="120" w:type="dxa"/>
              <w:bottom w:w="80" w:type="dxa"/>
              <w:end w:w="120" w:type="dxa"/>
            </w:tcMar>
            <w:vAlign w:val="center"/>
          </w:tcPr>
          <w:p>
            <w:r>
              <w:rPr>
                <w:rFonts w:ascii="Calibri" w:hAnsi="Calibri" w:eastAsia="Calibri"/>
                <w:b w:val="0"/>
                <w:i w:val="0"/>
                <w:color w:val="000000"/>
                <w:sz w:val="17"/>
              </w:rPr>
              <w:t>Configuration only</w:t>
            </w:r>
          </w:p>
        </w:tc>
      </w:tr>
      <w:tr>
        <w:tc>
          <w:tcPr>
            <w:tcW w:type="dxa" w:w="3100"/>
            <w:tcMar>
              <w:top w:w="80" w:type="dxa"/>
              <w:start w:w="120" w:type="dxa"/>
              <w:bottom w:w="80" w:type="dxa"/>
              <w:end w:w="120" w:type="dxa"/>
            </w:tcMar>
            <w:vAlign w:val="center"/>
          </w:tcPr>
          <w:p>
            <w:r>
              <w:rPr>
                <w:rFonts w:ascii="Calibri" w:hAnsi="Calibri" w:eastAsia="Calibri"/>
                <w:b w:val="0"/>
                <w:i w:val="0"/>
                <w:color w:val="000000"/>
                <w:sz w:val="17"/>
              </w:rPr>
              <w:t>Live Docker stack</w:t>
            </w:r>
          </w:p>
        </w:tc>
        <w:tc>
          <w:tcPr>
            <w:tcW w:type="dxa" w:w="2350"/>
            <w:tcMar>
              <w:top w:w="80" w:type="dxa"/>
              <w:start w:w="120" w:type="dxa"/>
              <w:bottom w:w="80" w:type="dxa"/>
              <w:end w:w="120" w:type="dxa"/>
            </w:tcMar>
            <w:vAlign w:val="center"/>
          </w:tcPr>
          <w:p>
            <w:r>
              <w:rPr>
                <w:rFonts w:ascii="Calibri" w:hAnsi="Calibri" w:eastAsia="Calibri"/>
                <w:b w:val="0"/>
                <w:i w:val="0"/>
                <w:color w:val="000000"/>
                <w:sz w:val="17"/>
              </w:rPr>
              <w:t>Not run</w:t>
            </w:r>
          </w:p>
        </w:tc>
        <w:tc>
          <w:tcPr>
            <w:tcW w:type="dxa" w:w="3910"/>
            <w:tcMar>
              <w:top w:w="80" w:type="dxa"/>
              <w:start w:w="120" w:type="dxa"/>
              <w:bottom w:w="80" w:type="dxa"/>
              <w:end w:w="120" w:type="dxa"/>
            </w:tcMar>
            <w:vAlign w:val="center"/>
          </w:tcPr>
          <w:p>
            <w:r>
              <w:rPr>
                <w:rFonts w:ascii="Calibri" w:hAnsi="Calibri" w:eastAsia="Calibri"/>
                <w:b w:val="0"/>
                <w:i w:val="0"/>
                <w:color w:val="000000"/>
                <w:sz w:val="17"/>
              </w:rPr>
              <w:t>Local Docker Linux engine unavailable</w:t>
            </w:r>
          </w:p>
        </w:tc>
      </w:tr>
      <w:tr>
        <w:tc>
          <w:tcPr>
            <w:tcW w:type="dxa" w:w="3100"/>
            <w:tcMar>
              <w:top w:w="80" w:type="dxa"/>
              <w:start w:w="120" w:type="dxa"/>
              <w:bottom w:w="80" w:type="dxa"/>
              <w:end w:w="120" w:type="dxa"/>
            </w:tcMar>
            <w:vAlign w:val="center"/>
          </w:tcPr>
          <w:p>
            <w:r>
              <w:rPr>
                <w:rFonts w:ascii="Calibri" w:hAnsi="Calibri" w:eastAsia="Calibri"/>
                <w:b w:val="0"/>
                <w:i w:val="0"/>
                <w:color w:val="000000"/>
                <w:sz w:val="17"/>
              </w:rPr>
              <w:t>Live Telegram collection</w:t>
            </w:r>
          </w:p>
        </w:tc>
        <w:tc>
          <w:tcPr>
            <w:tcW w:type="dxa" w:w="2350"/>
            <w:tcMar>
              <w:top w:w="80" w:type="dxa"/>
              <w:start w:w="120" w:type="dxa"/>
              <w:bottom w:w="80" w:type="dxa"/>
              <w:end w:w="120" w:type="dxa"/>
            </w:tcMar>
            <w:vAlign w:val="center"/>
          </w:tcPr>
          <w:p>
            <w:r>
              <w:rPr>
                <w:rFonts w:ascii="Calibri" w:hAnsi="Calibri" w:eastAsia="Calibri"/>
                <w:b w:val="0"/>
                <w:i w:val="0"/>
                <w:color w:val="000000"/>
                <w:sz w:val="17"/>
              </w:rPr>
              <w:t>Not run</w:t>
            </w:r>
          </w:p>
        </w:tc>
        <w:tc>
          <w:tcPr>
            <w:tcW w:type="dxa" w:w="3910"/>
            <w:tcMar>
              <w:top w:w="80" w:type="dxa"/>
              <w:start w:w="120" w:type="dxa"/>
              <w:bottom w:w="80" w:type="dxa"/>
              <w:end w:w="120" w:type="dxa"/>
            </w:tcMar>
            <w:vAlign w:val="center"/>
          </w:tcPr>
          <w:p>
            <w:r>
              <w:rPr>
                <w:rFonts w:ascii="Calibri" w:hAnsi="Calibri" w:eastAsia="Calibri"/>
                <w:b w:val="0"/>
                <w:i w:val="0"/>
                <w:color w:val="000000"/>
                <w:sz w:val="17"/>
              </w:rPr>
              <w:t>No authorized credentials/session supplied</w:t>
            </w:r>
          </w:p>
        </w:tc>
      </w:tr>
    </w:tbl>
    <w:p>
      <w:pPr>
        <w:spacing w:after="0"/>
      </w:pPr>
    </w:p>
    <w:p>
      <w:pPr>
        <w:pStyle w:val="Heading1"/>
      </w:pPr>
      <w:r>
        <w:t>Documentation set</w:t>
      </w:r>
    </w:p>
    <w:p>
      <w:pPr>
        <w:pStyle w:val="ListBullet"/>
      </w:pPr>
      <w:r>
        <w:t>01_Argus_Core_Platform.docx</w:t>
      </w:r>
    </w:p>
    <w:p>
      <w:pPr>
        <w:pStyle w:val="ListBullet"/>
      </w:pPr>
      <w:r>
        <w:t>02_OSINT_Investigation_Module.docx</w:t>
      </w:r>
    </w:p>
    <w:p>
      <w:pPr>
        <w:pStyle w:val="ListBullet"/>
      </w:pPr>
      <w:r>
        <w:t>03_Breach_Search_and_Graph_Module.docx</w:t>
      </w:r>
    </w:p>
    <w:p>
      <w:pPr>
        <w:pStyle w:val="ListBullet"/>
      </w:pPr>
      <w:r>
        <w:t>04_Telegram_Threat_Intelligence_Module.docx</w:t>
      </w:r>
    </w:p>
    <w:p>
      <w:pPr>
        <w:pStyle w:val="ListBullet"/>
      </w:pPr>
      <w:r>
        <w:t>05_PII_IOC_and_STIX_Module.docx</w:t>
      </w:r>
    </w:p>
    <w:p>
      <w:pPr>
        <w:pStyle w:val="ListBullet"/>
      </w:pPr>
      <w:r>
        <w:t>Six matching black-and-white SVG flowcharts in docs/flowcharts.</w:t>
      </w:r>
    </w:p>
    <w:p>
      <w:r>
        <w:rPr>
          <w:rFonts w:ascii="Calibri" w:hAnsi="Calibri" w:eastAsia="Calibri"/>
          <w:b w:val="0"/>
          <w:i w:val="0"/>
          <w:color w:val="000000"/>
          <w:sz w:val="22"/>
        </w:rPr>
        <w:t>These reports are the authoritative implemented-state documentation for this consolidation. The source DOCX files remain historical input material.</w:t>
      </w:r>
    </w:p>
    <w:p>
      <w:pPr>
        <w:pStyle w:val="Heading2"/>
        <w:keepNext/>
      </w:pPr>
      <w:r>
        <w:t>Current operational boundaries</w:t>
      </w:r>
    </w:p>
    <w:p>
      <w:pPr>
        <w:pStyle w:val="ListBullet"/>
        <w:keepNext/>
      </w:pPr>
      <w:r>
        <w:t>Production readiness is conditional on environment-specific deployment validation, approved secrets/TLS, backup/restore testing, capacity testing, and legal authorization for every data source.</w:t>
      </w:r>
    </w:p>
    <w:p>
      <w:pPr>
        <w:pStyle w:val="ListBullet"/>
        <w:keepNext/>
      </w:pPr>
      <w:r>
        <w:t>No document asserts that Argus universally outperforms commercial platforms. The comparisons expose native feature differences and the unified workflow's specific strengths and gaps.</w:t>
      </w:r>
    </w:p>
    <w:p>
      <w:pPr>
        <w:pStyle w:val="ListBullet"/>
      </w:pPr>
      <w:r>
        <w:t>External services can change without code changes; revalidate provider behavior, quotas, and contracts before each release.</w:t>
      </w:r>
    </w:p>
    <w:p>
      <w:pPr>
        <w:pStyle w:val="Heading1"/>
      </w:pPr>
      <w:r>
        <w:t>Source material and market references</w:t>
      </w:r>
    </w:p>
    <w:p>
      <w:r>
        <w:rPr>
          <w:rFonts w:ascii="Calibri" w:hAnsi="Calibri" w:eastAsia="Calibri"/>
          <w:b w:val="0"/>
          <w:i w:val="0"/>
          <w:color w:val="000000"/>
          <w:sz w:val="22"/>
        </w:rPr>
        <w:t>Existing project documents reused as implementation lineage:</w:t>
      </w:r>
    </w:p>
    <w:p>
      <w:pPr>
        <w:pStyle w:val="ListBullet"/>
      </w:pPr>
      <w:r>
        <w:t>argus_main\docs\ArgusWatch_Project_Professional_Documentation.docx</w:t>
      </w:r>
    </w:p>
    <w:p>
      <w:pPr>
        <w:pStyle w:val="ListBullet"/>
      </w:pPr>
      <w:r>
        <w:t>cyber_threat_monitor\docs\Cyber_Threat_Monitor_Report_updated.docx</w:t>
      </w:r>
    </w:p>
    <w:p>
      <w:pPr>
        <w:pStyle w:val="ListBullet"/>
      </w:pPr>
      <w:r>
        <w:t>osint and breach codebase\docs\OSINT module v1.docx</w:t>
      </w:r>
    </w:p>
    <w:p>
      <w:pPr>
        <w:pStyle w:val="ListBullet"/>
      </w:pPr>
      <w:r>
        <w:t>osint and breach codebase\docs\Breach Module v1.docx</w:t>
      </w:r>
    </w:p>
    <w:p>
      <w:pPr>
        <w:pStyle w:val="ListBullet"/>
      </w:pPr>
      <w:r>
        <w:t>pii_link\docs\pii.docx</w:t>
      </w:r>
    </w:p>
    <w:p>
      <w:r>
        <w:rPr>
          <w:rFonts w:ascii="Calibri" w:hAnsi="Calibri" w:eastAsia="Calibri"/>
          <w:b w:val="0"/>
          <w:i w:val="0"/>
          <w:color w:val="000000"/>
          <w:sz w:val="22"/>
        </w:rPr>
        <w:t>Official sources used for comparison matrices:</w:t>
      </w:r>
    </w:p>
    <w:p>
      <w:pPr>
        <w:pStyle w:val="ListBullet"/>
      </w:pPr>
      <w:hyperlink r:id="rId29">
        <w:r>
          <w:rPr>
            <w:color w:val="2E74B5"/>
            <w:u w:val="single"/>
          </w:rPr>
          <w:t>OpenCTI documentation</w:t>
        </w:r>
      </w:hyperlink>
    </w:p>
    <w:p>
      <w:pPr>
        <w:pStyle w:val="ListBullet"/>
      </w:pPr>
      <w:hyperlink r:id="rId30">
        <w:r>
          <w:rPr>
            <w:color w:val="2E74B5"/>
            <w:u w:val="single"/>
          </w:rPr>
          <w:t>OpenCTI connector documentation</w:t>
        </w:r>
      </w:hyperlink>
    </w:p>
    <w:p>
      <w:pPr>
        <w:pStyle w:val="ListBullet"/>
      </w:pPr>
      <w:hyperlink r:id="rId31">
        <w:r>
          <w:rPr>
            <w:color w:val="2E74B5"/>
            <w:u w:val="single"/>
          </w:rPr>
          <w:t>MISP feature overview</w:t>
        </w:r>
      </w:hyperlink>
    </w:p>
    <w:p>
      <w:pPr>
        <w:pStyle w:val="ListBullet"/>
      </w:pPr>
      <w:hyperlink r:id="rId32">
        <w:r>
          <w:rPr>
            <w:color w:val="2E74B5"/>
            <w:u w:val="single"/>
          </w:rPr>
          <w:t>ThreatConnect indicator API</w:t>
        </w:r>
      </w:hyperlink>
    </w:p>
    <w:p>
      <w:pPr>
        <w:pStyle w:val="ListBullet"/>
      </w:pPr>
      <w:hyperlink r:id="rId33">
        <w:r>
          <w:rPr>
            <w:color w:val="2E74B5"/>
            <w:u w:val="single"/>
          </w:rPr>
          <w:t>ThreatConnect associations API</w:t>
        </w:r>
      </w:hyperlink>
    </w:p>
    <w:p>
      <w:pPr>
        <w:pStyle w:val="ListBullet"/>
      </w:pPr>
      <w:hyperlink r:id="rId34">
        <w:r>
          <w:rPr>
            <w:color w:val="2E74B5"/>
            <w:u w:val="single"/>
          </w:rPr>
          <w:t>ThreatConnect case-management SDK</w:t>
        </w:r>
      </w:hyperlink>
    </w:p>
    <w:p>
      <w:pPr>
        <w:pStyle w:val="ListBullet"/>
      </w:pPr>
      <w:hyperlink r:id="rId35">
        <w:r>
          <w:rPr>
            <w:color w:val="2E74B5"/>
            <w:u w:val="single"/>
          </w:rPr>
          <w:t>ThreatConnect API endpoint catalog</w:t>
        </w:r>
      </w:hyperlink>
    </w:p>
    <w:p>
      <w:pPr>
        <w:pStyle w:val="ListBullet"/>
      </w:pPr>
      <w:hyperlink r:id="rId36">
        <w:r>
          <w:rPr>
            <w:color w:val="2E74B5"/>
            <w:u w:val="single"/>
          </w:rPr>
          <w:t>ThreatConnect system roles</w:t>
        </w:r>
      </w:hyperlink>
    </w:p>
    <w:p>
      <w:pPr>
        <w:pStyle w:val="ListBullet"/>
      </w:pPr>
      <w:hyperlink r:id="rId37">
        <w:r>
          <w:rPr>
            <w:color w:val="2E74B5"/>
            <w:u w:val="single"/>
          </w:rPr>
          <w:t>ThreatConnect STIX support release notes</w:t>
        </w:r>
      </w:hyperlink>
    </w:p>
    <w:p>
      <w:pPr>
        <w:pStyle w:val="ListBullet"/>
      </w:pPr>
      <w:hyperlink r:id="rId38">
        <w:r>
          <w:rPr>
            <w:color w:val="2E74B5"/>
            <w:u w:val="single"/>
          </w:rPr>
          <w:t>Recorded Future Intelligence Cloud</w:t>
        </w:r>
      </w:hyperlink>
    </w:p>
    <w:p>
      <w:pPr>
        <w:pStyle w:val="ListBullet"/>
      </w:pPr>
      <w:hyperlink r:id="rId39">
        <w:r>
          <w:rPr>
            <w:color w:val="2E74B5"/>
            <w:u w:val="single"/>
          </w:rPr>
          <w:t>CrowdStrike adversary intelligence</w:t>
        </w:r>
      </w:hyperlink>
    </w:p>
    <w:p>
      <w:pPr>
        <w:pStyle w:val="ListBullet"/>
      </w:pPr>
      <w:hyperlink r:id="rId40">
        <w:r>
          <w:rPr>
            <w:color w:val="2E74B5"/>
            <w:u w:val="single"/>
          </w:rPr>
          <w:t>SpiderFoot official repository</w:t>
        </w:r>
      </w:hyperlink>
    </w:p>
    <w:p>
      <w:pPr>
        <w:pStyle w:val="ListBullet"/>
      </w:pPr>
      <w:hyperlink r:id="rId41">
        <w:r>
          <w:rPr>
            <w:color w:val="2E74B5"/>
            <w:u w:val="single"/>
          </w:rPr>
          <w:t>Maltego Transform Hub</w:t>
        </w:r>
      </w:hyperlink>
    </w:p>
    <w:p>
      <w:pPr>
        <w:pStyle w:val="ListBullet"/>
      </w:pPr>
      <w:hyperlink r:id="rId42">
        <w:r>
          <w:rPr>
            <w:color w:val="2E74B5"/>
            <w:u w:val="single"/>
          </w:rPr>
          <w:t>Maltego transform execution</w:t>
        </w:r>
      </w:hyperlink>
    </w:p>
    <w:p>
      <w:pPr>
        <w:pStyle w:val="ListBullet"/>
      </w:pPr>
      <w:hyperlink r:id="rId43">
        <w:r>
          <w:rPr>
            <w:color w:val="2E74B5"/>
            <w:u w:val="single"/>
          </w:rPr>
          <w:t>Maltego graph collaboration</w:t>
        </w:r>
      </w:hyperlink>
    </w:p>
    <w:p>
      <w:pPr>
        <w:pStyle w:val="ListBullet"/>
      </w:pPr>
      <w:hyperlink r:id="rId44">
        <w:r>
          <w:rPr>
            <w:color w:val="2E74B5"/>
            <w:u w:val="single"/>
          </w:rPr>
          <w:t>Sherlock official repository</w:t>
        </w:r>
      </w:hyperlink>
    </w:p>
    <w:p>
      <w:pPr>
        <w:pStyle w:val="ListBullet"/>
      </w:pPr>
      <w:hyperlink r:id="rId45">
        <w:r>
          <w:rPr>
            <w:color w:val="2E74B5"/>
            <w:u w:val="single"/>
          </w:rPr>
          <w:t>Maigret official repository</w:t>
        </w:r>
      </w:hyperlink>
    </w:p>
    <w:p>
      <w:pPr>
        <w:pStyle w:val="ListBullet"/>
      </w:pPr>
      <w:hyperlink r:id="rId46">
        <w:r>
          <w:rPr>
            <w:color w:val="2E74B5"/>
            <w:u w:val="single"/>
          </w:rPr>
          <w:t>Have I Been Pwned API v3</w:t>
        </w:r>
      </w:hyperlink>
    </w:p>
    <w:p>
      <w:pPr>
        <w:pStyle w:val="ListBullet"/>
      </w:pPr>
      <w:hyperlink r:id="rId47">
        <w:r>
          <w:rPr>
            <w:color w:val="2E74B5"/>
            <w:u w:val="single"/>
          </w:rPr>
          <w:t>Intelligence X API</w:t>
        </w:r>
      </w:hyperlink>
    </w:p>
    <w:p>
      <w:pPr>
        <w:pStyle w:val="ListBullet"/>
      </w:pPr>
      <w:hyperlink r:id="rId48">
        <w:r>
          <w:rPr>
            <w:color w:val="2E74B5"/>
            <w:u w:val="single"/>
          </w:rPr>
          <w:t>LeakCheck API documentation</w:t>
        </w:r>
      </w:hyperlink>
    </w:p>
    <w:p>
      <w:pPr>
        <w:pStyle w:val="ListBullet"/>
      </w:pPr>
      <w:hyperlink r:id="rId49">
        <w:r>
          <w:rPr>
            <w:color w:val="2E74B5"/>
            <w:u w:val="single"/>
          </w:rPr>
          <w:t>DeHashed</w:t>
        </w:r>
      </w:hyperlink>
    </w:p>
    <w:p>
      <w:pPr>
        <w:pStyle w:val="ListBullet"/>
      </w:pPr>
      <w:hyperlink r:id="rId50">
        <w:r>
          <w:rPr>
            <w:color w:val="2E74B5"/>
            <w:u w:val="single"/>
          </w:rPr>
          <w:t>Telethon quick start</w:t>
        </w:r>
      </w:hyperlink>
    </w:p>
    <w:p>
      <w:pPr>
        <w:pStyle w:val="ListBullet"/>
      </w:pPr>
      <w:hyperlink r:id="rId51">
        <w:r>
          <w:rPr>
            <w:color w:val="2E74B5"/>
            <w:u w:val="single"/>
          </w:rPr>
          <w:t>Telethon update events</w:t>
        </w:r>
      </w:hyperlink>
    </w:p>
    <w:p>
      <w:pPr>
        <w:pStyle w:val="ListBullet"/>
      </w:pPr>
      <w:hyperlink r:id="rId52">
        <w:r>
          <w:rPr>
            <w:color w:val="2E74B5"/>
            <w:u w:val="single"/>
          </w:rPr>
          <w:t>Maltego Monitor</w:t>
        </w:r>
      </w:hyperlink>
    </w:p>
    <w:p>
      <w:pPr>
        <w:pStyle w:val="ListBullet"/>
      </w:pPr>
      <w:hyperlink r:id="rId53">
        <w:r>
          <w:rPr>
            <w:color w:val="2E74B5"/>
            <w:u w:val="single"/>
          </w:rPr>
          <w:t>Maltego Telegram transforms</w:t>
        </w:r>
      </w:hyperlink>
    </w:p>
    <w:p>
      <w:pPr>
        <w:pStyle w:val="ListBullet"/>
      </w:pPr>
      <w:hyperlink r:id="rId54">
        <w:r>
          <w:rPr>
            <w:color w:val="2E74B5"/>
            <w:u w:val="single"/>
          </w:rPr>
          <w:t>Social Links platform capabilities</w:t>
        </w:r>
      </w:hyperlink>
    </w:p>
    <w:p>
      <w:pPr>
        <w:pStyle w:val="ListBullet"/>
      </w:pPr>
      <w:hyperlink r:id="rId55">
        <w:r>
          <w:rPr>
            <w:color w:val="2E74B5"/>
            <w:u w:val="single"/>
          </w:rPr>
          <w:t>Social Links Telegram Pack</w:t>
        </w:r>
      </w:hyperlink>
    </w:p>
    <w:p>
      <w:pPr>
        <w:pStyle w:val="ListBullet"/>
      </w:pPr>
      <w:hyperlink r:id="rId56">
        <w:r>
          <w:rPr>
            <w:color w:val="2E74B5"/>
            <w:u w:val="single"/>
          </w:rPr>
          <w:t>Microsoft Presidio</w:t>
        </w:r>
      </w:hyperlink>
    </w:p>
    <w:p>
      <w:pPr>
        <w:pStyle w:val="ListBullet"/>
      </w:pPr>
      <w:hyperlink r:id="rId57">
        <w:r>
          <w:rPr>
            <w:color w:val="2E74B5"/>
            <w:u w:val="single"/>
          </w:rPr>
          <w:t>Presidio supported PII entities</w:t>
        </w:r>
      </w:hyperlink>
    </w:p>
    <w:p>
      <w:pPr>
        <w:pStyle w:val="ListBullet"/>
      </w:pPr>
      <w:hyperlink r:id="rId58">
        <w:r>
          <w:rPr>
            <w:color w:val="2E74B5"/>
            <w:u w:val="single"/>
          </w:rPr>
          <w:t>Presidio anonymizer</w:t>
        </w:r>
      </w:hyperlink>
    </w:p>
    <w:p>
      <w:pPr>
        <w:pStyle w:val="ListBullet"/>
      </w:pPr>
      <w:hyperlink r:id="rId27">
        <w:r>
          <w:rPr>
            <w:color w:val="2E74B5"/>
            <w:u w:val="single"/>
          </w:rPr>
          <w:t>OASIS STIX 2.1 introduction</w:t>
        </w:r>
      </w:hyperlink>
    </w:p>
    <w:p>
      <w:pPr>
        <w:pStyle w:val="ListBullet"/>
      </w:pPr>
      <w:hyperlink r:id="rId59">
        <w:r>
          <w:rPr>
            <w:color w:val="2E74B5"/>
            <w:u w:val="single"/>
          </w:rPr>
          <w:t>Google Sensitive Data Protection text inspection</w:t>
        </w:r>
      </w:hyperlink>
    </w:p>
    <w:p>
      <w:pPr>
        <w:pStyle w:val="ListBullet"/>
      </w:pPr>
      <w:hyperlink r:id="rId60">
        <w:r>
          <w:rPr>
            <w:color w:val="2E74B5"/>
            <w:u w:val="single"/>
          </w:rPr>
          <w:t>Google custom infoType detectors</w:t>
        </w:r>
      </w:hyperlink>
    </w:p>
    <w:p>
      <w:pPr>
        <w:pStyle w:val="ListBullet"/>
      </w:pPr>
      <w:hyperlink r:id="rId61">
        <w:r>
          <w:rPr>
            <w:color w:val="2E74B5"/>
            <w:u w:val="single"/>
          </w:rPr>
          <w:t>Amazon Macie managed identifiers</w:t>
        </w:r>
      </w:hyperlink>
    </w:p>
    <w:p>
      <w:pPr>
        <w:pStyle w:val="ListBullet"/>
      </w:pPr>
      <w:hyperlink r:id="rId62">
        <w:r>
          <w:rPr>
            <w:color w:val="2E74B5"/>
            <w:u w:val="single"/>
          </w:rPr>
          <w:t>Amazon Macie custom identifiers</w:t>
        </w:r>
      </w:hyperlink>
    </w:p>
    <w:p>
      <w:pPr>
        <w:pStyle w:val="ListBullet"/>
      </w:pPr>
      <w:hyperlink r:id="rId63">
        <w:r>
          <w:rPr>
            <w:color w:val="2E74B5"/>
            <w:u w:val="single"/>
          </w:rPr>
          <w:t>iocextract official repository</w:t>
        </w:r>
      </w:hyperlink>
    </w:p>
    <w:p>
      <w:pPr>
        <w:pStyle w:val="ListBullet"/>
      </w:pPr>
      <w:hyperlink r:id="rId13">
        <w:r>
          <w:rPr>
            <w:color w:val="2E74B5"/>
            <w:u w:val="single"/>
          </w:rPr>
          <w:t>NIST SP 800-30 Rev. 1 — Guide for Conducting Risk Assessments</w:t>
        </w:r>
      </w:hyperlink>
    </w:p>
    <w:p>
      <w:pPr>
        <w:pStyle w:val="ListBullet"/>
      </w:pPr>
      <w:hyperlink r:id="rId14">
        <w:r>
          <w:rPr>
            <w:color w:val="2E74B5"/>
            <w:u w:val="single"/>
          </w:rPr>
          <w:t>Campos et al. — Temporal Information Retrieval</w:t>
        </w:r>
      </w:hyperlink>
    </w:p>
    <w:p>
      <w:pPr>
        <w:pStyle w:val="ListBullet"/>
      </w:pPr>
      <w:hyperlink r:id="rId16">
        <w:r>
          <w:rPr>
            <w:color w:val="2E74B5"/>
            <w:u w:val="single"/>
          </w:rPr>
          <w:t>Fellegi and Sunter — A Theory for Record Linkage</w:t>
        </w:r>
      </w:hyperlink>
    </w:p>
    <w:p>
      <w:pPr>
        <w:pStyle w:val="ListBullet"/>
      </w:pPr>
      <w:hyperlink r:id="rId17">
        <w:r>
          <w:rPr>
            <w:color w:val="2E74B5"/>
            <w:u w:val="single"/>
          </w:rPr>
          <w:t>Jaccard — Étude comparative de la distribution florale</w:t>
        </w:r>
      </w:hyperlink>
    </w:p>
    <w:p>
      <w:pPr>
        <w:pStyle w:val="ListBullet"/>
      </w:pPr>
      <w:hyperlink r:id="rId20">
        <w:r>
          <w:rPr>
            <w:color w:val="2E74B5"/>
            <w:u w:val="single"/>
          </w:rPr>
          <w:t>Papadakis et al. — Enhanced Meta-Blocking for Entity Resolution</w:t>
        </w:r>
      </w:hyperlink>
    </w:p>
    <w:p>
      <w:pPr>
        <w:pStyle w:val="ListBullet"/>
      </w:pPr>
      <w:hyperlink r:id="rId19">
        <w:r>
          <w:rPr>
            <w:color w:val="2E74B5"/>
            <w:u w:val="single"/>
          </w:rPr>
          <w:t>Moore — The Shortest Path Through a Maze</w:t>
        </w:r>
      </w:hyperlink>
    </w:p>
    <w:p>
      <w:pPr>
        <w:pStyle w:val="ListBullet"/>
      </w:pPr>
      <w:hyperlink r:id="rId21">
        <w:r>
          <w:rPr>
            <w:color w:val="2E74B5"/>
            <w:u w:val="single"/>
          </w:rPr>
          <w:t>NIST FIPS 180-4 — Secure Hash Standard</w:t>
        </w:r>
      </w:hyperlink>
    </w:p>
    <w:p>
      <w:pPr>
        <w:pStyle w:val="ListBullet"/>
      </w:pPr>
      <w:hyperlink r:id="rId23">
        <w:r>
          <w:rPr>
            <w:color w:val="2E74B5"/>
            <w:u w:val="single"/>
          </w:rPr>
          <w:t>Srinivas — A Generalization of the Noisy-Or Model</w:t>
        </w:r>
      </w:hyperlink>
    </w:p>
    <w:p>
      <w:pPr>
        <w:pStyle w:val="ListBullet"/>
      </w:pPr>
      <w:hyperlink r:id="rId24">
        <w:r>
          <w:rPr>
            <w:color w:val="2E74B5"/>
            <w:u w:val="single"/>
          </w:rPr>
          <w:t>Ratcliff and Metzener — Pattern Matching: The Gestalt Approach</w:t>
        </w:r>
      </w:hyperlink>
    </w:p>
    <w:p>
      <w:pPr>
        <w:pStyle w:val="ListBullet"/>
      </w:pPr>
      <w:hyperlink r:id="rId26">
        <w:r>
          <w:rPr>
            <w:color w:val="2E74B5"/>
            <w:u w:val="single"/>
          </w:rPr>
          <w:t>Kleene — Representation of Events in Nerve Nets and Finite Automata</w:t>
        </w:r>
      </w:hyperlink>
    </w:p>
    <w:p>
      <w:pPr>
        <w:pStyle w:val="ListBullet"/>
      </w:pPr>
      <w:hyperlink r:id="rId28">
        <w:r>
          <w:rPr>
            <w:color w:val="2E74B5"/>
            <w:u w:val="single"/>
          </w:rPr>
          <w:t>IETF RFC 9562 — Universally Unique IDentifiers</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120" w:type="dxa"/>
    </w:tblPr>
    <w:tblGrid>
      <w:gridCol w:w="7000"/>
      <w:gridCol w:w="2360"/>
    </w:tblGrid>
    <w:tr>
      <w:tc>
        <w:tcPr>
          <w:tcW w:type="dxa" w:w="7000"/>
          <w:tcMar>
            <w:top w:w="0" w:type="dxa"/>
            <w:start w:w="0" w:type="dxa"/>
            <w:bottom w:w="0" w:type="dxa"/>
            <w:end w:w="0" w:type="dxa"/>
          </w:tcMar>
          <w:vAlign w:val="center"/>
        </w:tcPr>
        <w:p>
          <w:pPr>
            <w:spacing w:after="0"/>
          </w:pPr>
          <w:r>
            <w:rPr>
              <w:rFonts w:ascii="Calibri" w:hAnsi="Calibri" w:eastAsia="Calibri"/>
              <w:b w:val="0"/>
              <w:i w:val="0"/>
              <w:color w:val="666666"/>
              <w:sz w:val="16"/>
            </w:rPr>
            <w:t>Verified implementation · 10 August 2026</w:t>
          </w:r>
        </w:p>
      </w:tc>
      <w:tc>
        <w:tcPr>
          <w:tcW w:type="dxa" w:w="2360"/>
          <w:tcMar>
            <w:top w:w="0" w:type="dxa"/>
            <w:start w:w="0" w:type="dxa"/>
            <w:bottom w:w="0" w:type="dxa"/>
            <w:end w:w="0" w:type="dxa"/>
          </w:tcMar>
          <w:vAlign w:val="center"/>
        </w:tcPr>
        <w:p>
          <w:pPr>
            <w:spacing w:after="0"/>
            <w:jc w:val="right"/>
          </w:pPr>
          <w:r>
            <w:rPr>
              <w:rFonts w:ascii="Calibri" w:hAnsi="Calibri" w:eastAsia="Calibri"/>
              <w:b w:val="0"/>
              <w:i w:val="0"/>
              <w:color w:val="666666"/>
              <w:sz w:val="16"/>
            </w:rPr>
            <w:t xml:space="preserve">Page </w:t>
          </w:r>
          <w: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0" w:type="dxa"/>
            <w:start w:w="0" w:type="dxa"/>
            <w:bottom w:w="0" w:type="dxa"/>
            <w:end w:w="0" w:type="dxa"/>
          </w:tcMar>
          <w:vAlign w:val="center"/>
        </w:tcPr>
        <w:p>
          <w:pPr>
            <w:spacing w:after="0"/>
          </w:pPr>
          <w:r>
            <w:rPr>
              <w:rFonts w:ascii="Calibri" w:hAnsi="Calibri" w:eastAsia="Calibri"/>
              <w:b/>
              <w:i w:val="0"/>
              <w:color w:val="1F4D78"/>
              <w:sz w:val="16"/>
            </w:rPr>
            <w:t>ARGUS UNIFIED | IMPLEMENTATION REPORT</w:t>
          </w:r>
        </w:p>
      </w:tc>
      <w:tc>
        <w:tcPr>
          <w:tcW w:type="dxa" w:w="4680"/>
          <w:tcMar>
            <w:top w:w="0" w:type="dxa"/>
            <w:start w:w="0" w:type="dxa"/>
            <w:bottom w:w="0" w:type="dxa"/>
            <w:end w:w="0" w:type="dxa"/>
          </w:tcMar>
          <w:vAlign w:val="center"/>
        </w:tcPr>
        <w:p>
          <w:pPr>
            <w:spacing w:after="0"/>
            <w:jc w:val="right"/>
          </w:pPr>
          <w:r>
            <w:rPr>
              <w:rFonts w:ascii="Calibri" w:hAnsi="Calibri" w:eastAsia="Calibri"/>
              <w:b/>
              <w:i w:val="0"/>
              <w:color w:val="666666"/>
              <w:sz w:val="16"/>
            </w:rPr>
            <w:t>COMPLETE WALKTHROUGH</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eastAsia="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eastAsia="Calibri"/>
      <w:b w:val="0"/>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59" w:right="259"/>
      <w:shd w:fill="F2F2F2"/>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doi.org/10.6028/NIST.SP.800-30r1" TargetMode="External"/><Relationship Id="rId14" Type="http://schemas.openxmlformats.org/officeDocument/2006/relationships/hyperlink" Target="https://doi.org/10.1561/1500000043" TargetMode="External"/><Relationship Id="rId15" Type="http://schemas.openxmlformats.org/officeDocument/2006/relationships/image" Target="media/image3.png"/><Relationship Id="rId16" Type="http://schemas.openxmlformats.org/officeDocument/2006/relationships/hyperlink" Target="https://doi.org/10.1080/01621459.1969.10501049" TargetMode="External"/><Relationship Id="rId17" Type="http://schemas.openxmlformats.org/officeDocument/2006/relationships/hyperlink" Target="https://doi.org/10.5169/seals-266450" TargetMode="External"/><Relationship Id="rId18" Type="http://schemas.openxmlformats.org/officeDocument/2006/relationships/image" Target="media/image4.png"/><Relationship Id="rId19" Type="http://schemas.openxmlformats.org/officeDocument/2006/relationships/hyperlink" Target="https://books.google.com/books?id=IVZBHAAACAAJ" TargetMode="External"/><Relationship Id="rId20" Type="http://schemas.openxmlformats.org/officeDocument/2006/relationships/hyperlink" Target="https://doi.org/10.1016/j.bdr.2016.08.002" TargetMode="External"/><Relationship Id="rId21" Type="http://schemas.openxmlformats.org/officeDocument/2006/relationships/hyperlink" Target="https://doi.org/10.6028/NIST.FIPS.180-4" TargetMode="External"/><Relationship Id="rId22" Type="http://schemas.openxmlformats.org/officeDocument/2006/relationships/image" Target="media/image5.png"/><Relationship Id="rId23" Type="http://schemas.openxmlformats.org/officeDocument/2006/relationships/hyperlink" Target="https://doi.org/10.1016/B978-1-4832-1451-1.50030-5" TargetMode="External"/><Relationship Id="rId24" Type="http://schemas.openxmlformats.org/officeDocument/2006/relationships/hyperlink" Target="https://jacobfilipp.com/DrDobbs/articles/DDJ/1988/8807/8807c/8807c.htm" TargetMode="External"/><Relationship Id="rId25" Type="http://schemas.openxmlformats.org/officeDocument/2006/relationships/image" Target="media/image6.png"/><Relationship Id="rId26" Type="http://schemas.openxmlformats.org/officeDocument/2006/relationships/hyperlink" Target="https://doi.org/10.1515/9781400882618-002" TargetMode="External"/><Relationship Id="rId27" Type="http://schemas.openxmlformats.org/officeDocument/2006/relationships/hyperlink" Target="https://oasis-open.github.io/cti-documentation/stix/intro.html" TargetMode="External"/><Relationship Id="rId28" Type="http://schemas.openxmlformats.org/officeDocument/2006/relationships/hyperlink" Target="https://doi.org/10.17487/RFC9562" TargetMode="External"/><Relationship Id="rId29" Type="http://schemas.openxmlformats.org/officeDocument/2006/relationships/hyperlink" Target="https://docs.opencti.io/latest/usage/getting-started/" TargetMode="External"/><Relationship Id="rId30" Type="http://schemas.openxmlformats.org/officeDocument/2006/relationships/hyperlink" Target="https://docs.opencti.io/latest/deployment/connectors/" TargetMode="External"/><Relationship Id="rId31" Type="http://schemas.openxmlformats.org/officeDocument/2006/relationships/hyperlink" Target="https://www.misp-project.org/features/" TargetMode="External"/><Relationship Id="rId32" Type="http://schemas.openxmlformats.org/officeDocument/2006/relationships/hyperlink" Target="https://docs.threatconnect.com/en/latest/rest_api/v3/indicators/indicators.html" TargetMode="External"/><Relationship Id="rId33" Type="http://schemas.openxmlformats.org/officeDocument/2006/relationships/hyperlink" Target="https://docs.threatconnect.com/en/latest/rest_api/v3/associations.html" TargetMode="External"/><Relationship Id="rId34" Type="http://schemas.openxmlformats.org/officeDocument/2006/relationships/hyperlink" Target="https://docs.threatconnect.com/en/latest/tcex/module_case_management.html" TargetMode="External"/><Relationship Id="rId35" Type="http://schemas.openxmlformats.org/officeDocument/2006/relationships/hyperlink" Target="https://docs.threatconnect.com/en/latest/rest_api/v3/available_endpoints.html" TargetMode="External"/><Relationship Id="rId36" Type="http://schemas.openxmlformats.org/officeDocument/2006/relationships/hyperlink" Target="https://docs.threatconnect.com/en/latest/rest_api/v3/system_roles/system_roles.html" TargetMode="External"/><Relationship Id="rId37" Type="http://schemas.openxmlformats.org/officeDocument/2006/relationships/hyperlink" Target="https://docs.threatconnect.com/en/latest/tcex/release_notes.html" TargetMode="External"/><Relationship Id="rId38" Type="http://schemas.openxmlformats.org/officeDocument/2006/relationships/hyperlink" Target="https://www.recordedfuture.com/platform" TargetMode="External"/><Relationship Id="rId39" Type="http://schemas.openxmlformats.org/officeDocument/2006/relationships/hyperlink" Target="https://www.crowdstrike.com/en-us/platform/threat-intelligence/adversary-intelligence/" TargetMode="External"/><Relationship Id="rId40" Type="http://schemas.openxmlformats.org/officeDocument/2006/relationships/hyperlink" Target="https://github.com/smicallef/spiderfoot" TargetMode="External"/><Relationship Id="rId41" Type="http://schemas.openxmlformats.org/officeDocument/2006/relationships/hyperlink" Target="https://www.maltego.com/transform-hub/" TargetMode="External"/><Relationship Id="rId42" Type="http://schemas.openxmlformats.org/officeDocument/2006/relationships/hyperlink" Target="https://docs.maltego.com/en/support/solutions/articles/15000009613-running-transforms" TargetMode="External"/><Relationship Id="rId43" Type="http://schemas.openxmlformats.org/officeDocument/2006/relationships/hyperlink" Target="https://docs.maltego.com/en/support/solutions/articles/15000010791-collaboration" TargetMode="External"/><Relationship Id="rId44" Type="http://schemas.openxmlformats.org/officeDocument/2006/relationships/hyperlink" Target="https://github.com/sherlock-project/sherlock" TargetMode="External"/><Relationship Id="rId45" Type="http://schemas.openxmlformats.org/officeDocument/2006/relationships/hyperlink" Target="https://github.com/soxoj/maigret" TargetMode="External"/><Relationship Id="rId46" Type="http://schemas.openxmlformats.org/officeDocument/2006/relationships/hyperlink" Target="https://haveibeenpwned.com/scalar/" TargetMode="External"/><Relationship Id="rId47" Type="http://schemas.openxmlformats.org/officeDocument/2006/relationships/hyperlink" Target="https://help.intelx.io/api/" TargetMode="External"/><Relationship Id="rId48" Type="http://schemas.openxmlformats.org/officeDocument/2006/relationships/hyperlink" Target="https://docs.leakcheck.io/overview" TargetMode="External"/><Relationship Id="rId49" Type="http://schemas.openxmlformats.org/officeDocument/2006/relationships/hyperlink" Target="https://www.dehashed.com/" TargetMode="External"/><Relationship Id="rId50" Type="http://schemas.openxmlformats.org/officeDocument/2006/relationships/hyperlink" Target="https://docs.telethon.dev/en/stable/basic/quick-start.html" TargetMode="External"/><Relationship Id="rId51" Type="http://schemas.openxmlformats.org/officeDocument/2006/relationships/hyperlink" Target="https://docs.telethon.dev/en/stable/basic/updates.html" TargetMode="External"/><Relationship Id="rId52" Type="http://schemas.openxmlformats.org/officeDocument/2006/relationships/hyperlink" Target="https://www.maltego.com/monitor/" TargetMode="External"/><Relationship Id="rId53" Type="http://schemas.openxmlformats.org/officeDocument/2006/relationships/hyperlink" Target="https://docs.maltego.com/en/support/solutions/articles/15000058961" TargetMode="External"/><Relationship Id="rId54" Type="http://schemas.openxmlformats.org/officeDocument/2006/relationships/hyperlink" Target="https://sociallinks.io/" TargetMode="External"/><Relationship Id="rId55" Type="http://schemas.openxmlformats.org/officeDocument/2006/relationships/hyperlink" Target="https://blog.sociallinks.io/social-links-product-updates-q2-2023/" TargetMode="External"/><Relationship Id="rId56" Type="http://schemas.openxmlformats.org/officeDocument/2006/relationships/hyperlink" Target="https://microsoft.github.io/presidio/" TargetMode="External"/><Relationship Id="rId57" Type="http://schemas.openxmlformats.org/officeDocument/2006/relationships/hyperlink" Target="https://microsoft.github.io/presidio/supported_entities/" TargetMode="External"/><Relationship Id="rId58" Type="http://schemas.openxmlformats.org/officeDocument/2006/relationships/hyperlink" Target="https://microsoft.github.io/presidio/anonymizer/" TargetMode="External"/><Relationship Id="rId59" Type="http://schemas.openxmlformats.org/officeDocument/2006/relationships/hyperlink" Target="https://docs.cloud.google.com/sensitive-data-protection/docs/inspecting-text" TargetMode="External"/><Relationship Id="rId60" Type="http://schemas.openxmlformats.org/officeDocument/2006/relationships/hyperlink" Target="https://docs.cloud.google.com/sensitive-data-protection/docs/creating-custom-infotypes" TargetMode="External"/><Relationship Id="rId61" Type="http://schemas.openxmlformats.org/officeDocument/2006/relationships/hyperlink" Target="https://docs.aws.amazon.com/macie/latest/user/managed-data-identifiers.html" TargetMode="External"/><Relationship Id="rId62" Type="http://schemas.openxmlformats.org/officeDocument/2006/relationships/hyperlink" Target="https://docs.aws.amazon.com/macie/latest/user/custom-data-identifiers.html" TargetMode="External"/><Relationship Id="rId63" Type="http://schemas.openxmlformats.org/officeDocument/2006/relationships/hyperlink" Target="https://github.com/pedramamini/iocextract" TargetMode="External"/><Relationship Id="rIdSvg1" Type="http://schemas.openxmlformats.org/officeDocument/2006/relationships/image" Target="media/unified-platform-flow.svg"/><Relationship Id="rIdSvg2" Type="http://schemas.openxmlformats.org/officeDocument/2006/relationships/image" Target="media/core-platform-flow.svg"/><Relationship Id="rIdSvg3" Type="http://schemas.openxmlformats.org/officeDocument/2006/relationships/image" Target="media/osint-investigation-flow.svg"/><Relationship Id="rIdSvg4" Type="http://schemas.openxmlformats.org/officeDocument/2006/relationships/image" Target="media/breach-correlation-flow.svg"/><Relationship Id="rIdSvg5" Type="http://schemas.openxmlformats.org/officeDocument/2006/relationships/image" Target="media/telegram-intelligence-flow.svg"/><Relationship Id="rIdSvg6" Type="http://schemas.openxmlformats.org/officeDocument/2006/relationships/image" Target="media/pii-ioc-stix-flow.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Walkthrough</dc:title>
  <dc:subject>Argus Unified verified implementation documentation</dc:subject>
  <dc:creator>Argus Unified Engineering</dc:creator>
  <cp:keywords>threat intelligence, OSINT, breach, Telegram, IOC, STIX</cp:keywords>
  <dc:description>generated by python-docx</dc:description>
  <cp:lastModifiedBy/>
  <cp:revision>1</cp:revision>
  <dcterms:created xsi:type="dcterms:W3CDTF">2013-12-23T23:15:00Z</dcterms:created>
  <dcterms:modified xsi:type="dcterms:W3CDTF">2013-12-23T23:15:00Z</dcterms:modified>
  <cp:category/>
</cp:coreProperties>
</file>