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eastAsia="Calibri"/>
          <w:b/>
          <w:i w:val="0"/>
          <w:color w:val="2E74B5"/>
          <w:sz w:val="20"/>
        </w:rPr>
        <w:t>ARGUS UNIFIED</w:t>
      </w:r>
    </w:p>
    <w:p>
      <w:pPr>
        <w:pStyle w:val="Title"/>
      </w:pPr>
      <w:r>
        <w:t>OSINT Investigation Module</w:t>
      </w:r>
    </w:p>
    <w:p>
      <w:pPr>
        <w:pStyle w:val="Subtitle"/>
      </w:pPr>
      <w:r>
        <w:t>Profile-aware discovery, verification, evidence chains, correlation, and resumable job control</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Document status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 VERIFIED</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As of</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10 August 2026</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Basis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Consolidated source code, automated tests, build outputs, and browser verification</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Scope rule</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behavior only; no roadmap or unimplemented product claims</w:t>
            </w:r>
          </w:p>
        </w:tc>
      </w:tr>
    </w:tbl>
    <w:p/>
    <w:p>
      <w:pPr>
        <w:pStyle w:val="Heading1"/>
      </w:pPr>
      <w:r>
        <w:t>Implemented scope</w:t>
      </w:r>
    </w:p>
    <w:p>
      <w:r>
        <w:rPr>
          <w:rFonts w:ascii="Calibri" w:hAnsi="Calibri" w:eastAsia="Calibri"/>
          <w:b w:val="0"/>
          <w:i w:val="0"/>
          <w:color w:val="000000"/>
          <w:sz w:val="22"/>
        </w:rPr>
        <w:t>The module accepts a username or a richer subject profile and runs direct site checks, candidate generation, search-engine discovery, CSV/Intelbase lookup, profile parsing, evidence scoring, cross-platform correlation, and export. Synchronous and background workflows are mounted at /api/osint; background investigations support status, result, pause, resume, cancel, and bounded progress state.</w:t>
      </w:r>
    </w:p>
    <w:p>
      <w:pPr>
        <w:pStyle w:val="Heading2"/>
      </w:pPr>
      <w:r>
        <w:t>Source lineage and reuse</w:t>
      </w:r>
    </w:p>
    <w:p>
      <w:r>
        <w:rPr>
          <w:rFonts w:ascii="Calibri" w:hAnsi="Calibri" w:eastAsia="Calibri"/>
          <w:b w:val="0"/>
          <w:i w:val="0"/>
          <w:color w:val="000000"/>
          <w:sz w:val="22"/>
        </w:rPr>
        <w:t>The consolidated report reuses verified implementation descriptions, workflows, and terminology from the existing project documents, reconciled against the final code. Obsolete database stacks, duplicate services, future work, and unverified readiness claims were excluded.</w:t>
      </w:r>
    </w:p>
    <w:p>
      <w:pPr>
        <w:pStyle w:val="ListBullet"/>
      </w:pPr>
      <w:r>
        <w:t>osint and breach codebase\docs\OSINT module v1.docx</w:t>
      </w:r>
    </w:p>
    <w:p>
      <w:pPr>
        <w:pStyle w:val="ListBullet"/>
      </w:pPr>
      <w:r>
        <w:t>Verified concepts reused: candidate generation, multi-signal verification, calibration, DOM comparison, evidence tiers, and job controls.</w:t>
      </w:r>
    </w:p>
    <w:p>
      <w:pPr>
        <w:jc w:val="center"/>
      </w:pPr>
      <w:r>
        <w:drawing>
          <wp:inline xmlns:a="http://schemas.openxmlformats.org/drawingml/2006/main" xmlns:pic="http://schemas.openxmlformats.org/drawingml/2006/picture">
            <wp:extent cx="5623560" cy="7487368"/>
            <wp:docPr id="1" name="osint-investigation-flow" descr="Figure 1. Profile-aware OSINT investigation and verification path."/>
            <wp:cNvGraphicFramePr>
              <a:graphicFrameLocks noChangeAspect="1"/>
            </wp:cNvGraphicFramePr>
            <a:graphic>
              <a:graphicData uri="http://schemas.openxmlformats.org/drawingml/2006/picture">
                <pic:pic>
                  <pic:nvPicPr>
                    <pic:cNvPr id="0" name="osint-investigation-flow.png"/>
                    <pic:cNvPicPr/>
                  </pic:nvPicPr>
                  <pic:blipFill>
                    <a:blip r:embed="rId11">
                      <a:extLst>
                        <a:ext uri="{96DAC541-7B7A-43D3-8B79-37D633B846F1}">
                          <asvg:svgBlip xmlns:asvg="http://schemas.microsoft.com/office/drawing/2016/SVG/main" r:embed="rIdSvg1"/>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1. Profile-aware OSINT investigation and verification path.</w:t>
      </w:r>
      <w:r>
        <w:br w:type="page"/>
      </w:r>
    </w:p>
    <w:p>
      <w:pPr>
        <w:pStyle w:val="Heading2"/>
      </w:pPr>
      <w:r>
        <w:t>Endpoints and inputs</w:t>
      </w:r>
    </w:p>
    <w:tbl>
      <w:tblPr>
        <w:tblStyle w:val="TableGrid"/>
        <w:tblW w:type="dxa" w:w="9360"/>
        <w:tblLayout w:type="fixed"/>
        <w:tblLook w:firstColumn="1" w:firstRow="1" w:lastColumn="0" w:lastRow="0" w:noHBand="0" w:noVBand="1" w:val="04A0"/>
        <w:jc w:val="left"/>
        <w:tblInd w:w="120" w:type="dxa"/>
      </w:tblPr>
      <w:tblGrid>
        <w:gridCol w:w="2250"/>
        <w:gridCol w:w="3950"/>
        <w:gridCol w:w="3160"/>
      </w:tblGrid>
      <w:tr>
        <w:trPr>
          <w:tblHeader w:val="true"/>
        </w:trPr>
        <w:tc>
          <w:tcPr>
            <w:tcW w:type="dxa" w:w="2250"/>
            <w:tcMar>
              <w:top w:w="80" w:type="dxa"/>
              <w:start w:w="120" w:type="dxa"/>
              <w:bottom w:w="80" w:type="dxa"/>
              <w:end w:w="120" w:type="dxa"/>
            </w:tcMar>
            <w:vAlign w:val="center"/>
            <w:shd w:fill="E8EEF5"/>
          </w:tcPr>
          <w:p>
            <w:r>
              <w:rPr>
                <w:rFonts w:ascii="Calibri" w:hAnsi="Calibri" w:eastAsia="Calibri"/>
                <w:b/>
                <w:i w:val="0"/>
                <w:color w:val="1F4D78"/>
                <w:sz w:val="17"/>
              </w:rPr>
              <w:t>Endpoint family</w:t>
            </w:r>
          </w:p>
        </w:tc>
        <w:tc>
          <w:tcPr>
            <w:tcW w:type="dxa" w:w="3950"/>
            <w:tcMar>
              <w:top w:w="80" w:type="dxa"/>
              <w:start w:w="120" w:type="dxa"/>
              <w:bottom w:w="80" w:type="dxa"/>
              <w:end w:w="120" w:type="dxa"/>
            </w:tcMar>
            <w:vAlign w:val="center"/>
            <w:shd w:fill="E8EEF5"/>
          </w:tcPr>
          <w:p>
            <w:r>
              <w:rPr>
                <w:rFonts w:ascii="Calibri" w:hAnsi="Calibri" w:eastAsia="Calibri"/>
                <w:b/>
                <w:i w:val="0"/>
                <w:color w:val="1F4D78"/>
                <w:sz w:val="17"/>
              </w:rPr>
              <w:t>Implemented behavior</w:t>
            </w:r>
          </w:p>
        </w:tc>
        <w:tc>
          <w:tcPr>
            <w:tcW w:type="dxa" w:w="3160"/>
            <w:tcMar>
              <w:top w:w="80" w:type="dxa"/>
              <w:start w:w="120" w:type="dxa"/>
              <w:bottom w:w="80" w:type="dxa"/>
              <w:end w:w="120" w:type="dxa"/>
            </w:tcMar>
            <w:vAlign w:val="center"/>
            <w:shd w:fill="E8EEF5"/>
          </w:tcPr>
          <w:p>
            <w:r>
              <w:rPr>
                <w:rFonts w:ascii="Calibri" w:hAnsi="Calibri" w:eastAsia="Calibri"/>
                <w:b/>
                <w:i w:val="0"/>
                <w:color w:val="1F4D78"/>
                <w:sz w:val="17"/>
              </w:rPr>
              <w:t>Representative input</w:t>
            </w:r>
          </w:p>
        </w:tc>
      </w:tr>
      <w:tr>
        <w:tc>
          <w:tcPr>
            <w:tcW w:type="dxa" w:w="2250"/>
            <w:tcMar>
              <w:top w:w="80" w:type="dxa"/>
              <w:start w:w="120" w:type="dxa"/>
              <w:bottom w:w="80" w:type="dxa"/>
              <w:end w:w="120" w:type="dxa"/>
            </w:tcMar>
            <w:vAlign w:val="center"/>
          </w:tcPr>
          <w:p>
            <w:r>
              <w:rPr>
                <w:rFonts w:ascii="Calibri" w:hAnsi="Calibri" w:eastAsia="Calibri"/>
                <w:b w:val="0"/>
                <w:i w:val="0"/>
                <w:color w:val="000000"/>
                <w:sz w:val="17"/>
              </w:rPr>
              <w:t>/api/osint/search*</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Direct username checks; start/status/result/cancel; recursive search</w:t>
            </w:r>
          </w:p>
        </w:tc>
        <w:tc>
          <w:tcPr>
            <w:tcW w:type="dxa" w:w="3160"/>
            <w:tcMar>
              <w:top w:w="80" w:type="dxa"/>
              <w:start w:w="120" w:type="dxa"/>
              <w:bottom w:w="80" w:type="dxa"/>
              <w:end w:w="120" w:type="dxa"/>
            </w:tcMar>
            <w:vAlign w:val="center"/>
          </w:tcPr>
          <w:p>
            <w:r>
              <w:rPr>
                <w:rFonts w:ascii="Calibri" w:hAnsi="Calibri" w:eastAsia="Calibri"/>
                <w:b w:val="0"/>
                <w:i w:val="0"/>
                <w:color w:val="000000"/>
                <w:sz w:val="17"/>
              </w:rPr>
              <w:t>username, mode, site filters</w:t>
            </w:r>
          </w:p>
        </w:tc>
      </w:tr>
      <w:tr>
        <w:tc>
          <w:tcPr>
            <w:tcW w:type="dxa" w:w="2250"/>
            <w:tcMar>
              <w:top w:w="80" w:type="dxa"/>
              <w:start w:w="120" w:type="dxa"/>
              <w:bottom w:w="80" w:type="dxa"/>
              <w:end w:w="120" w:type="dxa"/>
            </w:tcMar>
            <w:vAlign w:val="center"/>
          </w:tcPr>
          <w:p>
            <w:r>
              <w:rPr>
                <w:rFonts w:ascii="Calibri" w:hAnsi="Calibri" w:eastAsia="Calibri"/>
                <w:b w:val="0"/>
                <w:i w:val="0"/>
                <w:color w:val="000000"/>
                <w:sz w:val="17"/>
              </w:rPr>
              <w:t>/api/osint/v2/investigate*</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Profile-aware synchronous/background investigation with pause/resume</w:t>
            </w:r>
          </w:p>
        </w:tc>
        <w:tc>
          <w:tcPr>
            <w:tcW w:type="dxa" w:w="3160"/>
            <w:tcMar>
              <w:top w:w="80" w:type="dxa"/>
              <w:start w:w="120" w:type="dxa"/>
              <w:bottom w:w="80" w:type="dxa"/>
              <w:end w:w="120" w:type="dxa"/>
            </w:tcMar>
            <w:vAlign w:val="center"/>
          </w:tcPr>
          <w:p>
            <w:r>
              <w:rPr>
                <w:rFonts w:ascii="Calibri" w:hAnsi="Calibri" w:eastAsia="Calibri"/>
                <w:b w:val="0"/>
                <w:i w:val="0"/>
                <w:color w:val="000000"/>
                <w:sz w:val="17"/>
              </w:rPr>
              <w:t>name, aliases, email, phone, location, employment, education</w:t>
            </w:r>
          </w:p>
        </w:tc>
      </w:tr>
      <w:tr>
        <w:tc>
          <w:tcPr>
            <w:tcW w:type="dxa" w:w="2250"/>
            <w:tcMar>
              <w:top w:w="80" w:type="dxa"/>
              <w:start w:w="120" w:type="dxa"/>
              <w:bottom w:w="80" w:type="dxa"/>
              <w:end w:w="120" w:type="dxa"/>
            </w:tcMar>
            <w:vAlign w:val="center"/>
          </w:tcPr>
          <w:p>
            <w:r>
              <w:rPr>
                <w:rFonts w:ascii="Calibri" w:hAnsi="Calibri" w:eastAsia="Calibri"/>
                <w:b w:val="0"/>
                <w:i w:val="0"/>
                <w:color w:val="000000"/>
                <w:sz w:val="17"/>
              </w:rPr>
              <w:t>/api/osint/v2/quick</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Reduced-latency profile investigation</w:t>
            </w:r>
          </w:p>
        </w:tc>
        <w:tc>
          <w:tcPr>
            <w:tcW w:type="dxa" w:w="3160"/>
            <w:tcMar>
              <w:top w:w="80" w:type="dxa"/>
              <w:start w:w="120" w:type="dxa"/>
              <w:bottom w:w="80" w:type="dxa"/>
              <w:end w:w="120" w:type="dxa"/>
            </w:tcMar>
            <w:vAlign w:val="center"/>
          </w:tcPr>
          <w:p>
            <w:r>
              <w:rPr>
                <w:rFonts w:ascii="Calibri" w:hAnsi="Calibri" w:eastAsia="Calibri"/>
                <w:b w:val="0"/>
                <w:i w:val="0"/>
                <w:color w:val="000000"/>
                <w:sz w:val="17"/>
              </w:rPr>
              <w:t>subject profile</w:t>
            </w:r>
          </w:p>
        </w:tc>
      </w:tr>
      <w:tr>
        <w:tc>
          <w:tcPr>
            <w:tcW w:type="dxa" w:w="2250"/>
            <w:tcMar>
              <w:top w:w="80" w:type="dxa"/>
              <w:start w:w="120" w:type="dxa"/>
              <w:bottom w:w="80" w:type="dxa"/>
              <w:end w:w="120" w:type="dxa"/>
            </w:tcMar>
            <w:vAlign w:val="center"/>
          </w:tcPr>
          <w:p>
            <w:r>
              <w:rPr>
                <w:rFonts w:ascii="Calibri" w:hAnsi="Calibri" w:eastAsia="Calibri"/>
                <w:b w:val="0"/>
                <w:i w:val="0"/>
                <w:color w:val="000000"/>
                <w:sz w:val="17"/>
              </w:rPr>
              <w:t>/api/osint/v2/calibrate</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Known-positive/known-negative detection calibration</w:t>
            </w:r>
          </w:p>
        </w:tc>
        <w:tc>
          <w:tcPr>
            <w:tcW w:type="dxa" w:w="3160"/>
            <w:tcMar>
              <w:top w:w="80" w:type="dxa"/>
              <w:start w:w="120" w:type="dxa"/>
              <w:bottom w:w="80" w:type="dxa"/>
              <w:end w:w="120" w:type="dxa"/>
            </w:tcMar>
            <w:vAlign w:val="center"/>
          </w:tcPr>
          <w:p>
            <w:r>
              <w:rPr>
                <w:rFonts w:ascii="Calibri" w:hAnsi="Calibri" w:eastAsia="Calibri"/>
                <w:b w:val="0"/>
                <w:i w:val="0"/>
                <w:color w:val="000000"/>
                <w:sz w:val="17"/>
              </w:rPr>
              <w:t>optional site list</w:t>
            </w:r>
          </w:p>
        </w:tc>
      </w:tr>
      <w:tr>
        <w:tc>
          <w:tcPr>
            <w:tcW w:type="dxa" w:w="2250"/>
            <w:tcMar>
              <w:top w:w="80" w:type="dxa"/>
              <w:start w:w="120" w:type="dxa"/>
              <w:bottom w:w="80" w:type="dxa"/>
              <w:end w:w="120" w:type="dxa"/>
            </w:tcMar>
            <w:vAlign w:val="center"/>
          </w:tcPr>
          <w:p>
            <w:r>
              <w:rPr>
                <w:rFonts w:ascii="Calibri" w:hAnsi="Calibri" w:eastAsia="Calibri"/>
                <w:b w:val="0"/>
                <w:i w:val="0"/>
                <w:color w:val="000000"/>
                <w:sz w:val="17"/>
              </w:rPr>
              <w:t>/api/osint/v2/export</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Structured result export</w:t>
            </w:r>
          </w:p>
        </w:tc>
        <w:tc>
          <w:tcPr>
            <w:tcW w:type="dxa" w:w="3160"/>
            <w:tcMar>
              <w:top w:w="80" w:type="dxa"/>
              <w:start w:w="120" w:type="dxa"/>
              <w:bottom w:w="80" w:type="dxa"/>
              <w:end w:w="120" w:type="dxa"/>
            </w:tcMar>
            <w:vAlign w:val="center"/>
          </w:tcPr>
          <w:p>
            <w:r>
              <w:rPr>
                <w:rFonts w:ascii="Calibri" w:hAnsi="Calibri" w:eastAsia="Calibri"/>
                <w:b w:val="0"/>
                <w:i w:val="0"/>
                <w:color w:val="000000"/>
                <w:sz w:val="17"/>
              </w:rPr>
              <w:t>completed investigation payload</w:t>
            </w:r>
          </w:p>
        </w:tc>
      </w:tr>
      <w:tr>
        <w:tc>
          <w:tcPr>
            <w:tcW w:type="dxa" w:w="2250"/>
            <w:tcMar>
              <w:top w:w="80" w:type="dxa"/>
              <w:start w:w="120" w:type="dxa"/>
              <w:bottom w:w="80" w:type="dxa"/>
              <w:end w:w="120" w:type="dxa"/>
            </w:tcMar>
            <w:vAlign w:val="center"/>
          </w:tcPr>
          <w:p>
            <w:r>
              <w:rPr>
                <w:rFonts w:ascii="Calibri" w:hAnsi="Calibri" w:eastAsia="Calibri"/>
                <w:b w:val="0"/>
                <w:i w:val="0"/>
                <w:color w:val="000000"/>
                <w:sz w:val="17"/>
              </w:rPr>
              <w:t>/api/osint/csv-only</w:t>
            </w:r>
          </w:p>
        </w:tc>
        <w:tc>
          <w:tcPr>
            <w:tcW w:type="dxa" w:w="3950"/>
            <w:tcMar>
              <w:top w:w="80" w:type="dxa"/>
              <w:start w:w="120" w:type="dxa"/>
              <w:bottom w:w="80" w:type="dxa"/>
              <w:end w:w="120" w:type="dxa"/>
            </w:tcMar>
            <w:vAlign w:val="center"/>
          </w:tcPr>
          <w:p>
            <w:r>
              <w:rPr>
                <w:rFonts w:ascii="Calibri" w:hAnsi="Calibri" w:eastAsia="Calibri"/>
                <w:b w:val="0"/>
                <w:i w:val="0"/>
                <w:color w:val="000000"/>
                <w:sz w:val="17"/>
              </w:rPr>
              <w:t>Local authorized CSV search path</w:t>
            </w:r>
          </w:p>
        </w:tc>
        <w:tc>
          <w:tcPr>
            <w:tcW w:type="dxa" w:w="3160"/>
            <w:tcMar>
              <w:top w:w="80" w:type="dxa"/>
              <w:start w:w="120" w:type="dxa"/>
              <w:bottom w:w="80" w:type="dxa"/>
              <w:end w:w="120" w:type="dxa"/>
            </w:tcMar>
            <w:vAlign w:val="center"/>
          </w:tcPr>
          <w:p>
            <w:r>
              <w:rPr>
                <w:rFonts w:ascii="Calibri" w:hAnsi="Calibri" w:eastAsia="Calibri"/>
                <w:b w:val="0"/>
                <w:i w:val="0"/>
                <w:color w:val="000000"/>
                <w:sz w:val="17"/>
              </w:rPr>
              <w:t>identifier and selected fields</w:t>
            </w:r>
          </w:p>
        </w:tc>
      </w:tr>
    </w:tbl>
    <w:p>
      <w:pPr>
        <w:spacing w:after="0"/>
      </w:pPr>
    </w:p>
    <w:p>
      <w:pPr>
        <w:pStyle w:val="Heading1"/>
      </w:pPr>
      <w:r>
        <w:t>Flow-aligned mathematical algorithm and specification</w:t>
      </w:r>
    </w:p>
    <w:p>
      <w:r>
        <w:rPr>
          <w:rFonts w:ascii="Calibri" w:hAnsi="Calibri" w:eastAsia="Calibri"/>
          <w:b w:val="0"/>
          <w:i w:val="0"/>
          <w:color w:val="000000"/>
          <w:sz w:val="22"/>
        </w:rPr>
        <w:t>The OSINT mathematics maps the flowchart's subject profile, direct checks, response verification, evidence chain, confidence tier, correlation, and analyst-review stages. Scores rank evidence; they do not prove identity.</w:t>
      </w:r>
    </w:p>
    <w:p>
      <w:pPr>
        <w:pStyle w:val="Heading2"/>
      </w:pPr>
      <w:r>
        <w:t>Subject evidence and profile-strength priors</w:t>
      </w:r>
    </w:p>
    <w:p>
      <w:pPr>
        <w:pStyle w:val="CodeBlock"/>
        <w:keepLines/>
      </w:pPr>
      <w:r>
        <w:t>S_subject = min(100, sum_j w_j * I_j)</w:t>
      </w:r>
    </w:p>
    <w:p>
      <w:pPr>
        <w:pStyle w:val="CodeBlock"/>
        <w:keepLines/>
      </w:pPr>
      <w:r>
        <w:t>I_j = 1 when the normalized candidate contains the supplied attribute, else 0</w:t>
      </w:r>
    </w:p>
    <w:tbl>
      <w:tblPr>
        <w:tblStyle w:val="TableGrid"/>
        <w:tblW w:type="dxa" w:w="9360"/>
        <w:tblLayout w:type="fixed"/>
        <w:tblLook w:firstColumn="1" w:firstRow="1" w:lastColumn="0" w:lastRow="0" w:noHBand="0" w:noVBand="1" w:val="04A0"/>
        <w:jc w:val="left"/>
        <w:tblInd w:w="120" w:type="dxa"/>
      </w:tblPr>
      <w:tblGrid>
        <w:gridCol w:w="4200"/>
        <w:gridCol w:w="5160"/>
      </w:tblGrid>
      <w:tr>
        <w:trPr>
          <w:tblHeader w:val="true"/>
        </w:trPr>
        <w:tc>
          <w:tcPr>
            <w:tcW w:type="dxa" w:w="4200"/>
            <w:tcMar>
              <w:top w:w="80" w:type="dxa"/>
              <w:start w:w="120" w:type="dxa"/>
              <w:bottom w:w="80" w:type="dxa"/>
              <w:end w:w="120" w:type="dxa"/>
            </w:tcMar>
            <w:vAlign w:val="center"/>
            <w:shd w:fill="E8EEF5"/>
          </w:tcPr>
          <w:p>
            <w:r>
              <w:rPr>
                <w:rFonts w:ascii="Calibri" w:hAnsi="Calibri" w:eastAsia="Calibri"/>
                <w:b/>
                <w:i w:val="0"/>
                <w:color w:val="1F4D78"/>
                <w:sz w:val="16"/>
              </w:rPr>
              <w:t>Matched signal</w:t>
            </w:r>
          </w:p>
        </w:tc>
        <w:tc>
          <w:tcPr>
            <w:tcW w:type="dxa" w:w="5160"/>
            <w:tcMar>
              <w:top w:w="80" w:type="dxa"/>
              <w:start w:w="120" w:type="dxa"/>
              <w:bottom w:w="80" w:type="dxa"/>
              <w:end w:w="120" w:type="dxa"/>
            </w:tcMar>
            <w:vAlign w:val="center"/>
            <w:shd w:fill="E8EEF5"/>
          </w:tcPr>
          <w:p>
            <w:r>
              <w:rPr>
                <w:rFonts w:ascii="Calibri" w:hAnsi="Calibri" w:eastAsia="Calibri"/>
                <w:b/>
                <w:i w:val="0"/>
                <w:color w:val="1F4D78"/>
                <w:sz w:val="16"/>
              </w:rPr>
              <w:t>Implemented weight</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Email; phone</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+30 each (first match of each type)</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Workplace; company</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+25; +20 (company counted once)</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Education; occupation; industry</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+20; +15; +10</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City; state; non-obvious country</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+20; +10; +5</w:t>
            </w:r>
          </w:p>
        </w:tc>
      </w:tr>
      <w:tr>
        <w:tc>
          <w:tcPr>
            <w:tcW w:type="dxa" w:w="4200"/>
            <w:tcMar>
              <w:top w:w="80" w:type="dxa"/>
              <w:start w:w="120" w:type="dxa"/>
              <w:bottom w:w="80" w:type="dxa"/>
              <w:end w:w="120" w:type="dxa"/>
            </w:tcMar>
            <w:vAlign w:val="center"/>
          </w:tcPr>
          <w:p>
            <w:r>
              <w:rPr>
                <w:rFonts w:ascii="Calibri" w:hAnsi="Calibri" w:eastAsia="Calibri"/>
                <w:b w:val="0"/>
                <w:i w:val="0"/>
                <w:color w:val="000000"/>
                <w:sz w:val="16"/>
              </w:rPr>
              <w:t>Full display name; known-profile cross-link</w:t>
            </w:r>
          </w:p>
        </w:tc>
        <w:tc>
          <w:tcPr>
            <w:tcW w:type="dxa" w:w="5160"/>
            <w:tcMar>
              <w:top w:w="80" w:type="dxa"/>
              <w:start w:w="120" w:type="dxa"/>
              <w:bottom w:w="80" w:type="dxa"/>
              <w:end w:w="120" w:type="dxa"/>
            </w:tcMar>
            <w:vAlign w:val="center"/>
          </w:tcPr>
          <w:p>
            <w:r>
              <w:rPr>
                <w:rFonts w:ascii="Calibri" w:hAnsi="Calibri" w:eastAsia="Calibri"/>
                <w:b w:val="0"/>
                <w:i w:val="0"/>
                <w:color w:val="000000"/>
                <w:sz w:val="16"/>
              </w:rPr>
              <w:t>+10; +20</w:t>
            </w:r>
          </w:p>
        </w:tc>
      </w:tr>
    </w:tbl>
    <w:p>
      <w:pPr>
        <w:spacing w:after="0"/>
      </w:pPr>
    </w:p>
    <w:p>
      <w:pPr>
        <w:pStyle w:val="CodeBlock"/>
        <w:keepLines/>
      </w:pPr>
      <w:r>
        <w:t>S_profile = min(100, 35*email + 30*phone + 15*photo + 20*username</w:t>
      </w:r>
    </w:p>
    <w:p>
      <w:pPr>
        <w:pStyle w:val="CodeBlock"/>
        <w:keepLines/>
      </w:pPr>
      <w:r>
        <w:t xml:space="preserve">                         + 15*workplace + 10*education + 10*city + 5*full_name)</w:t>
      </w:r>
    </w:p>
    <w:p>
      <w:pPr>
        <w:pStyle w:val="CodeBlock"/>
        <w:keepLines/>
      </w:pPr>
      <w:r>
        <w:t>STRONG &gt;=60; MODERATE 25..59; WEAK &lt;25</w:t>
      </w:r>
    </w:p>
    <w:p>
      <w:r>
        <w:rPr>
          <w:rFonts w:ascii="Calibri" w:hAnsi="Calibri" w:eastAsia="Calibri"/>
          <w:b w:val="0"/>
          <w:i w:val="0"/>
          <w:color w:val="000000"/>
          <w:sz w:val="22"/>
        </w:rPr>
        <w:t>All variables in S_profile are binary presence indicators. The score measures expected disambiguation power of the supplied input, not the probability that any result is correct.</w:t>
      </w:r>
    </w:p>
    <w:p>
      <w:pPr>
        <w:pStyle w:val="Heading2"/>
      </w:pPr>
      <w:r>
        <w:t>DOM soft-404 discrimination</w:t>
      </w:r>
    </w:p>
    <w:p>
      <w:pPr>
        <w:pStyle w:val="CodeBlock"/>
        <w:keepLines/>
      </w:pPr>
      <w:r>
        <w:t>For tag t, let f_A(t), f_B(t) be counts in the first 10 KB.</w:t>
      </w:r>
    </w:p>
    <w:p>
      <w:pPr>
        <w:pStyle w:val="CodeBlock"/>
        <w:keepLines/>
      </w:pPr>
      <w:r>
        <w:t>J_w(A,B) = sum_t min(f_A(t),f_B(t)) / sum_t max(f_A(t),f_B(t))</w:t>
      </w:r>
    </w:p>
    <w:p>
      <w:pPr>
        <w:pStyle w:val="CodeBlock"/>
        <w:keepLines/>
      </w:pPr>
      <w:r>
        <w:t>DOM differs when J_w &lt; 0.90</w:t>
      </w:r>
    </w:p>
    <w:p>
      <w:r>
        <w:rPr>
          <w:rFonts w:ascii="Calibri" w:hAnsi="Calibri" w:eastAsia="Calibri"/>
          <w:b w:val="0"/>
          <w:i w:val="0"/>
          <w:color w:val="000000"/>
          <w:sz w:val="22"/>
        </w:rPr>
        <w:t>This is a weighted multiset form of Jaccard similarity. A candidate page that closely resembles the calibrated nonexistent-account page is treated as soft-404 evidence rather than a confirmed profile.</w:t>
      </w:r>
    </w:p>
    <w:p>
      <w:pPr>
        <w:pStyle w:val="Heading2"/>
      </w:pPr>
      <w:r>
        <w:t>Rank prior and three-way decision</w:t>
      </w:r>
    </w:p>
    <w:p>
      <w:pPr>
        <w:pStyle w:val="CodeBlock"/>
        <w:keepLines/>
      </w:pPr>
      <w:r>
        <w:t>R_on(k)  = max(0, floor(35*(1-k/12)))</w:t>
      </w:r>
    </w:p>
    <w:p>
      <w:pPr>
        <w:pStyle w:val="CodeBlock"/>
        <w:keepLines/>
      </w:pPr>
      <w:r>
        <w:t>R_off(k) = max(0, floor(25*(1-k/12)))</w:t>
      </w:r>
    </w:p>
    <w:p>
      <w:pPr>
        <w:pStyle w:val="CodeBlock"/>
        <w:keepLines/>
      </w:pPr>
      <w:r>
        <w:t>Final rank = min(100, rank prior + documented attribute boosts)</w:t>
      </w:r>
    </w:p>
    <w:p>
      <w:pPr>
        <w:pStyle w:val="CodeBlock"/>
        <w:keepLines/>
      </w:pPr>
      <w:r/>
    </w:p>
    <w:p>
      <w:pPr>
        <w:pStyle w:val="CodeBlock"/>
        <w:keepLines/>
      </w:pPr>
      <w:r>
        <w:t>Decision = CONFIRMED/HIGH/MEDIUM/AMBIGUOUS/UNVERIFIED/NOT_FOUND</w:t>
      </w:r>
    </w:p>
    <w:p>
      <w:pPr>
        <w:pStyle w:val="CodeBlock"/>
        <w:keepLines/>
      </w:pPr>
      <w:r>
        <w:t>Thresholds = 95/75/50/30/1/0</w:t>
      </w:r>
    </w:p>
    <w:p>
      <w:r>
        <w:rPr>
          <w:rFonts w:ascii="Calibri" w:hAnsi="Calibri" w:eastAsia="Calibri"/>
          <w:b w:val="0"/>
          <w:i w:val="0"/>
          <w:color w:val="000000"/>
          <w:sz w:val="22"/>
        </w:rPr>
        <w:t>The evidence-chain gate separately records DEFINITIVE, HIGH, POSSIBLE, or UNLIKELY support. This preserves a link / possible-link / non-link style decision rather than forcing every response into a binary identity claim.</w:t>
      </w:r>
    </w:p>
    <w:p>
      <w:pPr>
        <w:pStyle w:val="Heading2"/>
      </w:pPr>
      <w:r>
        <w:t>Executable algorithm</w:t>
      </w:r>
    </w:p>
    <w:p>
      <w:pPr>
        <w:pStyle w:val="CodeBlock"/>
        <w:keepLines/>
      </w:pPr>
      <w:r>
        <w:t>OSINT-INVESTIGATE(profile):</w:t>
      </w:r>
    </w:p>
    <w:p>
      <w:pPr>
        <w:pStyle w:val="CodeBlock"/>
        <w:keepLines/>
      </w:pPr>
      <w:r>
        <w:t xml:space="preserve">  1. validate scope; compute permutations and S_profile</w:t>
      </w:r>
    </w:p>
    <w:p>
      <w:pPr>
        <w:pStyle w:val="CodeBlock"/>
        <w:keepLines/>
      </w:pPr>
      <w:r>
        <w:t xml:space="preserve">  2. run bounded direct-site, SERP and local-intelbase checks</w:t>
      </w:r>
    </w:p>
    <w:p>
      <w:pPr>
        <w:pStyle w:val="CodeBlock"/>
        <w:keepLines/>
      </w:pPr>
      <w:r>
        <w:t xml:space="preserve">  3. classify status, redirects, markers and WAF/challenge evidence</w:t>
      </w:r>
    </w:p>
    <w:p>
      <w:pPr>
        <w:pStyle w:val="CodeBlock"/>
        <w:keepLines/>
      </w:pPr>
      <w:r>
        <w:t xml:space="preserve">  4. compare candidate DOM with calibrated negative baseline</w:t>
      </w:r>
    </w:p>
    <w:p>
      <w:pPr>
        <w:pStyle w:val="CodeBlock"/>
        <w:keepLines/>
      </w:pPr>
      <w:r>
        <w:t xml:space="preserve">  5. extract metadata and compute S_subject plus evidence tier</w:t>
      </w:r>
    </w:p>
    <w:p>
      <w:pPr>
        <w:pStyle w:val="CodeBlock"/>
        <w:keepLines/>
      </w:pPr>
      <w:r>
        <w:t xml:space="preserve">  6. assign confidence class; keep negative and ambiguous evidence</w:t>
      </w:r>
    </w:p>
    <w:p>
      <w:pPr>
        <w:pStyle w:val="CodeBlock"/>
        <w:keepLines/>
      </w:pPr>
      <w:r>
        <w:t xml:space="preserve">  7. cluster cross-platform candidates and return bounded pivots</w:t>
      </w:r>
    </w:p>
    <w:p>
      <w:pPr>
        <w:pStyle w:val="CodeBlock"/>
        <w:keepLines/>
      </w:pPr>
      <w:r>
        <w:t xml:space="preserve">  8. require analyst review before attribution</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Score bounds</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All public scores are clipped to 0..100</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DOM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O(T_A + T_B) over extracted tag counts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Network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Dominated by bounded external requests, retries and configured concurrency</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Statistical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Weights are deterministic heuristics, not Fellegi-Sunter log-likelihood ratios learned from labeled pairs</w:t>
            </w:r>
          </w:p>
        </w:tc>
      </w:tr>
    </w:tbl>
    <w:p>
      <w:pPr>
        <w:spacing w:after="0"/>
      </w:pPr>
    </w:p>
    <w:p>
      <w:pPr>
        <w:pStyle w:val="Heading2"/>
      </w:pPr>
      <w:r>
        <w:t>Research and standards basis</w:t>
      </w:r>
    </w:p>
    <w:p>
      <w:r>
        <w:rPr>
          <w:rFonts w:ascii="Calibri" w:hAnsi="Calibri" w:eastAsia="Calibri"/>
          <w:b w:val="0"/>
          <w:i w:val="0"/>
          <w:color w:val="000000"/>
          <w:sz w:val="22"/>
        </w:rPr>
        <w:t>Fellegi-Sunter provides the classical theoretical basis for link, possible-link, and non-link decisions from comparison evidence. Jaccard provides the similarity basis adapted here to DOM tag-frequency multisets. Argus borrows these structures but does not claim a trained probabilistic record-linkage model.</w:t>
      </w:r>
    </w:p>
    <w:p>
      <w:pPr>
        <w:pStyle w:val="ListBullet"/>
      </w:pPr>
      <w:hyperlink r:id="rId12">
        <w:r>
          <w:rPr>
            <w:color w:val="2E74B5"/>
            <w:u w:val="single"/>
          </w:rPr>
          <w:t>Fellegi and Sunter — A Theory for Record Linkage</w:t>
        </w:r>
      </w:hyperlink>
    </w:p>
    <w:p>
      <w:pPr>
        <w:pStyle w:val="ListBullet"/>
      </w:pPr>
      <w:hyperlink r:id="rId13">
        <w:r>
          <w:rPr>
            <w:color w:val="2E74B5"/>
            <w:u w:val="single"/>
          </w:rPr>
          <w:t>Jaccard — Étude comparative de la distribution florale</w:t>
        </w:r>
      </w:hyperlink>
    </w:p>
    <w:p>
      <w:pPr>
        <w:pStyle w:val="Heading1"/>
      </w:pPr>
      <w:r>
        <w:t>Reliability controls</w:t>
      </w:r>
    </w:p>
    <w:p>
      <w:pPr>
        <w:pStyle w:val="ListBullet"/>
      </w:pPr>
      <w:r>
        <w:t>Site-specific positive/negative markers, redirect behavior, WAF/challenge detection, response status, JSON markers, and page metadata are evaluated together.</w:t>
      </w:r>
    </w:p>
    <w:p>
      <w:pPr>
        <w:pStyle w:val="ListBullet"/>
      </w:pPr>
      <w:r>
        <w:t>HTTP concurrency, retries, delays, per-site configuration, cancellation, and progress callbacks bound active investigations.</w:t>
      </w:r>
    </w:p>
    <w:p>
      <w:pPr>
        <w:pStyle w:val="ListBullet"/>
      </w:pPr>
      <w:r>
        <w:t>Calibration checks known-existing and known-nonexistent accounts to expose broken site rules.</w:t>
      </w:r>
    </w:p>
    <w:p>
      <w:pPr>
        <w:pStyle w:val="ListBullet"/>
      </w:pPr>
      <w:r>
        <w:t>Correlation adds bounded boosts for usernames, names, dates of birth, cross-links, and metadata richness while preserving source evidence.</w:t>
      </w:r>
    </w:p>
    <w:p>
      <w:pPr>
        <w:pStyle w:val="Heading2"/>
      </w:pPr>
      <w:r>
        <w:t>Market feature comparison</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SpiderFoot</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Maltego</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Sherlock</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Maigret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open-source core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Username enumeration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Name/email/phone/person inputs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Multi-source module/transform ecosystem</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Rich subject-profile disambiguation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Evidence-chain confidence tiers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DOM-skeleton account verification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Structured profile metadata extraction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Recursive pivot discovery</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WAF/challenge-aware checks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Known-positive/negative calibration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Pause/resume/cancel background jobs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Visual relationship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Real-time graph collaboration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Local CSV/intelbase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Structured report/export formats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r>
        <w:rPr>
          <w:rFonts w:ascii="Calibri" w:hAnsi="Calibri" w:eastAsia="Calibri"/>
          <w:b w:val="0"/>
          <w:i w:val="0"/>
          <w:color w:val="000000"/>
          <w:sz w:val="22"/>
        </w:rPr>
        <w:t>Selection context: SpiderFoot is broader for automated infrastructure and OSINT module coverage; Maltego is stronger for interactive graph analysis, transforms, and team collaboration; Sherlock is a focused username enumerator; Maigret provides deep username dossiers and many export formats. Argus focuses on profile-aware identity disambiguation, explicit evidence tiers, DOM/marker verification, calibration, resumable jobs, and direct handoff into breach and threat workflows.</w:t>
      </w:r>
    </w:p>
    <w:p>
      <w:pPr>
        <w:pStyle w:val="Heading2"/>
      </w:pPr>
      <w:r>
        <w:t>Reviewed external sources</w:t>
      </w:r>
    </w:p>
    <w:p>
      <w:r>
        <w:rPr>
          <w:rFonts w:ascii="Calibri" w:hAnsi="Calibri" w:eastAsia="Calibri"/>
          <w:b w:val="0"/>
          <w:i w:val="0"/>
          <w:color w:val="000000"/>
          <w:sz w:val="22"/>
        </w:rPr>
        <w:t>Competitor capabilities were marked only when explicitly evidenced by the reviewed official source. Accessed 10 August 2026.</w:t>
      </w:r>
    </w:p>
    <w:p>
      <w:pPr>
        <w:pStyle w:val="ListBullet"/>
      </w:pPr>
      <w:hyperlink r:id="rId12">
        <w:r>
          <w:rPr>
            <w:color w:val="2E74B5"/>
            <w:u w:val="single"/>
          </w:rPr>
          <w:t>Fellegi and Sunter — A Theory for Record Linkage</w:t>
        </w:r>
      </w:hyperlink>
    </w:p>
    <w:p>
      <w:pPr>
        <w:pStyle w:val="ListBullet"/>
      </w:pPr>
      <w:hyperlink r:id="rId13">
        <w:r>
          <w:rPr>
            <w:color w:val="2E74B5"/>
            <w:u w:val="single"/>
          </w:rPr>
          <w:t>Jaccard — Étude comparative de la distribution florale</w:t>
        </w:r>
      </w:hyperlink>
    </w:p>
    <w:p>
      <w:pPr>
        <w:pStyle w:val="ListBullet"/>
      </w:pPr>
      <w:hyperlink r:id="rId14">
        <w:r>
          <w:rPr>
            <w:color w:val="2E74B5"/>
            <w:u w:val="single"/>
          </w:rPr>
          <w:t>SpiderFoot official repository</w:t>
        </w:r>
      </w:hyperlink>
    </w:p>
    <w:p>
      <w:pPr>
        <w:pStyle w:val="ListBullet"/>
      </w:pPr>
      <w:hyperlink r:id="rId15">
        <w:r>
          <w:rPr>
            <w:color w:val="2E74B5"/>
            <w:u w:val="single"/>
          </w:rPr>
          <w:t>Maltego Transform Hub</w:t>
        </w:r>
      </w:hyperlink>
    </w:p>
    <w:p>
      <w:pPr>
        <w:pStyle w:val="ListBullet"/>
      </w:pPr>
      <w:hyperlink r:id="rId16">
        <w:r>
          <w:rPr>
            <w:color w:val="2E74B5"/>
            <w:u w:val="single"/>
          </w:rPr>
          <w:t>Maltego transform execution</w:t>
        </w:r>
      </w:hyperlink>
    </w:p>
    <w:p>
      <w:pPr>
        <w:pStyle w:val="ListBullet"/>
      </w:pPr>
      <w:hyperlink r:id="rId17">
        <w:r>
          <w:rPr>
            <w:color w:val="2E74B5"/>
            <w:u w:val="single"/>
          </w:rPr>
          <w:t>Maltego graph collaboration</w:t>
        </w:r>
      </w:hyperlink>
    </w:p>
    <w:p>
      <w:pPr>
        <w:pStyle w:val="ListBullet"/>
      </w:pPr>
      <w:hyperlink r:id="rId18">
        <w:r>
          <w:rPr>
            <w:color w:val="2E74B5"/>
            <w:u w:val="single"/>
          </w:rPr>
          <w:t>Sherlock official repository</w:t>
        </w:r>
      </w:hyperlink>
    </w:p>
    <w:p>
      <w:pPr>
        <w:pStyle w:val="ListBullet"/>
      </w:pPr>
      <w:hyperlink r:id="rId19">
        <w:r>
          <w:rPr>
            <w:color w:val="2E74B5"/>
            <w:u w:val="single"/>
          </w:rPr>
          <w:t>Maigret official repository</w:t>
        </w:r>
      </w:hyperlink>
    </w:p>
    <w:p>
      <w:pPr>
        <w:pStyle w:val="Heading2"/>
      </w:pPr>
      <w:r>
        <w:t>Verification evidence</w:t>
      </w:r>
    </w:p>
    <w:p>
      <w:pPr>
        <w:pStyle w:val="ListBullet"/>
      </w:pPr>
      <w:r>
        <w:t>All 193 Python source files parse successfully.</w:t>
      </w:r>
    </w:p>
    <w:p>
      <w:pPr>
        <w:pStyle w:val="ListBullet"/>
      </w:pPr>
      <w:r>
        <w:t>Python unit/stateless suite: 242 tests passed in the isolated Python 3.12 environment.</w:t>
      </w:r>
    </w:p>
    <w:p>
      <w:pPr>
        <w:pStyle w:val="ListBullet"/>
      </w:pPr>
      <w:r>
        <w:t>Application smoke subset: 9 tests passed, including boot, CORS, validation, and authentication flows.</w:t>
      </w:r>
    </w:p>
    <w:p>
      <w:pPr>
        <w:pStyle w:val="ListBullet"/>
      </w:pPr>
      <w:r>
        <w:t>Frontend ESLint and optimized Vite build completed successfully; npm audit reported zero known vulnerabilities.</w:t>
      </w:r>
    </w:p>
    <w:p>
      <w:pPr>
        <w:pStyle w:val="ListBullet"/>
      </w:pPr>
      <w:r>
        <w:t>pip-audit reported zero known vulnerabilities for backend/requirements.txt.</w:t>
      </w:r>
    </w:p>
    <w:p>
      <w:pPr>
        <w:pStyle w:val="ListBullet"/>
      </w:pPr>
      <w:r>
        <w:t>OSINT scoring, type detection, verification helpers, and API validation are covered by the consolidated backend tests.</w:t>
      </w:r>
    </w:p>
    <w:p>
      <w:pPr>
        <w:pStyle w:val="Heading2"/>
        <w:keepNext/>
      </w:pPr>
      <w:r>
        <w:t>Current operational boundaries</w:t>
      </w:r>
    </w:p>
    <w:p>
      <w:pPr>
        <w:pStyle w:val="ListBullet"/>
        <w:keepNext/>
      </w:pPr>
      <w:r>
        <w:t>A positive site response is evidence, not identity proof. Analyst review is required for high-impact decisions.</w:t>
      </w:r>
    </w:p>
    <w:p>
      <w:pPr>
        <w:pStyle w:val="ListBullet"/>
        <w:keepNext/>
      </w:pPr>
      <w:r>
        <w:t>Coverage changes as sites modify markup, authentication, rate limits, or bot defenses; calibration exposes but cannot prevent external drift.</w:t>
      </w:r>
    </w:p>
    <w:p>
      <w:pPr>
        <w:pStyle w:val="ListBullet"/>
      </w:pPr>
      <w:r>
        <w:t>The module does not bypass authentication controls or access private profiles. Use must be authorized and lawful.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000"/>
      <w:gridCol w:w="2360"/>
    </w:tblGrid>
    <w:tr>
      <w:tc>
        <w:tcPr>
          <w:tcW w:type="dxa" w:w="7000"/>
          <w:tcMar>
            <w:top w:w="0" w:type="dxa"/>
            <w:start w:w="0" w:type="dxa"/>
            <w:bottom w:w="0" w:type="dxa"/>
            <w:end w:w="0" w:type="dxa"/>
          </w:tcMar>
          <w:vAlign w:val="center"/>
        </w:tcPr>
        <w:p>
          <w:pPr>
            <w:spacing w:after="0"/>
          </w:pPr>
          <w:r>
            <w:rPr>
              <w:rFonts w:ascii="Calibri" w:hAnsi="Calibri" w:eastAsia="Calibri"/>
              <w:b w:val="0"/>
              <w:i w:val="0"/>
              <w:color w:val="666666"/>
              <w:sz w:val="16"/>
            </w:rPr>
            <w:t>Verified implementation · 10 August 2026</w:t>
          </w:r>
        </w:p>
      </w:tc>
      <w:tc>
        <w:tcPr>
          <w:tcW w:type="dxa" w:w="2360"/>
          <w:tcMar>
            <w:top w:w="0" w:type="dxa"/>
            <w:start w:w="0" w:type="dxa"/>
            <w:bottom w:w="0" w:type="dxa"/>
            <w:end w:w="0" w:type="dxa"/>
          </w:tcMar>
          <w:vAlign w:val="center"/>
        </w:tcPr>
        <w:p>
          <w:pPr>
            <w:spacing w:after="0"/>
            <w:jc w:val="right"/>
          </w:pPr>
          <w:r>
            <w:rPr>
              <w:rFonts w:ascii="Calibri" w:hAnsi="Calibri" w:eastAsia="Calibri"/>
              <w:b w:val="0"/>
              <w:i w:val="0"/>
              <w:color w:val="666666"/>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spacing w:after="0"/>
          </w:pPr>
          <w:r>
            <w:rPr>
              <w:rFonts w:ascii="Calibri" w:hAnsi="Calibri" w:eastAsia="Calibri"/>
              <w:b/>
              <w:i w:val="0"/>
              <w:color w:val="1F4D78"/>
              <w:sz w:val="16"/>
            </w:rPr>
            <w:t>ARGUS UNIFIED | IMPLEMENTATION REPORT</w:t>
          </w:r>
        </w:p>
      </w:tc>
      <w:tc>
        <w:tcPr>
          <w:tcW w:type="dxa" w:w="4680"/>
          <w:tcMar>
            <w:top w:w="0" w:type="dxa"/>
            <w:start w:w="0" w:type="dxa"/>
            <w:bottom w:w="0" w:type="dxa"/>
            <w:end w:w="0" w:type="dxa"/>
          </w:tcMar>
          <w:vAlign w:val="center"/>
        </w:tcPr>
        <w:p>
          <w:pPr>
            <w:spacing w:after="0"/>
            <w:jc w:val="right"/>
          </w:pPr>
          <w:r>
            <w:rPr>
              <w:rFonts w:ascii="Calibri" w:hAnsi="Calibri" w:eastAsia="Calibri"/>
              <w:b/>
              <w:i w:val="0"/>
              <w:color w:val="666666"/>
              <w:sz w:val="16"/>
            </w:rPr>
            <w:t>OSINT INVESTIGATION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80/01621459.1969.10501049" TargetMode="External"/><Relationship Id="rId13" Type="http://schemas.openxmlformats.org/officeDocument/2006/relationships/hyperlink" Target="https://doi.org/10.5169/seals-266450" TargetMode="External"/><Relationship Id="rId14" Type="http://schemas.openxmlformats.org/officeDocument/2006/relationships/hyperlink" Target="https://github.com/smicallef/spiderfoot" TargetMode="External"/><Relationship Id="rId15" Type="http://schemas.openxmlformats.org/officeDocument/2006/relationships/hyperlink" Target="https://www.maltego.com/transform-hub/" TargetMode="External"/><Relationship Id="rId16" Type="http://schemas.openxmlformats.org/officeDocument/2006/relationships/hyperlink" Target="https://docs.maltego.com/en/support/solutions/articles/15000009613-running-transforms" TargetMode="External"/><Relationship Id="rId17" Type="http://schemas.openxmlformats.org/officeDocument/2006/relationships/hyperlink" Target="https://docs.maltego.com/en/support/solutions/articles/15000010791-collaboration" TargetMode="External"/><Relationship Id="rId18" Type="http://schemas.openxmlformats.org/officeDocument/2006/relationships/hyperlink" Target="https://github.com/sherlock-project/sherlock" TargetMode="External"/><Relationship Id="rId19" Type="http://schemas.openxmlformats.org/officeDocument/2006/relationships/hyperlink" Target="https://github.com/soxoj/maigret" TargetMode="External"/><Relationship Id="rIdSvg1" Type="http://schemas.openxmlformats.org/officeDocument/2006/relationships/image" Target="media/osint-investigation-flow.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 Investigation</dc:title>
  <dc:subject>Argus Unified verified implementation documentation</dc:subject>
  <dc:creator>Argus Unified Engineering</dc:creator>
  <cp:keywords>threat intelligence, OSINT, breach, Telegram, IOC, STIX</cp:keywords>
  <dc:description>generated by python-docx</dc:description>
  <cp:lastModifiedBy/>
  <cp:revision>1</cp:revision>
  <dcterms:created xsi:type="dcterms:W3CDTF">2013-12-23T23:15:00Z</dcterms:created>
  <dcterms:modified xsi:type="dcterms:W3CDTF">2013-12-23T23:15:00Z</dcterms:modified>
  <cp:category/>
</cp:coreProperties>
</file>