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MediTrack: A Multi-Stakeholder Mobile Health Platform with On-Device Clinical Analytics and Role-Based Security Architecture</w:t>
      </w:r>
    </w:p>
    <w:p>
      <w:pPr>
        <w:spacing w:after="80"/>
        <w:jc w:val="center"/>
      </w:pPr>
      <w:r>
        <w:rPr>
          <w:rFonts w:ascii="Times New Roman" w:hAnsi="Times New Roman"/>
          <w:sz w:val="24"/>
        </w:rPr>
        <w:t>[Author Name(s)]</w:t>
      </w:r>
    </w:p>
    <w:p>
      <w:pPr>
        <w:spacing w:after="80"/>
        <w:jc w:val="center"/>
      </w:pPr>
      <w:r>
        <w:rPr>
          <w:rFonts w:ascii="Times New Roman" w:hAnsi="Times New Roman"/>
          <w:i/>
          <w:sz w:val="20"/>
        </w:rPr>
        <w:t>[Department, University/Institution]</w:t>
      </w:r>
    </w:p>
    <w:p>
      <w:pPr>
        <w:spacing w:after="80"/>
        <w:jc w:val="center"/>
      </w:pPr>
      <w:r>
        <w:rPr>
          <w:rFonts w:ascii="Times New Roman" w:hAnsi="Times New Roman"/>
          <w:i/>
          <w:sz w:val="20"/>
        </w:rPr>
        <w:t>[City, Country]</w:t>
      </w:r>
    </w:p>
    <w:p>
      <w:pPr>
        <w:spacing w:after="320"/>
        <w:jc w:val="center"/>
      </w:pPr>
      <w:r>
        <w:rPr>
          <w:rFonts w:ascii="Times New Roman" w:hAnsi="Times New Roman"/>
          <w:sz w:val="20"/>
        </w:rPr>
        <w:t>[email@institution.edu]</w:t>
      </w:r>
    </w:p>
    <w:p>
      <w:pPr>
        <w:spacing w:before="120" w:after="120"/>
      </w:pPr>
      <w:r>
        <w:rPr>
          <w:rFonts w:ascii="Times New Roman" w:hAnsi="Times New Roman"/>
          <w:b/>
          <w:i/>
          <w:sz w:val="20"/>
        </w:rPr>
        <w:t>Abstract</w:t>
      </w:r>
      <w:r>
        <w:rPr>
          <w:rFonts w:ascii="Times New Roman" w:hAnsi="Times New Roman"/>
          <w:i/>
          <w:sz w:val="18"/>
        </w:rPr>
        <w:t xml:space="preserve"> — Mobile health (mHealth) applications have emerged as critical tools for chronic disease management, yet most existing solutions address only a single stakeholder—typically the patient—leaving fragmented workflows between patients, physicians, pharmacies, and administrators. This paper presents MediTrack, a comprehensive multi-stakeholder Android-based health management platform that unifies medication tracking, vital sign monitoring, clinical decision support, pharmacy inventory management, and real-time doctor-patient communication under a single, security-hardened architecture. MediTrack employs a modular Model-View-ViewModel (MVVM) architecture with Hilt-based dependency injection, backed by Firebase cloud services for real-time data synchronization. A novel contribution is the on-device health analytics pipeline, comprising five interconnected engines—RiskScoreEngine, TrendPredictionEngine, VitalAlertEngine, HealthInsightEngine, and UnifiedAlertPrioritizer—that perform composite risk scoring, consecutive-trend detection, threshold-based vital alerting, and personalized health suggestions without requiring server-side computation. The platform enforces a fine-grained role-based access control (RBAC) model with server-side Firestore security rules spanning 540 lines, implementing immutable audit trails, state-machine-validated order workflows, and cross-tenant data isolation. We detail the system architecture, security model, analytics pipeline, and multi-role workflows, and evaluate the platform through quantitative codebase metrics and a comparative feature analysis against existing mHealth applications. MediTrack demonstrates that a single mobile application can effectively serve the complete healthcare ecosystem while maintaining clinical data integrity and privacy through defense-in-depth security.</w:t>
      </w:r>
    </w:p>
    <w:p>
      <w:pPr>
        <w:spacing w:after="240"/>
      </w:pPr>
      <w:r>
        <w:rPr>
          <w:rFonts w:ascii="Times New Roman" w:hAnsi="Times New Roman"/>
          <w:b/>
          <w:i/>
          <w:sz w:val="18"/>
        </w:rPr>
        <w:t>Index Terms</w:t>
      </w:r>
      <w:r>
        <w:rPr>
          <w:rFonts w:ascii="Times New Roman" w:hAnsi="Times New Roman"/>
          <w:i/>
          <w:sz w:val="18"/>
        </w:rPr>
        <w:t xml:space="preserve"> — Mobile health, mHealth, clinical decision support, medication adherence, health analytics, role-based access control, Firebase, Android, MVVM architecture, pharmacy management.</w:t>
      </w:r>
    </w:p>
    <w:p>
      <w:pPr>
        <w:spacing w:after="160"/>
        <w:pBdr>
          <w:bottom w:val="single" w:sz="6" w:space="1" w:color="000000"/>
        </w:pBdr>
      </w:pPr>
    </w:p>
    <w:p>
      <w:pPr>
        <w:spacing w:before="320" w:after="160"/>
        <w:jc w:val="center"/>
      </w:pPr>
      <w:r>
        <w:rPr>
          <w:rFonts w:ascii="Times New Roman" w:hAnsi="Times New Roman"/>
          <w:b/>
          <w:sz w:val="20"/>
        </w:rPr>
        <w:t>I. INTRODUCTION</w:t>
      </w:r>
    </w:p>
    <w:p>
      <w:pPr>
        <w:spacing w:after="120"/>
        <w:ind w:firstLine="425"/>
      </w:pPr>
      <w:r>
        <w:rPr>
          <w:rFonts w:ascii="Times New Roman" w:hAnsi="Times New Roman"/>
          <w:sz w:val="20"/>
        </w:rPr>
        <w:t>The proliferation of smartphones has created unprecedented opportunities for healthcare delivery through mobile applications. The global mobile health market, valued at $68.1 billion in 2024, is projected to reach $362.7 billion by 2032, driven by rising chronic disease burden, increasing smartphone penetration, and growing demand for patient-centric healthcare solutions [1]. Despite this growth, the mHealth landscape remains fragmented: medication reminder applications lack clinical oversight, electronic health record (EHR) systems provide limited patient engagement, and pharmacy platforms operate in isolation from clinical workflows.</w:t>
      </w:r>
    </w:p>
    <w:p>
      <w:pPr>
        <w:spacing w:after="120"/>
        <w:ind w:firstLine="425"/>
      </w:pPr>
      <w:r>
        <w:rPr>
          <w:rFonts w:ascii="Times New Roman" w:hAnsi="Times New Roman"/>
          <w:sz w:val="20"/>
        </w:rPr>
        <w:t>Current mHealth solutions suffer from three fundamental limitations. First, stakeholder fragmentation: most applications serve a single user role, forcing healthcare ecosystems to rely on multiple disconnected tools. A patient may use one application for medication reminders, another for health logging, and communicate with their physician through yet another platform. Second, limited on-device intelligence: health analytics typically require server-side processing or cloud-based machine learning services, introducing latency, privacy concerns, and connectivity dependencies. Third, insufficient security architectures: many mHealth applications rely solely on client-side validation, leaving clinical data vulnerable to unauthorized access and tampering.</w:t>
      </w:r>
    </w:p>
    <w:p>
      <w:pPr>
        <w:spacing w:after="120"/>
        <w:ind w:firstLine="425"/>
      </w:pPr>
      <w:r>
        <w:rPr>
          <w:rFonts w:ascii="Times New Roman" w:hAnsi="Times New Roman"/>
          <w:sz w:val="20"/>
        </w:rPr>
        <w:t>This paper presents MediTrack, a comprehensive mobile health platform designed to address these limitations through three principal contributions:</w:t>
      </w:r>
    </w:p>
    <w:p>
      <w:pPr>
        <w:spacing w:after="80"/>
        <w:ind w:left="567"/>
      </w:pPr>
      <w:r>
        <w:rPr>
          <w:rFonts w:ascii="Times New Roman" w:hAnsi="Times New Roman"/>
          <w:b/>
          <w:sz w:val="20"/>
        </w:rPr>
        <w:t xml:space="preserve">1) Multi-stakeholder architecture: </w:t>
      </w:r>
      <w:r>
        <w:rPr>
          <w:rFonts w:ascii="Times New Roman" w:hAnsi="Times New Roman"/>
          <w:sz w:val="20"/>
        </w:rPr>
        <w:t>A unified platform serving four distinct roles—Patient, Doctor, Pharmacy, and Administrator—with role-specific dashboards, workflows, and data access patterns, eliminating the need for multiple disconnected applications.</w:t>
      </w:r>
    </w:p>
    <w:p>
      <w:pPr>
        <w:spacing w:after="80"/>
        <w:ind w:left="567"/>
      </w:pPr>
      <w:r>
        <w:rPr>
          <w:rFonts w:ascii="Times New Roman" w:hAnsi="Times New Roman"/>
          <w:b/>
          <w:sz w:val="20"/>
        </w:rPr>
        <w:t xml:space="preserve">2) On-device health analytics pipeline: </w:t>
      </w:r>
      <w:r>
        <w:rPr>
          <w:rFonts w:ascii="Times New Roman" w:hAnsi="Times New Roman"/>
          <w:sz w:val="20"/>
        </w:rPr>
        <w:t>A modular analytics engine comprising five interconnected components that perform composite health risk scoring, trend prediction, vital threshold alerting, and personalized health suggestions entirely on the mobile device, enabling real-time clinical intelligence without cloud computation dependencies.</w:t>
      </w:r>
    </w:p>
    <w:p>
      <w:pPr>
        <w:spacing w:after="80"/>
        <w:ind w:left="567"/>
      </w:pPr>
      <w:r>
        <w:rPr>
          <w:rFonts w:ascii="Times New Roman" w:hAnsi="Times New Roman"/>
          <w:b/>
          <w:sz w:val="20"/>
        </w:rPr>
        <w:t xml:space="preserve">3) Defense-in-depth security model: </w:t>
      </w:r>
      <w:r>
        <w:rPr>
          <w:rFonts w:ascii="Times New Roman" w:hAnsi="Times New Roman"/>
          <w:sz w:val="20"/>
        </w:rPr>
        <w:t>A layered security architecture combining server-side Firestore security rules with role-based access control, immutable audit trails, state-machine-validated workflows, and cross-tenant data isolation, ensuring clinical data integrity and compliance with healthcare data protection principles.</w:t>
      </w:r>
    </w:p>
    <w:p>
      <w:pPr>
        <w:spacing w:after="160"/>
        <w:ind w:firstLine="425"/>
      </w:pPr>
      <w:r>
        <w:rPr>
          <w:rFonts w:ascii="Times New Roman" w:hAnsi="Times New Roman"/>
          <w:sz w:val="20"/>
        </w:rPr>
        <w:t>The remainder of this paper is organized as follows. Section II reviews related work in mHealth platforms, clinical decision support, and mobile security. Section III presents the overall system architecture. Section IV details the multi-role workflow design. Section V describes the on-device analytics pipeline. Section VI elaborates on the security architecture. Section VII presents the evaluation methodology and results. Section VIII discusses limitations and future work. Section IX concludes the paper.</w:t>
      </w:r>
    </w:p>
    <w:p>
      <w:pPr>
        <w:spacing w:before="320" w:after="160"/>
        <w:jc w:val="center"/>
      </w:pPr>
      <w:r>
        <w:rPr>
          <w:rFonts w:ascii="Times New Roman" w:hAnsi="Times New Roman"/>
          <w:b/>
          <w:sz w:val="20"/>
        </w:rPr>
        <w:t>II. RELATED WORK</w:t>
      </w:r>
    </w:p>
    <w:p>
      <w:pPr>
        <w:spacing w:before="200" w:after="80"/>
      </w:pPr>
      <w:r>
        <w:rPr>
          <w:rFonts w:ascii="Times New Roman" w:hAnsi="Times New Roman"/>
          <w:b/>
          <w:i/>
          <w:sz w:val="20"/>
        </w:rPr>
        <w:t>A. Mobile Health Platforms</w:t>
      </w:r>
    </w:p>
    <w:p>
      <w:pPr>
        <w:spacing w:after="120"/>
        <w:ind w:firstLine="425"/>
      </w:pPr>
      <w:r>
        <w:rPr>
          <w:rFonts w:ascii="Times New Roman" w:hAnsi="Times New Roman"/>
          <w:sz w:val="20"/>
        </w:rPr>
        <w:t>Mobile health applications have evolved from simple medication reminders to comprehensive health management platforms. Medisafe [2] pioneered cloud-synced medication tracking with family monitoring capabilities but lacks clinical decision support and pharmacy integration. MyTherapy [3] combines medication reminders with health journaling and offers healthcare provider reporting; however, it does not support real-time doctor-patient communication or multi-role access control. CareZone [4] integrates medication management with pharmacy features but operates as a patient-only application without clinical decision workflows.</w:t>
      </w:r>
    </w:p>
    <w:p>
      <w:pPr>
        <w:spacing w:after="120"/>
        <w:ind w:firstLine="425"/>
      </w:pPr>
      <w:r>
        <w:rPr>
          <w:rFonts w:ascii="Times New Roman" w:hAnsi="Times New Roman"/>
          <w:sz w:val="20"/>
        </w:rPr>
        <w:t>More comprehensive platforms have emerged in the clinical domain. Epic MyChart [5] extends electronic health records to mobile devices with appointment scheduling, messaging, and test results access. However, MyChart functions as a patient portal tethered to specific healthcare institutions rather than an independent platform, and it lacks on-device analytics or pharmacy inventory management. Apple Health [6] and Google Health Connect [7] provide health data aggregation frameworks but do not implement clinical workflows or multi-stakeholder interaction.</w:t>
      </w:r>
    </w:p>
    <w:p>
      <w:pPr>
        <w:spacing w:before="200" w:after="80"/>
      </w:pPr>
      <w:r>
        <w:rPr>
          <w:rFonts w:ascii="Times New Roman" w:hAnsi="Times New Roman"/>
          <w:b/>
          <w:i/>
          <w:sz w:val="20"/>
        </w:rPr>
        <w:t>B. Clinical Decision Support Systems</w:t>
      </w:r>
    </w:p>
    <w:p>
      <w:pPr>
        <w:spacing w:after="120"/>
        <w:ind w:firstLine="425"/>
      </w:pPr>
      <w:r>
        <w:rPr>
          <w:rFonts w:ascii="Times New Roman" w:hAnsi="Times New Roman"/>
          <w:sz w:val="20"/>
        </w:rPr>
        <w:t>Clinical decision support systems (CDSS) have been extensively studied in hospital settings [8]. Mobile CDSS implementations typically fall into two categories: rule-based systems that apply predefined clinical guidelines [9] and machine-learning-based systems that require cloud infrastructure [10]. MediTrack's approach occupies a middle ground: it implements evidence-based clinical rules (blood pressure staging per JNC guidelines, glucose thresholds per ADA standards) in a modular on-device pipeline that can operate without network connectivity.</w:t>
      </w:r>
    </w:p>
    <w:p>
      <w:pPr>
        <w:spacing w:after="120"/>
        <w:ind w:firstLine="425"/>
      </w:pPr>
      <w:r>
        <w:rPr>
          <w:rFonts w:ascii="Times New Roman" w:hAnsi="Times New Roman"/>
          <w:sz w:val="20"/>
        </w:rPr>
        <w:t>Recent work on mobile clinical analytics includes HealthAssist [11], which uses smartphone sensors for activity-based health predictions, and VitalConnect [12], which focuses on continuous vital sign monitoring from wearable devices. Unlike these specialized solutions, MediTrack's analytics pipeline processes user-reported health logs to generate composite risk scores, detect vital sign trends, and produce actionable health suggestions—functionality that does not require specialized hardware.</w:t>
      </w:r>
    </w:p>
    <w:p>
      <w:pPr>
        <w:spacing w:before="200" w:after="80"/>
      </w:pPr>
      <w:r>
        <w:rPr>
          <w:rFonts w:ascii="Times New Roman" w:hAnsi="Times New Roman"/>
          <w:b/>
          <w:i/>
          <w:sz w:val="20"/>
        </w:rPr>
        <w:t>C. Security in mHealth Applications</w:t>
      </w:r>
    </w:p>
    <w:p>
      <w:pPr>
        <w:spacing w:after="120"/>
        <w:ind w:firstLine="425"/>
      </w:pPr>
      <w:r>
        <w:rPr>
          <w:rFonts w:ascii="Times New Roman" w:hAnsi="Times New Roman"/>
          <w:sz w:val="20"/>
        </w:rPr>
        <w:t>Healthcare data security remains a critical concern in mHealth. A systematic review by Iwaya et al. [13] found that 80% of surveyed health applications had significant security vulnerabilities, including inadequate access control and unencrypted data storage. The OWASP Mobile Security Testing Guide [14] provides a framework for mobile application security assessment, emphasizing authentication, data storage, network communication, and platform interaction.</w:t>
      </w:r>
    </w:p>
    <w:p>
      <w:pPr>
        <w:spacing w:after="120"/>
        <w:ind w:firstLine="425"/>
      </w:pPr>
      <w:r>
        <w:rPr>
          <w:rFonts w:ascii="Times New Roman" w:hAnsi="Times New Roman"/>
          <w:sz w:val="20"/>
        </w:rPr>
        <w:t>Firebase Security Rules, used in MediTrack's backend, provide a declarative security model that is evaluated server-side, preventing client-side bypass [15]. While previous work has documented Firebase security patterns for general-purpose applications [16], this paper demonstrates their application to healthcare-specific requirements: immutable audit trails, state-machine-validated clinical workflows, and multi-tenant pharmacy data isolation.</w:t>
      </w:r>
    </w:p>
    <w:p>
      <w:pPr>
        <w:spacing w:before="200" w:after="80"/>
      </w:pPr>
      <w:r>
        <w:rPr>
          <w:rFonts w:ascii="Times New Roman" w:hAnsi="Times New Roman"/>
          <w:b/>
          <w:i/>
          <w:sz w:val="20"/>
        </w:rPr>
        <w:t>D. Comparison with Existing Solutions</w:t>
      </w:r>
    </w:p>
    <w:p>
      <w:pPr>
        <w:spacing w:after="120"/>
        <w:ind w:firstLine="425"/>
      </w:pPr>
      <w:r>
        <w:rPr>
          <w:rFonts w:ascii="Times New Roman" w:hAnsi="Times New Roman"/>
          <w:sz w:val="20"/>
        </w:rPr>
        <w:t>Table I summarizes the feature comparison between MediTrack and existing mHealth platforms, highlighting MediTrack's unique combination of multi-stakeholder support, on-device analytics, and comprehensive security architecture.</w:t>
      </w:r>
    </w:p>
    <w:p>
      <w:pPr>
        <w:spacing w:before="200" w:after="80"/>
        <w:jc w:val="center"/>
      </w:pPr>
      <w:r>
        <w:rPr>
          <w:rFonts w:ascii="Times New Roman" w:hAnsi="Times New Roman"/>
          <w:b/>
          <w:sz w:val="18"/>
        </w:rPr>
        <w:t xml:space="preserve">TABLE I: </w:t>
      </w:r>
      <w:r>
        <w:rPr>
          <w:rFonts w:ascii="Times New Roman" w:hAnsi="Times New Roman"/>
          <w:sz w:val="18"/>
        </w:rPr>
        <w:t>FEATURE COMPARISON OF MHEALTH PLATFORMS</w:t>
      </w:r>
    </w:p>
    <w:tbl>
      <w:tblPr>
        <w:tblStyle w:val="TableGrid"/>
        <w:tblW w:type="auto" w:w="0"/>
        <w:jc w:val="center"/>
        <w:tblLook w:firstColumn="1" w:firstRow="1" w:lastColumn="0" w:lastRow="0" w:noHBand="0" w:noVBand="1" w:val="04A0"/>
      </w:tblPr>
      <w:tblGrid>
        <w:gridCol w:w="1439"/>
        <w:gridCol w:w="1439"/>
        <w:gridCol w:w="1439"/>
        <w:gridCol w:w="1439"/>
        <w:gridCol w:w="1439"/>
        <w:gridCol w:w="1439"/>
        <w:gridCol w:w="1439"/>
      </w:tblGrid>
      <w:tr>
        <w:tc>
          <w:tcPr>
            <w:tcW w:type="dxa" w:w="1439"/>
            <w:shd w:fill="D9E2F3" w:val="clear"/>
          </w:tcPr>
          <w:p>
            <w:pPr>
              <w:jc w:val="center"/>
            </w:pPr>
            <w:r/>
            <w:r>
              <w:rPr>
                <w:rFonts w:ascii="Times New Roman" w:hAnsi="Times New Roman"/>
                <w:b/>
                <w:sz w:val="17"/>
              </w:rPr>
              <w:t>Feature</w:t>
            </w:r>
          </w:p>
        </w:tc>
        <w:tc>
          <w:tcPr>
            <w:tcW w:type="dxa" w:w="1439"/>
            <w:shd w:fill="D9E2F3" w:val="clear"/>
          </w:tcPr>
          <w:p>
            <w:pPr>
              <w:jc w:val="center"/>
            </w:pPr>
            <w:r/>
            <w:r>
              <w:rPr>
                <w:rFonts w:ascii="Times New Roman" w:hAnsi="Times New Roman"/>
                <w:b/>
                <w:sz w:val="17"/>
              </w:rPr>
              <w:t>Medisafe</w:t>
            </w:r>
          </w:p>
        </w:tc>
        <w:tc>
          <w:tcPr>
            <w:tcW w:type="dxa" w:w="1439"/>
            <w:shd w:fill="D9E2F3" w:val="clear"/>
          </w:tcPr>
          <w:p>
            <w:pPr>
              <w:jc w:val="center"/>
            </w:pPr>
            <w:r/>
            <w:r>
              <w:rPr>
                <w:rFonts w:ascii="Times New Roman" w:hAnsi="Times New Roman"/>
                <w:b/>
                <w:sz w:val="17"/>
              </w:rPr>
              <w:t>MyTherapy</w:t>
            </w:r>
          </w:p>
        </w:tc>
        <w:tc>
          <w:tcPr>
            <w:tcW w:type="dxa" w:w="1439"/>
            <w:shd w:fill="D9E2F3" w:val="clear"/>
          </w:tcPr>
          <w:p>
            <w:pPr>
              <w:jc w:val="center"/>
            </w:pPr>
            <w:r/>
            <w:r>
              <w:rPr>
                <w:rFonts w:ascii="Times New Roman" w:hAnsi="Times New Roman"/>
                <w:b/>
                <w:sz w:val="17"/>
              </w:rPr>
              <w:t>Epic MyChart</w:t>
            </w:r>
          </w:p>
        </w:tc>
        <w:tc>
          <w:tcPr>
            <w:tcW w:type="dxa" w:w="1439"/>
            <w:shd w:fill="D9E2F3" w:val="clear"/>
          </w:tcPr>
          <w:p>
            <w:pPr>
              <w:jc w:val="center"/>
            </w:pPr>
            <w:r/>
            <w:r>
              <w:rPr>
                <w:rFonts w:ascii="Times New Roman" w:hAnsi="Times New Roman"/>
                <w:b/>
                <w:sz w:val="17"/>
              </w:rPr>
              <w:t>Apple Health</w:t>
            </w:r>
          </w:p>
        </w:tc>
        <w:tc>
          <w:tcPr>
            <w:tcW w:type="dxa" w:w="1439"/>
            <w:shd w:fill="D9E2F3" w:val="clear"/>
          </w:tcPr>
          <w:p>
            <w:pPr>
              <w:jc w:val="center"/>
            </w:pPr>
            <w:r/>
            <w:r>
              <w:rPr>
                <w:rFonts w:ascii="Times New Roman" w:hAnsi="Times New Roman"/>
                <w:b/>
                <w:sz w:val="17"/>
              </w:rPr>
              <w:t>CareZone</w:t>
            </w:r>
          </w:p>
        </w:tc>
        <w:tc>
          <w:tcPr>
            <w:tcW w:type="dxa" w:w="1439"/>
            <w:shd w:fill="D9E2F3" w:val="clear"/>
          </w:tcPr>
          <w:p>
            <w:pPr>
              <w:jc w:val="center"/>
            </w:pPr>
            <w:r/>
            <w:r>
              <w:rPr>
                <w:rFonts w:ascii="Times New Roman" w:hAnsi="Times New Roman"/>
                <w:b/>
                <w:sz w:val="17"/>
              </w:rPr>
              <w:t>MediTrack</w:t>
            </w:r>
          </w:p>
        </w:tc>
      </w:tr>
      <w:tr>
        <w:tc>
          <w:tcPr>
            <w:tcW w:type="dxa" w:w="1439"/>
          </w:tcPr>
          <w:p>
            <w:r/>
            <w:r>
              <w:rPr>
                <w:rFonts w:ascii="Times New Roman" w:hAnsi="Times New Roman"/>
                <w:sz w:val="17"/>
              </w:rPr>
              <w:t>Medication Tracking</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Health Vital Logging</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Limited</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Clinical Decision Support</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Limited</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Multi-Role RBAC</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On-Device Analytics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Limited</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Doctor-Patient Chat</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Pharmacy Integration</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Limited</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Appointment Management</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Prescription Versioning</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Offline Support</w:t>
            </w:r>
          </w:p>
        </w:tc>
        <w:tc>
          <w:tcPr>
            <w:tcW w:type="dxa" w:w="1439"/>
          </w:tcPr>
          <w:p>
            <w:pPr>
              <w:jc w:val="center"/>
            </w:pPr>
            <w:r/>
            <w:r>
              <w:rPr>
                <w:rFonts w:ascii="Times New Roman" w:hAnsi="Times New Roman"/>
                <w:sz w:val="17"/>
              </w:rPr>
              <w:t>Limited</w:t>
            </w:r>
          </w:p>
        </w:tc>
        <w:tc>
          <w:tcPr>
            <w:tcW w:type="dxa" w:w="1439"/>
          </w:tcPr>
          <w:p>
            <w:pPr>
              <w:jc w:val="center"/>
            </w:pPr>
            <w:r/>
            <w:r>
              <w:rPr>
                <w:rFonts w:ascii="Times New Roman" w:hAnsi="Times New Roman"/>
                <w:sz w:val="17"/>
              </w:rPr>
              <w:t>Limited</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Immutable Audit Trails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r>
        <w:tc>
          <w:tcPr>
            <w:tcW w:type="dxa" w:w="1439"/>
          </w:tcPr>
          <w:p>
            <w:r/>
            <w:r>
              <w:rPr>
                <w:rFonts w:ascii="Times New Roman" w:hAnsi="Times New Roman"/>
                <w:sz w:val="17"/>
              </w:rPr>
              <w:t>Risk Score Computation</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No</w:t>
            </w:r>
          </w:p>
        </w:tc>
        <w:tc>
          <w:tcPr>
            <w:tcW w:type="dxa" w:w="1439"/>
          </w:tcPr>
          <w:p>
            <w:pPr>
              <w:jc w:val="center"/>
            </w:pPr>
            <w:r/>
            <w:r>
              <w:rPr>
                <w:rFonts w:ascii="Times New Roman" w:hAnsi="Times New Roman"/>
                <w:sz w:val="17"/>
              </w:rPr>
              <w:t>Yes</w:t>
            </w:r>
          </w:p>
        </w:tc>
      </w:tr>
    </w:tbl>
    <w:p>
      <w:pPr>
        <w:spacing w:after="120"/>
      </w:pPr>
    </w:p>
    <w:p>
      <w:pPr>
        <w:spacing w:after="80"/>
      </w:pPr>
      <w:r>
        <w:rPr>
          <w:rFonts w:ascii="Times New Roman" w:hAnsi="Times New Roman"/>
          <w:sz w:val="20"/>
        </w:rPr>
        <w:t>* Within institutional deployment only.</w:t>
      </w:r>
    </w:p>
    <w:p>
      <w:pPr>
        <w:spacing w:before="320" w:after="160"/>
        <w:jc w:val="center"/>
      </w:pPr>
      <w:r>
        <w:rPr>
          <w:rFonts w:ascii="Times New Roman" w:hAnsi="Times New Roman"/>
          <w:b/>
          <w:sz w:val="20"/>
        </w:rPr>
        <w:t>III. SYSTEM ARCHITECTURE</w:t>
      </w:r>
    </w:p>
    <w:p>
      <w:pPr>
        <w:spacing w:before="200" w:after="80"/>
      </w:pPr>
      <w:r>
        <w:rPr>
          <w:rFonts w:ascii="Times New Roman" w:hAnsi="Times New Roman"/>
          <w:b/>
          <w:i/>
          <w:sz w:val="20"/>
        </w:rPr>
        <w:t>A. Architectural Overview</w:t>
      </w:r>
    </w:p>
    <w:p>
      <w:pPr>
        <w:spacing w:after="120"/>
        <w:ind w:firstLine="425"/>
      </w:pPr>
      <w:r>
        <w:rPr>
          <w:rFonts w:ascii="Times New Roman" w:hAnsi="Times New Roman"/>
          <w:sz w:val="20"/>
        </w:rPr>
        <w:t>MediTrack follows the Model-View-ViewModel (MVVM) architectural pattern, a well-established design for Android applications that promotes separation of concerns, testability, and lifecycle awareness. Fig. 1 illustrates the high-level system architecture, comprising four principal layers: Presentation, Domain, Data, and Infrastructure.</w:t>
      </w:r>
    </w:p>
    <w:p>
      <w:pPr>
        <w:spacing w:before="240"/>
        <w:jc w:val="center"/>
      </w:pPr>
      <w:r>
        <w:rPr>
          <w:rFonts w:ascii="Times New Roman" w:hAnsi="Times New Roman"/>
          <w:b/>
          <w:color w:val="B40000"/>
          <w:sz w:val="22"/>
        </w:rPr>
        <w:t>[INSERT FIGURE 1 HERE]</w:t>
      </w:r>
    </w:p>
    <w:p>
      <w:pPr>
        <w:spacing w:after="200"/>
        <w:jc w:val="center"/>
      </w:pPr>
      <w:r>
        <w:rPr>
          <w:rFonts w:ascii="Times New Roman" w:hAnsi="Times New Roman"/>
          <w:b/>
          <w:sz w:val="18"/>
        </w:rPr>
        <w:t xml:space="preserve">Fig. 1. </w:t>
      </w:r>
      <w:r>
        <w:rPr>
          <w:rFonts w:ascii="Times New Roman" w:hAnsi="Times New Roman"/>
          <w:sz w:val="18"/>
        </w:rPr>
        <w:t>MediTrack system architecture showing the four-layer MVVM design with Firebase infrastructure.</w:t>
      </w:r>
    </w:p>
    <w:p>
      <w:pPr>
        <w:spacing w:after="120"/>
        <w:ind w:firstLine="425"/>
      </w:pPr>
      <w:r>
        <w:rPr>
          <w:rFonts w:ascii="Times New Roman" w:hAnsi="Times New Roman"/>
          <w:sz w:val="20"/>
        </w:rPr>
        <w:t>The Presentation Layer consists of 33 Activity classes utilizing ViewBinding for type-safe view references, driven by 22 ViewModels that expose UI state through LiveData observables. The Domain Layer houses use cases that orchestrate complex multi-repository operations. The Data Layer comprises 14 repositories serving as the single source of truth, bridging ViewModels to the Infrastructure Layer. The Infrastructure Layer is built upon Firebase services including Firestore (17 collections), Firebase Authentication, and Firebase Storage.</w:t>
      </w:r>
    </w:p>
    <w:p>
      <w:pPr>
        <w:spacing w:before="200" w:after="80"/>
      </w:pPr>
      <w:r>
        <w:rPr>
          <w:rFonts w:ascii="Times New Roman" w:hAnsi="Times New Roman"/>
          <w:b/>
          <w:i/>
          <w:sz w:val="20"/>
        </w:rPr>
        <w:t>B. Technology Stack</w:t>
      </w:r>
    </w:p>
    <w:p>
      <w:pPr>
        <w:spacing w:after="120"/>
        <w:ind w:firstLine="425"/>
      </w:pPr>
      <w:r>
        <w:rPr>
          <w:rFonts w:ascii="Times New Roman" w:hAnsi="Times New Roman"/>
          <w:sz w:val="20"/>
        </w:rPr>
        <w:t>Table II summarizes the key technologies employed in MediTrack.</w:t>
      </w:r>
    </w:p>
    <w:p>
      <w:pPr>
        <w:spacing w:before="200" w:after="80"/>
        <w:jc w:val="center"/>
      </w:pPr>
      <w:r>
        <w:rPr>
          <w:rFonts w:ascii="Times New Roman" w:hAnsi="Times New Roman"/>
          <w:b/>
          <w:sz w:val="18"/>
        </w:rPr>
        <w:t xml:space="preserve">TABLE II: </w:t>
      </w:r>
      <w:r>
        <w:rPr>
          <w:rFonts w:ascii="Times New Roman" w:hAnsi="Times New Roman"/>
          <w:sz w:val="18"/>
        </w:rPr>
        <w:t>TECHNOLOGY STACK</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D9E2F3" w:val="clear"/>
          </w:tcPr>
          <w:p>
            <w:pPr>
              <w:jc w:val="center"/>
            </w:pPr>
            <w:r/>
            <w:r>
              <w:rPr>
                <w:rFonts w:ascii="Times New Roman" w:hAnsi="Times New Roman"/>
                <w:b/>
                <w:sz w:val="17"/>
              </w:rPr>
              <w:t>Component</w:t>
            </w:r>
          </w:p>
        </w:tc>
        <w:tc>
          <w:tcPr>
            <w:tcW w:type="dxa" w:w="3358"/>
            <w:shd w:fill="D9E2F3" w:val="clear"/>
          </w:tcPr>
          <w:p>
            <w:pPr>
              <w:jc w:val="center"/>
            </w:pPr>
            <w:r/>
            <w:r>
              <w:rPr>
                <w:rFonts w:ascii="Times New Roman" w:hAnsi="Times New Roman"/>
                <w:b/>
                <w:sz w:val="17"/>
              </w:rPr>
              <w:t>Technology</w:t>
            </w:r>
          </w:p>
        </w:tc>
        <w:tc>
          <w:tcPr>
            <w:tcW w:type="dxa" w:w="3358"/>
            <w:shd w:fill="D9E2F3" w:val="clear"/>
          </w:tcPr>
          <w:p>
            <w:pPr>
              <w:jc w:val="center"/>
            </w:pPr>
            <w:r/>
            <w:r>
              <w:rPr>
                <w:rFonts w:ascii="Times New Roman" w:hAnsi="Times New Roman"/>
                <w:b/>
                <w:sz w:val="17"/>
              </w:rPr>
              <w:t>Purpose</w:t>
            </w:r>
          </w:p>
        </w:tc>
      </w:tr>
      <w:tr>
        <w:tc>
          <w:tcPr>
            <w:tcW w:type="dxa" w:w="3358"/>
          </w:tcPr>
          <w:p>
            <w:r/>
            <w:r>
              <w:rPr>
                <w:rFonts w:ascii="Times New Roman" w:hAnsi="Times New Roman"/>
                <w:sz w:val="17"/>
              </w:rPr>
              <w:t>Language</w:t>
            </w:r>
          </w:p>
        </w:tc>
        <w:tc>
          <w:tcPr>
            <w:tcW w:type="dxa" w:w="3358"/>
          </w:tcPr>
          <w:p>
            <w:pPr>
              <w:jc w:val="center"/>
            </w:pPr>
            <w:r/>
            <w:r>
              <w:rPr>
                <w:rFonts w:ascii="Times New Roman" w:hAnsi="Times New Roman"/>
                <w:sz w:val="17"/>
              </w:rPr>
              <w:t>Kotlin 2.1.0</w:t>
            </w:r>
          </w:p>
        </w:tc>
        <w:tc>
          <w:tcPr>
            <w:tcW w:type="dxa" w:w="3358"/>
          </w:tcPr>
          <w:p>
            <w:pPr>
              <w:jc w:val="center"/>
            </w:pPr>
            <w:r/>
            <w:r>
              <w:rPr>
                <w:rFonts w:ascii="Times New Roman" w:hAnsi="Times New Roman"/>
                <w:sz w:val="17"/>
              </w:rPr>
              <w:t>Primary development language</w:t>
            </w:r>
          </w:p>
        </w:tc>
      </w:tr>
      <w:tr>
        <w:tc>
          <w:tcPr>
            <w:tcW w:type="dxa" w:w="3358"/>
          </w:tcPr>
          <w:p>
            <w:r/>
            <w:r>
              <w:rPr>
                <w:rFonts w:ascii="Times New Roman" w:hAnsi="Times New Roman"/>
                <w:sz w:val="17"/>
              </w:rPr>
              <w:t>Architecture</w:t>
            </w:r>
          </w:p>
        </w:tc>
        <w:tc>
          <w:tcPr>
            <w:tcW w:type="dxa" w:w="3358"/>
          </w:tcPr>
          <w:p>
            <w:pPr>
              <w:jc w:val="center"/>
            </w:pPr>
            <w:r/>
            <w:r>
              <w:rPr>
                <w:rFonts w:ascii="Times New Roman" w:hAnsi="Times New Roman"/>
                <w:sz w:val="17"/>
              </w:rPr>
              <w:t>MVVM + Clean Architecture</w:t>
            </w:r>
          </w:p>
        </w:tc>
        <w:tc>
          <w:tcPr>
            <w:tcW w:type="dxa" w:w="3358"/>
          </w:tcPr>
          <w:p>
            <w:pPr>
              <w:jc w:val="center"/>
            </w:pPr>
            <w:r/>
            <w:r>
              <w:rPr>
                <w:rFonts w:ascii="Times New Roman" w:hAnsi="Times New Roman"/>
                <w:sz w:val="17"/>
              </w:rPr>
              <w:t>Separation of concerns</w:t>
            </w:r>
          </w:p>
        </w:tc>
      </w:tr>
      <w:tr>
        <w:tc>
          <w:tcPr>
            <w:tcW w:type="dxa" w:w="3358"/>
          </w:tcPr>
          <w:p>
            <w:r/>
            <w:r>
              <w:rPr>
                <w:rFonts w:ascii="Times New Roman" w:hAnsi="Times New Roman"/>
                <w:sz w:val="17"/>
              </w:rPr>
              <w:t>DI Framework</w:t>
            </w:r>
          </w:p>
        </w:tc>
        <w:tc>
          <w:tcPr>
            <w:tcW w:type="dxa" w:w="3358"/>
          </w:tcPr>
          <w:p>
            <w:pPr>
              <w:jc w:val="center"/>
            </w:pPr>
            <w:r/>
            <w:r>
              <w:rPr>
                <w:rFonts w:ascii="Times New Roman" w:hAnsi="Times New Roman"/>
                <w:sz w:val="17"/>
              </w:rPr>
              <w:t>Hilt (Dagger) + KSP</w:t>
            </w:r>
          </w:p>
        </w:tc>
        <w:tc>
          <w:tcPr>
            <w:tcW w:type="dxa" w:w="3358"/>
          </w:tcPr>
          <w:p>
            <w:pPr>
              <w:jc w:val="center"/>
            </w:pPr>
            <w:r/>
            <w:r>
              <w:rPr>
                <w:rFonts w:ascii="Times New Roman" w:hAnsi="Times New Roman"/>
                <w:sz w:val="17"/>
              </w:rPr>
              <w:t>Compile-time dependency injection</w:t>
            </w:r>
          </w:p>
        </w:tc>
      </w:tr>
      <w:tr>
        <w:tc>
          <w:tcPr>
            <w:tcW w:type="dxa" w:w="3358"/>
          </w:tcPr>
          <w:p>
            <w:r/>
            <w:r>
              <w:rPr>
                <w:rFonts w:ascii="Times New Roman" w:hAnsi="Times New Roman"/>
                <w:sz w:val="17"/>
              </w:rPr>
              <w:t>Backend</w:t>
            </w:r>
          </w:p>
        </w:tc>
        <w:tc>
          <w:tcPr>
            <w:tcW w:type="dxa" w:w="3358"/>
          </w:tcPr>
          <w:p>
            <w:pPr>
              <w:jc w:val="center"/>
            </w:pPr>
            <w:r/>
            <w:r>
              <w:rPr>
                <w:rFonts w:ascii="Times New Roman" w:hAnsi="Times New Roman"/>
                <w:sz w:val="17"/>
              </w:rPr>
              <w:t>Firebase (Firestore, Auth, Storage)</w:t>
            </w:r>
          </w:p>
        </w:tc>
        <w:tc>
          <w:tcPr>
            <w:tcW w:type="dxa" w:w="3358"/>
          </w:tcPr>
          <w:p>
            <w:pPr>
              <w:jc w:val="center"/>
            </w:pPr>
            <w:r/>
            <w:r>
              <w:rPr>
                <w:rFonts w:ascii="Times New Roman" w:hAnsi="Times New Roman"/>
                <w:sz w:val="17"/>
              </w:rPr>
              <w:t>Cloud data, authentication, file storage</w:t>
            </w:r>
          </w:p>
        </w:tc>
      </w:tr>
      <w:tr>
        <w:tc>
          <w:tcPr>
            <w:tcW w:type="dxa" w:w="3358"/>
          </w:tcPr>
          <w:p>
            <w:r/>
            <w:r>
              <w:rPr>
                <w:rFonts w:ascii="Times New Roman" w:hAnsi="Times New Roman"/>
                <w:sz w:val="17"/>
              </w:rPr>
              <w:t>Async</w:t>
            </w:r>
          </w:p>
        </w:tc>
        <w:tc>
          <w:tcPr>
            <w:tcW w:type="dxa" w:w="3358"/>
          </w:tcPr>
          <w:p>
            <w:pPr>
              <w:jc w:val="center"/>
            </w:pPr>
            <w:r/>
            <w:r>
              <w:rPr>
                <w:rFonts w:ascii="Times New Roman" w:hAnsi="Times New Roman"/>
                <w:sz w:val="17"/>
              </w:rPr>
              <w:t>Kotlin Coroutines + Flow</w:t>
            </w:r>
          </w:p>
        </w:tc>
        <w:tc>
          <w:tcPr>
            <w:tcW w:type="dxa" w:w="3358"/>
          </w:tcPr>
          <w:p>
            <w:pPr>
              <w:jc w:val="center"/>
            </w:pPr>
            <w:r/>
            <w:r>
              <w:rPr>
                <w:rFonts w:ascii="Times New Roman" w:hAnsi="Times New Roman"/>
                <w:sz w:val="17"/>
              </w:rPr>
              <w:t>Reactive asynchronous programming</w:t>
            </w:r>
          </w:p>
        </w:tc>
      </w:tr>
      <w:tr>
        <w:tc>
          <w:tcPr>
            <w:tcW w:type="dxa" w:w="3358"/>
          </w:tcPr>
          <w:p>
            <w:r/>
            <w:r>
              <w:rPr>
                <w:rFonts w:ascii="Times New Roman" w:hAnsi="Times New Roman"/>
                <w:sz w:val="17"/>
              </w:rPr>
              <w:t>UI Binding</w:t>
            </w:r>
          </w:p>
        </w:tc>
        <w:tc>
          <w:tcPr>
            <w:tcW w:type="dxa" w:w="3358"/>
          </w:tcPr>
          <w:p>
            <w:pPr>
              <w:jc w:val="center"/>
            </w:pPr>
            <w:r/>
            <w:r>
              <w:rPr>
                <w:rFonts w:ascii="Times New Roman" w:hAnsi="Times New Roman"/>
                <w:sz w:val="17"/>
              </w:rPr>
              <w:t>ViewBinding</w:t>
            </w:r>
          </w:p>
        </w:tc>
        <w:tc>
          <w:tcPr>
            <w:tcW w:type="dxa" w:w="3358"/>
          </w:tcPr>
          <w:p>
            <w:pPr>
              <w:jc w:val="center"/>
            </w:pPr>
            <w:r/>
            <w:r>
              <w:rPr>
                <w:rFonts w:ascii="Times New Roman" w:hAnsi="Times New Roman"/>
                <w:sz w:val="17"/>
              </w:rPr>
              <w:t>Type-safe view references</w:t>
            </w:r>
          </w:p>
        </w:tc>
      </w:tr>
      <w:tr>
        <w:tc>
          <w:tcPr>
            <w:tcW w:type="dxa" w:w="3358"/>
          </w:tcPr>
          <w:p>
            <w:r/>
            <w:r>
              <w:rPr>
                <w:rFonts w:ascii="Times New Roman" w:hAnsi="Times New Roman"/>
                <w:sz w:val="17"/>
              </w:rPr>
              <w:t>Charts</w:t>
            </w:r>
          </w:p>
        </w:tc>
        <w:tc>
          <w:tcPr>
            <w:tcW w:type="dxa" w:w="3358"/>
          </w:tcPr>
          <w:p>
            <w:pPr>
              <w:jc w:val="center"/>
            </w:pPr>
            <w:r/>
            <w:r>
              <w:rPr>
                <w:rFonts w:ascii="Times New Roman" w:hAnsi="Times New Roman"/>
                <w:sz w:val="17"/>
              </w:rPr>
              <w:t>MPAndroidChart</w:t>
            </w:r>
          </w:p>
        </w:tc>
        <w:tc>
          <w:tcPr>
            <w:tcW w:type="dxa" w:w="3358"/>
          </w:tcPr>
          <w:p>
            <w:pPr>
              <w:jc w:val="center"/>
            </w:pPr>
            <w:r/>
            <w:r>
              <w:rPr>
                <w:rFonts w:ascii="Times New Roman" w:hAnsi="Times New Roman"/>
                <w:sz w:val="17"/>
              </w:rPr>
              <w:t>Health data visualization</w:t>
            </w:r>
          </w:p>
        </w:tc>
      </w:tr>
      <w:tr>
        <w:tc>
          <w:tcPr>
            <w:tcW w:type="dxa" w:w="3358"/>
          </w:tcPr>
          <w:p>
            <w:r/>
            <w:r>
              <w:rPr>
                <w:rFonts w:ascii="Times New Roman" w:hAnsi="Times New Roman"/>
                <w:sz w:val="17"/>
              </w:rPr>
              <w:t>Background</w:t>
            </w:r>
          </w:p>
        </w:tc>
        <w:tc>
          <w:tcPr>
            <w:tcW w:type="dxa" w:w="3358"/>
          </w:tcPr>
          <w:p>
            <w:pPr>
              <w:jc w:val="center"/>
            </w:pPr>
            <w:r/>
            <w:r>
              <w:rPr>
                <w:rFonts w:ascii="Times New Roman" w:hAnsi="Times New Roman"/>
                <w:sz w:val="17"/>
              </w:rPr>
              <w:t>WorkManager</w:t>
            </w:r>
          </w:p>
        </w:tc>
        <w:tc>
          <w:tcPr>
            <w:tcW w:type="dxa" w:w="3358"/>
          </w:tcPr>
          <w:p>
            <w:pPr>
              <w:jc w:val="center"/>
            </w:pPr>
            <w:r/>
            <w:r>
              <w:rPr>
                <w:rFonts w:ascii="Times New Roman" w:hAnsi="Times New Roman"/>
                <w:sz w:val="17"/>
              </w:rPr>
              <w:t>Periodic data synchronization</w:t>
            </w:r>
          </w:p>
        </w:tc>
      </w:tr>
      <w:tr>
        <w:tc>
          <w:tcPr>
            <w:tcW w:type="dxa" w:w="3358"/>
          </w:tcPr>
          <w:p>
            <w:r/>
            <w:r>
              <w:rPr>
                <w:rFonts w:ascii="Times New Roman" w:hAnsi="Times New Roman"/>
                <w:sz w:val="17"/>
              </w:rPr>
              <w:t>Alarms</w:t>
            </w:r>
          </w:p>
        </w:tc>
        <w:tc>
          <w:tcPr>
            <w:tcW w:type="dxa" w:w="3358"/>
          </w:tcPr>
          <w:p>
            <w:pPr>
              <w:jc w:val="center"/>
            </w:pPr>
            <w:r/>
            <w:r>
              <w:rPr>
                <w:rFonts w:ascii="Times New Roman" w:hAnsi="Times New Roman"/>
                <w:sz w:val="17"/>
              </w:rPr>
              <w:t>AlarmManager + ForegroundService</w:t>
            </w:r>
          </w:p>
        </w:tc>
        <w:tc>
          <w:tcPr>
            <w:tcW w:type="dxa" w:w="3358"/>
          </w:tcPr>
          <w:p>
            <w:pPr>
              <w:jc w:val="center"/>
            </w:pPr>
            <w:r/>
            <w:r>
              <w:rPr>
                <w:rFonts w:ascii="Times New Roman" w:hAnsi="Times New Roman"/>
                <w:sz w:val="17"/>
              </w:rPr>
              <w:t>Medication reminder delivery</w:t>
            </w:r>
          </w:p>
        </w:tc>
      </w:tr>
      <w:tr>
        <w:tc>
          <w:tcPr>
            <w:tcW w:type="dxa" w:w="3358"/>
          </w:tcPr>
          <w:p>
            <w:r/>
            <w:r>
              <w:rPr>
                <w:rFonts w:ascii="Times New Roman" w:hAnsi="Times New Roman"/>
                <w:sz w:val="17"/>
              </w:rPr>
              <w:t>Offline</w:t>
            </w:r>
          </w:p>
        </w:tc>
        <w:tc>
          <w:tcPr>
            <w:tcW w:type="dxa" w:w="3358"/>
          </w:tcPr>
          <w:p>
            <w:pPr>
              <w:jc w:val="center"/>
            </w:pPr>
            <w:r/>
            <w:r>
              <w:rPr>
                <w:rFonts w:ascii="Times New Roman" w:hAnsi="Times New Roman"/>
                <w:sz w:val="17"/>
              </w:rPr>
              <w:t>Firestore PersistentCache (100 MB)</w:t>
            </w:r>
          </w:p>
        </w:tc>
        <w:tc>
          <w:tcPr>
            <w:tcW w:type="dxa" w:w="3358"/>
          </w:tcPr>
          <w:p>
            <w:pPr>
              <w:jc w:val="center"/>
            </w:pPr>
            <w:r/>
            <w:r>
              <w:rPr>
                <w:rFonts w:ascii="Times New Roman" w:hAnsi="Times New Roman"/>
                <w:sz w:val="17"/>
              </w:rPr>
              <w:t>Offline-first data access</w:t>
            </w:r>
          </w:p>
        </w:tc>
      </w:tr>
      <w:tr>
        <w:tc>
          <w:tcPr>
            <w:tcW w:type="dxa" w:w="3358"/>
          </w:tcPr>
          <w:p>
            <w:r/>
            <w:r>
              <w:rPr>
                <w:rFonts w:ascii="Times New Roman" w:hAnsi="Times New Roman"/>
                <w:sz w:val="17"/>
              </w:rPr>
              <w:t>Security</w:t>
            </w:r>
          </w:p>
        </w:tc>
        <w:tc>
          <w:tcPr>
            <w:tcW w:type="dxa" w:w="3358"/>
          </w:tcPr>
          <w:p>
            <w:pPr>
              <w:jc w:val="center"/>
            </w:pPr>
            <w:r/>
            <w:r>
              <w:rPr>
                <w:rFonts w:ascii="Times New Roman" w:hAnsi="Times New Roman"/>
                <w:sz w:val="17"/>
              </w:rPr>
              <w:t>Firestore Rules + EncryptedSharedPrefs</w:t>
            </w:r>
          </w:p>
        </w:tc>
        <w:tc>
          <w:tcPr>
            <w:tcW w:type="dxa" w:w="3358"/>
          </w:tcPr>
          <w:p>
            <w:pPr>
              <w:jc w:val="center"/>
            </w:pPr>
            <w:r/>
            <w:r>
              <w:rPr>
                <w:rFonts w:ascii="Times New Roman" w:hAnsi="Times New Roman"/>
                <w:sz w:val="17"/>
              </w:rPr>
              <w:t>Server-side + local encryption</w:t>
            </w:r>
          </w:p>
        </w:tc>
      </w:tr>
    </w:tbl>
    <w:p>
      <w:pPr>
        <w:spacing w:after="120"/>
      </w:pPr>
    </w:p>
    <w:p>
      <w:pPr>
        <w:spacing w:before="200" w:after="80"/>
      </w:pPr>
      <w:r>
        <w:rPr>
          <w:rFonts w:ascii="Times New Roman" w:hAnsi="Times New Roman"/>
          <w:b/>
          <w:i/>
          <w:sz w:val="20"/>
        </w:rPr>
        <w:t>C. Data Model</w:t>
      </w:r>
    </w:p>
    <w:p>
      <w:pPr>
        <w:spacing w:after="120"/>
        <w:ind w:firstLine="425"/>
      </w:pPr>
      <w:r>
        <w:rPr>
          <w:rFonts w:ascii="Times New Roman" w:hAnsi="Times New Roman"/>
          <w:sz w:val="20"/>
        </w:rPr>
        <w:t>MediTrack's data layer comprises 17 Firestore collections storing 17 distinct model types. The data model was designed with three principles: (i) denormalization for read performance, following Firestore best practices; (ii) immutability for audit-critical collections; and (iii) role-scoped access patterns. Fig. 2 presents the entity-relationship diagram for the core data model.</w:t>
      </w:r>
    </w:p>
    <w:p>
      <w:pPr>
        <w:spacing w:before="240"/>
        <w:jc w:val="center"/>
      </w:pPr>
      <w:r>
        <w:rPr>
          <w:rFonts w:ascii="Times New Roman" w:hAnsi="Times New Roman"/>
          <w:b/>
          <w:color w:val="B40000"/>
          <w:sz w:val="22"/>
        </w:rPr>
        <w:t>[INSERT FIGURE 2 HERE]</w:t>
      </w:r>
    </w:p>
    <w:p>
      <w:pPr>
        <w:spacing w:after="200"/>
        <w:jc w:val="center"/>
      </w:pPr>
      <w:r>
        <w:rPr>
          <w:rFonts w:ascii="Times New Roman" w:hAnsi="Times New Roman"/>
          <w:b/>
          <w:sz w:val="18"/>
        </w:rPr>
        <w:t xml:space="preserve">Fig. 2. </w:t>
      </w:r>
      <w:r>
        <w:rPr>
          <w:rFonts w:ascii="Times New Roman" w:hAnsi="Times New Roman"/>
          <w:sz w:val="18"/>
        </w:rPr>
        <w:t>Entity-relationship diagram of MediTrack's core data model showing relationships between Users, Health Logs, Medicines, Prescriptions, Appointments, Refill Orders, and Pharmacies.</w:t>
      </w:r>
    </w:p>
    <w:p>
      <w:pPr>
        <w:spacing w:after="120"/>
        <w:ind w:firstLine="425"/>
      </w:pPr>
      <w:r>
        <w:rPr>
          <w:rFonts w:ascii="Times New Roman" w:hAnsi="Times New Roman"/>
          <w:sz w:val="20"/>
        </w:rPr>
        <w:t>Key design decisions include:</w:t>
      </w:r>
    </w:p>
    <w:p>
      <w:pPr>
        <w:spacing w:after="80"/>
        <w:ind w:left="567"/>
      </w:pPr>
      <w:r>
        <w:rPr>
          <w:rFonts w:ascii="Times New Roman" w:hAnsi="Times New Roman"/>
          <w:b/>
          <w:sz w:val="20"/>
        </w:rPr>
        <w:t xml:space="preserve">• Prescriptions are never deleted: </w:t>
      </w:r>
      <w:r>
        <w:rPr>
          <w:rFonts w:ascii="Times New Roman" w:hAnsi="Times New Roman"/>
          <w:sz w:val="20"/>
        </w:rPr>
        <w:t>The prescriptions collection enforces deletion prevention at the Firestore rules level, preserving a complete audit trail of all medical prescriptions.</w:t>
      </w:r>
    </w:p>
    <w:p>
      <w:pPr>
        <w:spacing w:after="80"/>
        <w:ind w:left="567"/>
      </w:pPr>
      <w:r>
        <w:rPr>
          <w:rFonts w:ascii="Times New Roman" w:hAnsi="Times New Roman"/>
          <w:b/>
          <w:sz w:val="20"/>
        </w:rPr>
        <w:t xml:space="preserve">• Medicine intakes are immutable: </w:t>
      </w:r>
      <w:r>
        <w:rPr>
          <w:rFonts w:ascii="Times New Roman" w:hAnsi="Times New Roman"/>
          <w:sz w:val="20"/>
        </w:rPr>
        <w:t>Once a patient records taking a medication, the record cannot be modified or deleted, ensuring adherence data integrity.</w:t>
      </w:r>
    </w:p>
    <w:p>
      <w:pPr>
        <w:spacing w:after="80"/>
        <w:ind w:left="567"/>
      </w:pPr>
      <w:r>
        <w:rPr>
          <w:rFonts w:ascii="Times New Roman" w:hAnsi="Times New Roman"/>
          <w:b/>
          <w:sz w:val="20"/>
        </w:rPr>
        <w:t xml:space="preserve">• Multi-doctor support: </w:t>
      </w:r>
      <w:r>
        <w:rPr>
          <w:rFonts w:ascii="Times New Roman" w:hAnsi="Times New Roman"/>
          <w:sz w:val="20"/>
        </w:rPr>
        <w:t>Users maintain an assignedDoctors array, enabling multiple physicians to access a patient's records—reflecting the reality that patients often see multiple specialists.</w:t>
      </w:r>
    </w:p>
    <w:p>
      <w:pPr>
        <w:spacing w:before="200" w:after="80"/>
      </w:pPr>
      <w:r>
        <w:rPr>
          <w:rFonts w:ascii="Times New Roman" w:hAnsi="Times New Roman"/>
          <w:b/>
          <w:i/>
          <w:sz w:val="20"/>
        </w:rPr>
        <w:t>D. Dependency Injection Architecture</w:t>
      </w:r>
    </w:p>
    <w:p>
      <w:pPr>
        <w:spacing w:after="120"/>
        <w:ind w:firstLine="425"/>
      </w:pPr>
      <w:r>
        <w:rPr>
          <w:rFonts w:ascii="Times New Roman" w:hAnsi="Times New Roman"/>
          <w:sz w:val="20"/>
        </w:rPr>
        <w:t>MediTrack employs Hilt, Google's recommended dependency injection framework for Android, configured with two primary modules. FirebaseModule provides singleton instances of FirebaseAuth, FirebaseFirestore, and FirebaseStorage, ensuring a single connection pool throughout the application lifecycle. RepositoryModule binds all 14 repository implementations as singletons, receiving Firebase instances via constructor injection.</w:t>
      </w:r>
    </w:p>
    <w:p>
      <w:pPr>
        <w:spacing w:after="120"/>
        <w:ind w:firstLine="425"/>
      </w:pPr>
      <w:r>
        <w:rPr>
          <w:rFonts w:ascii="Times New Roman" w:hAnsi="Times New Roman"/>
          <w:sz w:val="20"/>
        </w:rPr>
        <w:t>ViewModels are annotated with @HiltViewModel and declare repository dependencies in their constructors, enabling automated injection. This architecture ensures that repositories maintain a single instance throughout the application lifecycle, preventing duplicate Firestore listeners and reducing memory consumption.</w:t>
      </w:r>
    </w:p>
    <w:p>
      <w:pPr>
        <w:spacing w:before="320" w:after="160"/>
        <w:jc w:val="center"/>
      </w:pPr>
      <w:r>
        <w:rPr>
          <w:rFonts w:ascii="Times New Roman" w:hAnsi="Times New Roman"/>
          <w:b/>
          <w:sz w:val="20"/>
        </w:rPr>
        <w:t>IV. MULTI-ROLE WORKFLOW DESIGN</w:t>
      </w:r>
    </w:p>
    <w:p>
      <w:pPr>
        <w:spacing w:before="200" w:after="80"/>
      </w:pPr>
      <w:r>
        <w:rPr>
          <w:rFonts w:ascii="Times New Roman" w:hAnsi="Times New Roman"/>
          <w:b/>
          <w:i/>
          <w:sz w:val="20"/>
        </w:rPr>
        <w:t>A. Role-Based Navigation</w:t>
      </w:r>
    </w:p>
    <w:p>
      <w:pPr>
        <w:spacing w:after="120"/>
        <w:ind w:firstLine="425"/>
      </w:pPr>
      <w:r>
        <w:rPr>
          <w:rFonts w:ascii="Times New Roman" w:hAnsi="Times New Roman"/>
          <w:sz w:val="20"/>
        </w:rPr>
        <w:t>MediTrack implements a four-role system reflecting the primary stakeholders in an outpatient healthcare ecosystem. Upon successful authentication, a RoleBasedNavigator component directs users to role-specific entry points based on their Firestore user document: PATIENT to HomeDashboardActivity, DOCTOR to DoctorDashboardActivity, ADMIN to AdminDashboardActivity, and PHARMACY to PharmacyDashboardActivity.</w:t>
      </w:r>
    </w:p>
    <w:p>
      <w:pPr>
        <w:spacing w:after="120"/>
        <w:ind w:firstLine="425"/>
      </w:pPr>
      <w:r>
        <w:rPr>
          <w:rFonts w:ascii="Times New Roman" w:hAnsi="Times New Roman"/>
          <w:sz w:val="20"/>
        </w:rPr>
        <w:t>Doctor and Pharmacy accounts require explicit administrator approval before accessing protected features. Unapproved accounts are directed to AccountPendingActivity, and the Firestore security rules enforce this requirement server-side through the isApproved() helper function, which explicitly checks for an 'APPROVED' status field—missing status values are never treated as approved.</w:t>
      </w:r>
    </w:p>
    <w:p>
      <w:pPr>
        <w:spacing w:before="240"/>
        <w:jc w:val="center"/>
      </w:pPr>
      <w:r>
        <w:rPr>
          <w:rFonts w:ascii="Times New Roman" w:hAnsi="Times New Roman"/>
          <w:b/>
          <w:color w:val="B40000"/>
          <w:sz w:val="22"/>
        </w:rPr>
        <w:t>[INSERT FIGURE 3 HERE]</w:t>
      </w:r>
    </w:p>
    <w:p>
      <w:pPr>
        <w:spacing w:after="200"/>
        <w:jc w:val="center"/>
      </w:pPr>
      <w:r>
        <w:rPr>
          <w:rFonts w:ascii="Times New Roman" w:hAnsi="Times New Roman"/>
          <w:b/>
          <w:sz w:val="18"/>
        </w:rPr>
        <w:t xml:space="preserve">Fig. 3. </w:t>
      </w:r>
      <w:r>
        <w:rPr>
          <w:rFonts w:ascii="Times New Roman" w:hAnsi="Times New Roman"/>
          <w:sz w:val="18"/>
        </w:rPr>
        <w:t>Role-based navigation flow showing authentication, role detection, approval verification, and role-specific dashboard routing for all four user types.</w:t>
      </w:r>
    </w:p>
    <w:p>
      <w:pPr>
        <w:spacing w:before="200" w:after="80"/>
      </w:pPr>
      <w:r>
        <w:rPr>
          <w:rFonts w:ascii="Times New Roman" w:hAnsi="Times New Roman"/>
          <w:b/>
          <w:i/>
          <w:sz w:val="20"/>
        </w:rPr>
        <w:t>B. Patient Workflows</w:t>
      </w:r>
    </w:p>
    <w:p>
      <w:pPr>
        <w:spacing w:after="120"/>
        <w:ind w:firstLine="425"/>
      </w:pPr>
      <w:r>
        <w:rPr>
          <w:rFonts w:ascii="Times New Roman" w:hAnsi="Times New Roman"/>
          <w:sz w:val="20"/>
        </w:rPr>
        <w:t>The patient role encompasses five primary workflows:</w:t>
      </w:r>
    </w:p>
    <w:p>
      <w:pPr>
        <w:spacing w:after="80"/>
        <w:ind w:left="283"/>
      </w:pPr>
      <w:r>
        <w:rPr>
          <w:rFonts w:ascii="Times New Roman" w:hAnsi="Times New Roman"/>
          <w:b/>
          <w:sz w:val="20"/>
        </w:rPr>
        <w:t xml:space="preserve">• Medication Management: </w:t>
      </w:r>
      <w:r>
        <w:rPr>
          <w:rFonts w:ascii="Times New Roman" w:hAnsi="Times New Roman"/>
          <w:sz w:val="20"/>
        </w:rPr>
        <w:t>Patients add medications with name, dosage, frequency, unit, and reminder times. The system schedules exact alarms via Android's AlarmManager, which trigger a chain of BroadcastReceiver, ForegroundService, and Notification with full-screen intent. Medication intake is tracked through an immutable medicineIntakes collection, and adherence percentage is computed in real-time. A BootReceiver reschedules all alarms after device restart.</w:t>
      </w:r>
    </w:p>
    <w:p>
      <w:pPr>
        <w:spacing w:after="80"/>
        <w:ind w:left="283"/>
      </w:pPr>
      <w:r>
        <w:rPr>
          <w:rFonts w:ascii="Times New Roman" w:hAnsi="Times New Roman"/>
          <w:b/>
          <w:sz w:val="20"/>
        </w:rPr>
        <w:t xml:space="preserve">• Health Vital Logging: </w:t>
      </w:r>
      <w:r>
        <w:rPr>
          <w:rFonts w:ascii="Times New Roman" w:hAnsi="Times New Roman"/>
          <w:sz w:val="20"/>
        </w:rPr>
        <w:t>Patients record vital signs including blood pressure (systolic/diastolic), heart rate, glucose level, temperature, weight, and oxygen saturation. Each entry can include symptom tags and free-text notes. Upon entry, the VitalAlertEngine evaluates readings against clinical thresholds and generates immediate alerts for abnormal values.</w:t>
      </w:r>
    </w:p>
    <w:p>
      <w:pPr>
        <w:spacing w:after="80"/>
        <w:ind w:left="283"/>
      </w:pPr>
      <w:r>
        <w:rPr>
          <w:rFonts w:ascii="Times New Roman" w:hAnsi="Times New Roman"/>
          <w:b/>
          <w:sz w:val="20"/>
        </w:rPr>
        <w:t xml:space="preserve">• Appointment Booking: </w:t>
      </w:r>
      <w:r>
        <w:rPr>
          <w:rFonts w:ascii="Times New Roman" w:hAnsi="Times New Roman"/>
          <w:sz w:val="20"/>
        </w:rPr>
        <w:t>Patients view available doctor time slots, book appointments (consultation, follow-up, emergency, or routine checkup), and receive appointment reminders. The system prevents double-booking through availability slot management.</w:t>
      </w:r>
    </w:p>
    <w:p>
      <w:pPr>
        <w:spacing w:after="80"/>
        <w:ind w:left="283"/>
      </w:pPr>
      <w:r>
        <w:rPr>
          <w:rFonts w:ascii="Times New Roman" w:hAnsi="Times New Roman"/>
          <w:b/>
          <w:sz w:val="20"/>
        </w:rPr>
        <w:t xml:space="preserve">• Medicine Refill Ordering: </w:t>
      </w:r>
      <w:r>
        <w:rPr>
          <w:rFonts w:ascii="Times New Roman" w:hAnsi="Times New Roman"/>
          <w:sz w:val="20"/>
        </w:rPr>
        <w:t>Patients can order medication refills through integrated pharmacies. The order lifecycle follows a state machine: PENDING → CONFIRMED → PREPARING → SHIPPED → DELIVERED, with server-side validation ensuring only valid transitions occur.</w:t>
      </w:r>
    </w:p>
    <w:p>
      <w:pPr>
        <w:spacing w:after="80"/>
        <w:ind w:left="283"/>
      </w:pPr>
      <w:r>
        <w:rPr>
          <w:rFonts w:ascii="Times New Roman" w:hAnsi="Times New Roman"/>
          <w:b/>
          <w:sz w:val="20"/>
        </w:rPr>
        <w:t xml:space="preserve">• Health Insights Dashboard: </w:t>
      </w:r>
      <w:r>
        <w:rPr>
          <w:rFonts w:ascii="Times New Roman" w:hAnsi="Times New Roman"/>
          <w:sz w:val="20"/>
        </w:rPr>
        <w:t>Patients access a risk dashboard displaying their composite health risk score (0-100), vital sign trends, personalized health suggestions, and active alerts—all computed on-device by the analytics pipeline.</w:t>
      </w:r>
    </w:p>
    <w:p>
      <w:pPr>
        <w:spacing w:before="200" w:after="80"/>
      </w:pPr>
      <w:r>
        <w:rPr>
          <w:rFonts w:ascii="Times New Roman" w:hAnsi="Times New Roman"/>
          <w:b/>
          <w:i/>
          <w:sz w:val="20"/>
        </w:rPr>
        <w:t>C. Doctor Workflows</w:t>
      </w:r>
    </w:p>
    <w:p>
      <w:pPr>
        <w:spacing w:after="80"/>
        <w:ind w:left="283"/>
      </w:pPr>
      <w:r>
        <w:rPr>
          <w:rFonts w:ascii="Times New Roman" w:hAnsi="Times New Roman"/>
          <w:b/>
          <w:sz w:val="20"/>
        </w:rPr>
        <w:t xml:space="preserve">• Patient Management: </w:t>
      </w:r>
      <w:r>
        <w:rPr>
          <w:rFonts w:ascii="Times New Roman" w:hAnsi="Times New Roman"/>
          <w:sz w:val="20"/>
        </w:rPr>
        <w:t>Doctors view a list of assigned patients with key indicators (latest vitals, adherence rate, risk category). Doctors can access patient health logs, medication lists, and intake history.</w:t>
      </w:r>
    </w:p>
    <w:p>
      <w:pPr>
        <w:spacing w:after="80"/>
        <w:ind w:left="283"/>
      </w:pPr>
      <w:r>
        <w:rPr>
          <w:rFonts w:ascii="Times New Roman" w:hAnsi="Times New Roman"/>
          <w:b/>
          <w:sz w:val="20"/>
        </w:rPr>
        <w:t xml:space="preserve">• Clinical Decision Support: </w:t>
      </w:r>
      <w:r>
        <w:rPr>
          <w:rFonts w:ascii="Times New Roman" w:hAnsi="Times New Roman"/>
          <w:sz w:val="20"/>
        </w:rPr>
        <w:t>Doctors create clinical decisions spanning seven types: Prescription, Follow-Up, Vital Alert, Recommendation, Diagnosis, Lab Order, and Lifestyle. Prescriptions include structured fields for medication name, dosage, frequency, route, unit, duration, and instructions, drawn from standardized medical reference lists.</w:t>
      </w:r>
    </w:p>
    <w:p>
      <w:pPr>
        <w:spacing w:after="80"/>
        <w:ind w:left="283"/>
      </w:pPr>
      <w:r>
        <w:rPr>
          <w:rFonts w:ascii="Times New Roman" w:hAnsi="Times New Roman"/>
          <w:b/>
          <w:sz w:val="20"/>
        </w:rPr>
        <w:t xml:space="preserve">• Prescription Management: </w:t>
      </w:r>
      <w:r>
        <w:rPr>
          <w:rFonts w:ascii="Times New Roman" w:hAnsi="Times New Roman"/>
          <w:sz w:val="20"/>
        </w:rPr>
        <w:t>Prescriptions follow a versioned lifecycle (ACTIVE → MODIFIED → STOPPED → COMPLETED). Each modification generates a VersionEntry recording changed fields, previous values, change notes, and the modifying physician—ensuring a complete history of prescription changes.</w:t>
      </w:r>
    </w:p>
    <w:p>
      <w:pPr>
        <w:spacing w:after="80"/>
        <w:ind w:left="283"/>
      </w:pPr>
      <w:r>
        <w:rPr>
          <w:rFonts w:ascii="Times New Roman" w:hAnsi="Times New Roman"/>
          <w:b/>
          <w:sz w:val="20"/>
        </w:rPr>
        <w:t xml:space="preserve">• Doctor Notes: </w:t>
      </w:r>
      <w:r>
        <w:rPr>
          <w:rFonts w:ascii="Times New Roman" w:hAnsi="Times New Roman"/>
          <w:sz w:val="20"/>
        </w:rPr>
        <w:t>Physicians can create public notes (visible to the patient) and private notes (visible only to the authoring doctor and administrators), supporting both patient communication and internal clinical documentation.</w:t>
      </w:r>
    </w:p>
    <w:p>
      <w:pPr>
        <w:spacing w:before="200" w:after="80"/>
      </w:pPr>
      <w:r>
        <w:rPr>
          <w:rFonts w:ascii="Times New Roman" w:hAnsi="Times New Roman"/>
          <w:b/>
          <w:i/>
          <w:sz w:val="20"/>
        </w:rPr>
        <w:t>D. Pharmacy Workflows</w:t>
      </w:r>
    </w:p>
    <w:p>
      <w:pPr>
        <w:spacing w:after="80"/>
        <w:ind w:left="283"/>
      </w:pPr>
      <w:r>
        <w:rPr>
          <w:rFonts w:ascii="Times New Roman" w:hAnsi="Times New Roman"/>
          <w:b/>
          <w:sz w:val="20"/>
        </w:rPr>
        <w:t xml:space="preserve">• Inventory Management: </w:t>
      </w:r>
      <w:r>
        <w:rPr>
          <w:rFonts w:ascii="Times New Roman" w:hAnsi="Times New Roman"/>
          <w:sz w:val="20"/>
        </w:rPr>
        <w:t>Pharmacies manage their medicine inventory with real-time stock tracking, including stock quantities, unit prices, expiry dates, batch numbers, and low-stock thresholds. Inventory items use a soft-delete pattern (isActive flag) to preserve historical references.</w:t>
      </w:r>
    </w:p>
    <w:p>
      <w:pPr>
        <w:spacing w:after="80"/>
        <w:ind w:left="283"/>
      </w:pPr>
      <w:r>
        <w:rPr>
          <w:rFonts w:ascii="Times New Roman" w:hAnsi="Times New Roman"/>
          <w:b/>
          <w:sz w:val="20"/>
        </w:rPr>
        <w:t xml:space="preserve">• Order Fulfillment: </w:t>
      </w:r>
      <w:r>
        <w:rPr>
          <w:rFonts w:ascii="Times New Roman" w:hAnsi="Times New Roman"/>
          <w:sz w:val="20"/>
        </w:rPr>
        <w:t>Pharmacies receive refill orders and advance them through the order state machine. The VerifyAndAcceptOrderUseCase handles prescription verification for controlled medications before allowing order acceptance.</w:t>
      </w:r>
    </w:p>
    <w:p>
      <w:pPr>
        <w:spacing w:after="80"/>
        <w:ind w:left="283"/>
      </w:pPr>
      <w:r>
        <w:rPr>
          <w:rFonts w:ascii="Times New Roman" w:hAnsi="Times New Roman"/>
          <w:b/>
          <w:sz w:val="20"/>
        </w:rPr>
        <w:t xml:space="preserve">• Transaction History: </w:t>
      </w:r>
      <w:r>
        <w:rPr>
          <w:rFonts w:ascii="Times New Roman" w:hAnsi="Times New Roman"/>
          <w:sz w:val="20"/>
        </w:rPr>
        <w:t>All completed order transactions are recorded immutably, including the amount, prescription verification status, and associated order and pharmacy identifiers.</w:t>
      </w:r>
    </w:p>
    <w:p>
      <w:pPr>
        <w:spacing w:before="200" w:after="80"/>
      </w:pPr>
      <w:r>
        <w:rPr>
          <w:rFonts w:ascii="Times New Roman" w:hAnsi="Times New Roman"/>
          <w:b/>
          <w:i/>
          <w:sz w:val="20"/>
        </w:rPr>
        <w:t>E. Administrator Workflows</w:t>
      </w:r>
    </w:p>
    <w:p>
      <w:pPr>
        <w:spacing w:after="120"/>
        <w:ind w:firstLine="425"/>
      </w:pPr>
      <w:r>
        <w:rPr>
          <w:rFonts w:ascii="Times New Roman" w:hAnsi="Times New Roman"/>
          <w:sz w:val="20"/>
        </w:rPr>
        <w:t>Administrators perform user management (approve/reject doctor and pharmacy accounts), monitor system activity through audit logs, and have read access to all orders. Critically, the ADMIN role cannot be created through client SDKs—the Firestore rules restrict user creation to PATIENT, DOCTOR, and PHARMACY roles, requiring server-side Firebase Admin SDK operations for admin account provisioning.</w:t>
      </w:r>
    </w:p>
    <w:p>
      <w:pPr>
        <w:spacing w:before="320" w:after="160"/>
        <w:jc w:val="center"/>
      </w:pPr>
      <w:r>
        <w:rPr>
          <w:rFonts w:ascii="Times New Roman" w:hAnsi="Times New Roman"/>
          <w:b/>
          <w:sz w:val="20"/>
        </w:rPr>
        <w:t>V. ON-DEVICE HEALTH ANALYTICS PIPELINE</w:t>
      </w:r>
    </w:p>
    <w:p>
      <w:pPr>
        <w:spacing w:before="200" w:after="80"/>
      </w:pPr>
      <w:r>
        <w:rPr>
          <w:rFonts w:ascii="Times New Roman" w:hAnsi="Times New Roman"/>
          <w:b/>
          <w:i/>
          <w:sz w:val="20"/>
        </w:rPr>
        <w:t>A. Pipeline Overview</w:t>
      </w:r>
    </w:p>
    <w:p>
      <w:pPr>
        <w:spacing w:after="120"/>
        <w:ind w:firstLine="425"/>
      </w:pPr>
      <w:r>
        <w:rPr>
          <w:rFonts w:ascii="Times New Roman" w:hAnsi="Times New Roman"/>
          <w:sz w:val="20"/>
        </w:rPr>
        <w:t>MediTrack's analytics pipeline is a central contribution of this work. Unlike cloud-dependent analytics systems, the pipeline executes entirely on-device, providing three key advantages: (i) zero-latency health insights, (ii) privacy preservation by keeping sensitive health data local during computation, and (iii) offline availability. The pipeline is orchestrated by the InsightEngine facade, which coordinates five specialized engines. Fig. 4 illustrates the pipeline architecture.</w:t>
      </w:r>
    </w:p>
    <w:p>
      <w:pPr>
        <w:spacing w:before="240"/>
        <w:jc w:val="center"/>
      </w:pPr>
      <w:r>
        <w:rPr>
          <w:rFonts w:ascii="Times New Roman" w:hAnsi="Times New Roman"/>
          <w:b/>
          <w:color w:val="B40000"/>
          <w:sz w:val="22"/>
        </w:rPr>
        <w:t>[INSERT FIGURE 4 HERE]</w:t>
      </w:r>
    </w:p>
    <w:p>
      <w:pPr>
        <w:spacing w:after="200"/>
        <w:jc w:val="center"/>
      </w:pPr>
      <w:r>
        <w:rPr>
          <w:rFonts w:ascii="Times New Roman" w:hAnsi="Times New Roman"/>
          <w:b/>
          <w:sz w:val="18"/>
        </w:rPr>
        <w:t xml:space="preserve">Fig. 4. </w:t>
      </w:r>
      <w:r>
        <w:rPr>
          <w:rFonts w:ascii="Times New Roman" w:hAnsi="Times New Roman"/>
          <w:sz w:val="18"/>
        </w:rPr>
        <w:t>On-device health analytics pipeline architecture showing the InsightEngine facade coordinating RiskScoreEngine, TrendPredictionEngine, VitalAlertEngine, HealthInsightEngine, and UnifiedAlertPrioritizer.</w:t>
      </w:r>
    </w:p>
    <w:p>
      <w:pPr>
        <w:spacing w:before="200" w:after="80"/>
      </w:pPr>
      <w:r>
        <w:rPr>
          <w:rFonts w:ascii="Times New Roman" w:hAnsi="Times New Roman"/>
          <w:b/>
          <w:i/>
          <w:sz w:val="20"/>
        </w:rPr>
        <w:t>B. RiskScoreEngine: Composite Health Risk Scoring</w:t>
      </w:r>
    </w:p>
    <w:p>
      <w:pPr>
        <w:spacing w:after="120"/>
        <w:ind w:firstLine="425"/>
      </w:pPr>
      <w:r>
        <w:rPr>
          <w:rFonts w:ascii="Times New Roman" w:hAnsi="Times New Roman"/>
          <w:sz w:val="20"/>
        </w:rPr>
        <w:t>The RiskScoreEngine computes a composite health risk score ranging from 0 to 100 through weighted multi-dimensional analysis. The score integrates four dimensions, each reflecting a distinct aspect of patient health. Table III details the dimension weights and descriptions.</w:t>
      </w:r>
    </w:p>
    <w:p>
      <w:pPr>
        <w:spacing w:before="200" w:after="80"/>
        <w:jc w:val="center"/>
      </w:pPr>
      <w:r>
        <w:rPr>
          <w:rFonts w:ascii="Times New Roman" w:hAnsi="Times New Roman"/>
          <w:b/>
          <w:sz w:val="18"/>
        </w:rPr>
        <w:t xml:space="preserve">TABLE III: </w:t>
      </w:r>
      <w:r>
        <w:rPr>
          <w:rFonts w:ascii="Times New Roman" w:hAnsi="Times New Roman"/>
          <w:sz w:val="18"/>
        </w:rPr>
        <w:t>RISK SCORE DIMENSION WEIGHTS</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D9E2F3" w:val="clear"/>
          </w:tcPr>
          <w:p>
            <w:pPr>
              <w:jc w:val="center"/>
            </w:pPr>
            <w:r/>
            <w:r>
              <w:rPr>
                <w:rFonts w:ascii="Times New Roman" w:hAnsi="Times New Roman"/>
                <w:b/>
                <w:sz w:val="17"/>
              </w:rPr>
              <w:t>Dimension</w:t>
            </w:r>
          </w:p>
        </w:tc>
        <w:tc>
          <w:tcPr>
            <w:tcW w:type="dxa" w:w="3358"/>
            <w:shd w:fill="D9E2F3" w:val="clear"/>
          </w:tcPr>
          <w:p>
            <w:pPr>
              <w:jc w:val="center"/>
            </w:pPr>
            <w:r/>
            <w:r>
              <w:rPr>
                <w:rFonts w:ascii="Times New Roman" w:hAnsi="Times New Roman"/>
                <w:b/>
                <w:sz w:val="17"/>
              </w:rPr>
              <w:t>Weight</w:t>
            </w:r>
          </w:p>
        </w:tc>
        <w:tc>
          <w:tcPr>
            <w:tcW w:type="dxa" w:w="3358"/>
            <w:shd w:fill="D9E2F3" w:val="clear"/>
          </w:tcPr>
          <w:p>
            <w:pPr>
              <w:jc w:val="center"/>
            </w:pPr>
            <w:r/>
            <w:r>
              <w:rPr>
                <w:rFonts w:ascii="Times New Roman" w:hAnsi="Times New Roman"/>
                <w:b/>
                <w:sz w:val="17"/>
              </w:rPr>
              <w:t>Description</w:t>
            </w:r>
          </w:p>
        </w:tc>
      </w:tr>
      <w:tr>
        <w:tc>
          <w:tcPr>
            <w:tcW w:type="dxa" w:w="3358"/>
          </w:tcPr>
          <w:p>
            <w:r/>
            <w:r>
              <w:rPr>
                <w:rFonts w:ascii="Times New Roman" w:hAnsi="Times New Roman"/>
                <w:sz w:val="17"/>
              </w:rPr>
              <w:t>Vital Signs (BP, HR, Glucose, Temp)</w:t>
            </w:r>
          </w:p>
        </w:tc>
        <w:tc>
          <w:tcPr>
            <w:tcW w:type="dxa" w:w="3358"/>
          </w:tcPr>
          <w:p>
            <w:pPr>
              <w:jc w:val="center"/>
            </w:pPr>
            <w:r/>
            <w:r>
              <w:rPr>
                <w:rFonts w:ascii="Times New Roman" w:hAnsi="Times New Roman"/>
                <w:sz w:val="17"/>
              </w:rPr>
              <w:t>40%</w:t>
            </w:r>
          </w:p>
        </w:tc>
        <w:tc>
          <w:tcPr>
            <w:tcW w:type="dxa" w:w="3358"/>
          </w:tcPr>
          <w:p>
            <w:pPr>
              <w:jc w:val="center"/>
            </w:pPr>
            <w:r/>
            <w:r>
              <w:rPr>
                <w:rFonts w:ascii="Times New Roman" w:hAnsi="Times New Roman"/>
                <w:sz w:val="17"/>
              </w:rPr>
              <w:t>Clinical thresholds based on medical guidelines</w:t>
            </w:r>
          </w:p>
        </w:tc>
      </w:tr>
      <w:tr>
        <w:tc>
          <w:tcPr>
            <w:tcW w:type="dxa" w:w="3358"/>
          </w:tcPr>
          <w:p>
            <w:r/>
            <w:r>
              <w:rPr>
                <w:rFonts w:ascii="Times New Roman" w:hAnsi="Times New Roman"/>
                <w:sz w:val="17"/>
              </w:rPr>
              <w:t>Medication Adherence</w:t>
            </w:r>
          </w:p>
        </w:tc>
        <w:tc>
          <w:tcPr>
            <w:tcW w:type="dxa" w:w="3358"/>
          </w:tcPr>
          <w:p>
            <w:pPr>
              <w:jc w:val="center"/>
            </w:pPr>
            <w:r/>
            <w:r>
              <w:rPr>
                <w:rFonts w:ascii="Times New Roman" w:hAnsi="Times New Roman"/>
                <w:sz w:val="17"/>
              </w:rPr>
              <w:t>25%</w:t>
            </w:r>
          </w:p>
        </w:tc>
        <w:tc>
          <w:tcPr>
            <w:tcW w:type="dxa" w:w="3358"/>
          </w:tcPr>
          <w:p>
            <w:pPr>
              <w:jc w:val="center"/>
            </w:pPr>
            <w:r/>
            <w:r>
              <w:rPr>
                <w:rFonts w:ascii="Times New Roman" w:hAnsi="Times New Roman"/>
                <w:sz w:val="17"/>
              </w:rPr>
              <w:t>Inverted adherence percentage (100% = 0 risk)</w:t>
            </w:r>
          </w:p>
        </w:tc>
      </w:tr>
      <w:tr>
        <w:tc>
          <w:tcPr>
            <w:tcW w:type="dxa" w:w="3358"/>
          </w:tcPr>
          <w:p>
            <w:r/>
            <w:r>
              <w:rPr>
                <w:rFonts w:ascii="Times New Roman" w:hAnsi="Times New Roman"/>
                <w:sz w:val="17"/>
              </w:rPr>
              <w:t>Symptom Burden</w:t>
            </w:r>
          </w:p>
        </w:tc>
        <w:tc>
          <w:tcPr>
            <w:tcW w:type="dxa" w:w="3358"/>
          </w:tcPr>
          <w:p>
            <w:pPr>
              <w:jc w:val="center"/>
            </w:pPr>
            <w:r/>
            <w:r>
              <w:rPr>
                <w:rFonts w:ascii="Times New Roman" w:hAnsi="Times New Roman"/>
                <w:sz w:val="17"/>
              </w:rPr>
              <w:t>20%</w:t>
            </w:r>
          </w:p>
        </w:tc>
        <w:tc>
          <w:tcPr>
            <w:tcW w:type="dxa" w:w="3358"/>
          </w:tcPr>
          <w:p>
            <w:pPr>
              <w:jc w:val="center"/>
            </w:pPr>
            <w:r/>
            <w:r>
              <w:rPr>
                <w:rFonts w:ascii="Times New Roman" w:hAnsi="Times New Roman"/>
                <w:sz w:val="17"/>
              </w:rPr>
              <w:t>Weighted by severity (severe=25, moderate=12, mild=5)</w:t>
            </w:r>
          </w:p>
        </w:tc>
      </w:tr>
      <w:tr>
        <w:tc>
          <w:tcPr>
            <w:tcW w:type="dxa" w:w="3358"/>
          </w:tcPr>
          <w:p>
            <w:r/>
            <w:r>
              <w:rPr>
                <w:rFonts w:ascii="Times New Roman" w:hAnsi="Times New Roman"/>
                <w:sz w:val="17"/>
              </w:rPr>
              <w:t>Data Recency &amp; Completeness</w:t>
            </w:r>
          </w:p>
        </w:tc>
        <w:tc>
          <w:tcPr>
            <w:tcW w:type="dxa" w:w="3358"/>
          </w:tcPr>
          <w:p>
            <w:pPr>
              <w:jc w:val="center"/>
            </w:pPr>
            <w:r/>
            <w:r>
              <w:rPr>
                <w:rFonts w:ascii="Times New Roman" w:hAnsi="Times New Roman"/>
                <w:sz w:val="17"/>
              </w:rPr>
              <w:t>15%</w:t>
            </w:r>
          </w:p>
        </w:tc>
        <w:tc>
          <w:tcPr>
            <w:tcW w:type="dxa" w:w="3358"/>
          </w:tcPr>
          <w:p>
            <w:pPr>
              <w:jc w:val="center"/>
            </w:pPr>
            <w:r/>
            <w:r>
              <w:rPr>
                <w:rFonts w:ascii="Times New Roman" w:hAnsi="Times New Roman"/>
                <w:sz w:val="17"/>
              </w:rPr>
              <w:t>Days since last log, weekly log count</w:t>
            </w:r>
          </w:p>
        </w:tc>
      </w:tr>
    </w:tbl>
    <w:p>
      <w:pPr>
        <w:spacing w:after="120"/>
      </w:pPr>
    </w:p>
    <w:p>
      <w:pPr>
        <w:spacing w:after="120"/>
        <w:ind w:firstLine="425"/>
      </w:pPr>
      <w:r>
        <w:rPr>
          <w:rFonts w:ascii="Times New Roman" w:hAnsi="Times New Roman"/>
          <w:sz w:val="20"/>
        </w:rPr>
        <w:t>The Vital Signs dimension evaluates blood pressure, heart rate, glucose, and temperature against clinically established thresholds. Blood pressure scoring follows the Joint National Committee (JNC) staging guidelines. Table IV presents the blood pressure scoring thresholds.</w:t>
      </w:r>
    </w:p>
    <w:p>
      <w:pPr>
        <w:spacing w:before="200" w:after="80"/>
        <w:jc w:val="center"/>
      </w:pPr>
      <w:r>
        <w:rPr>
          <w:rFonts w:ascii="Times New Roman" w:hAnsi="Times New Roman"/>
          <w:b/>
          <w:sz w:val="18"/>
        </w:rPr>
        <w:t xml:space="preserve">TABLE IV: </w:t>
      </w:r>
      <w:r>
        <w:rPr>
          <w:rFonts w:ascii="Times New Roman" w:hAnsi="Times New Roman"/>
          <w:sz w:val="18"/>
        </w:rPr>
        <w:t>BLOOD PRESSURE RISK SCORING THRESHOLDS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shd w:fill="D9E2F3" w:val="clear"/>
          </w:tcPr>
          <w:p>
            <w:pPr>
              <w:jc w:val="center"/>
            </w:pPr>
            <w:r/>
            <w:r>
              <w:rPr>
                <w:rFonts w:ascii="Times New Roman" w:hAnsi="Times New Roman"/>
                <w:b/>
                <w:sz w:val="17"/>
              </w:rPr>
              <w:t>Systolic (mmHg)</w:t>
            </w:r>
          </w:p>
        </w:tc>
        <w:tc>
          <w:tcPr>
            <w:tcW w:type="dxa" w:w="2518"/>
            <w:shd w:fill="D9E2F3" w:val="clear"/>
          </w:tcPr>
          <w:p>
            <w:pPr>
              <w:jc w:val="center"/>
            </w:pPr>
            <w:r/>
            <w:r>
              <w:rPr>
                <w:rFonts w:ascii="Times New Roman" w:hAnsi="Times New Roman"/>
                <w:b/>
                <w:sz w:val="17"/>
              </w:rPr>
              <w:t>Diastolic (mmHg)</w:t>
            </w:r>
          </w:p>
        </w:tc>
        <w:tc>
          <w:tcPr>
            <w:tcW w:type="dxa" w:w="2518"/>
            <w:shd w:fill="D9E2F3" w:val="clear"/>
          </w:tcPr>
          <w:p>
            <w:pPr>
              <w:jc w:val="center"/>
            </w:pPr>
            <w:r/>
            <w:r>
              <w:rPr>
                <w:rFonts w:ascii="Times New Roman" w:hAnsi="Times New Roman"/>
                <w:b/>
                <w:sz w:val="17"/>
              </w:rPr>
              <w:t>Score</w:t>
            </w:r>
          </w:p>
        </w:tc>
        <w:tc>
          <w:tcPr>
            <w:tcW w:type="dxa" w:w="2518"/>
            <w:shd w:fill="D9E2F3" w:val="clear"/>
          </w:tcPr>
          <w:p>
            <w:pPr>
              <w:jc w:val="center"/>
            </w:pPr>
            <w:r/>
            <w:r>
              <w:rPr>
                <w:rFonts w:ascii="Times New Roman" w:hAnsi="Times New Roman"/>
                <w:b/>
                <w:sz w:val="17"/>
              </w:rPr>
              <w:t>Clinical Stage</w:t>
            </w:r>
          </w:p>
        </w:tc>
      </w:tr>
      <w:tr>
        <w:tc>
          <w:tcPr>
            <w:tcW w:type="dxa" w:w="2518"/>
          </w:tcPr>
          <w:p>
            <w:r/>
            <w:r>
              <w:rPr>
                <w:rFonts w:ascii="Times New Roman" w:hAnsi="Times New Roman"/>
                <w:sz w:val="17"/>
              </w:rPr>
              <w:t>≥180</w:t>
            </w:r>
          </w:p>
        </w:tc>
        <w:tc>
          <w:tcPr>
            <w:tcW w:type="dxa" w:w="2518"/>
          </w:tcPr>
          <w:p>
            <w:pPr>
              <w:jc w:val="center"/>
            </w:pPr>
            <w:r/>
            <w:r>
              <w:rPr>
                <w:rFonts w:ascii="Times New Roman" w:hAnsi="Times New Roman"/>
                <w:sz w:val="17"/>
              </w:rPr>
              <w:t>≥120</w:t>
            </w:r>
          </w:p>
        </w:tc>
        <w:tc>
          <w:tcPr>
            <w:tcW w:type="dxa" w:w="2518"/>
          </w:tcPr>
          <w:p>
            <w:pPr>
              <w:jc w:val="center"/>
            </w:pPr>
            <w:r/>
            <w:r>
              <w:rPr>
                <w:rFonts w:ascii="Times New Roman" w:hAnsi="Times New Roman"/>
                <w:sz w:val="17"/>
              </w:rPr>
              <w:t>100</w:t>
            </w:r>
          </w:p>
        </w:tc>
        <w:tc>
          <w:tcPr>
            <w:tcW w:type="dxa" w:w="2518"/>
          </w:tcPr>
          <w:p>
            <w:pPr>
              <w:jc w:val="center"/>
            </w:pPr>
            <w:r/>
            <w:r>
              <w:rPr>
                <w:rFonts w:ascii="Times New Roman" w:hAnsi="Times New Roman"/>
                <w:sz w:val="17"/>
              </w:rPr>
              <w:t>Hypertensive Crisis</w:t>
            </w:r>
          </w:p>
        </w:tc>
      </w:tr>
      <w:tr>
        <w:tc>
          <w:tcPr>
            <w:tcW w:type="dxa" w:w="2518"/>
          </w:tcPr>
          <w:p>
            <w:r/>
            <w:r>
              <w:rPr>
                <w:rFonts w:ascii="Times New Roman" w:hAnsi="Times New Roman"/>
                <w:sz w:val="17"/>
              </w:rPr>
              <w:t>≥160</w:t>
            </w:r>
          </w:p>
        </w:tc>
        <w:tc>
          <w:tcPr>
            <w:tcW w:type="dxa" w:w="2518"/>
          </w:tcPr>
          <w:p>
            <w:pPr>
              <w:jc w:val="center"/>
            </w:pPr>
            <w:r/>
            <w:r>
              <w:rPr>
                <w:rFonts w:ascii="Times New Roman" w:hAnsi="Times New Roman"/>
                <w:sz w:val="17"/>
              </w:rPr>
              <w:t>≥100</w:t>
            </w:r>
          </w:p>
        </w:tc>
        <w:tc>
          <w:tcPr>
            <w:tcW w:type="dxa" w:w="2518"/>
          </w:tcPr>
          <w:p>
            <w:pPr>
              <w:jc w:val="center"/>
            </w:pPr>
            <w:r/>
            <w:r>
              <w:rPr>
                <w:rFonts w:ascii="Times New Roman" w:hAnsi="Times New Roman"/>
                <w:sz w:val="17"/>
              </w:rPr>
              <w:t>85</w:t>
            </w:r>
          </w:p>
        </w:tc>
        <w:tc>
          <w:tcPr>
            <w:tcW w:type="dxa" w:w="2518"/>
          </w:tcPr>
          <w:p>
            <w:pPr>
              <w:jc w:val="center"/>
            </w:pPr>
            <w:r/>
            <w:r>
              <w:rPr>
                <w:rFonts w:ascii="Times New Roman" w:hAnsi="Times New Roman"/>
                <w:sz w:val="17"/>
              </w:rPr>
              <w:t>Stage 2+ Hypertension</w:t>
            </w:r>
          </w:p>
        </w:tc>
      </w:tr>
      <w:tr>
        <w:tc>
          <w:tcPr>
            <w:tcW w:type="dxa" w:w="2518"/>
          </w:tcPr>
          <w:p>
            <w:r/>
            <w:r>
              <w:rPr>
                <w:rFonts w:ascii="Times New Roman" w:hAnsi="Times New Roman"/>
                <w:sz w:val="17"/>
              </w:rPr>
              <w:t>≥140</w:t>
            </w:r>
          </w:p>
        </w:tc>
        <w:tc>
          <w:tcPr>
            <w:tcW w:type="dxa" w:w="2518"/>
          </w:tcPr>
          <w:p>
            <w:pPr>
              <w:jc w:val="center"/>
            </w:pPr>
            <w:r/>
            <w:r>
              <w:rPr>
                <w:rFonts w:ascii="Times New Roman" w:hAnsi="Times New Roman"/>
                <w:sz w:val="17"/>
              </w:rPr>
              <w:t>≥90</w:t>
            </w:r>
          </w:p>
        </w:tc>
        <w:tc>
          <w:tcPr>
            <w:tcW w:type="dxa" w:w="2518"/>
          </w:tcPr>
          <w:p>
            <w:pPr>
              <w:jc w:val="center"/>
            </w:pPr>
            <w:r/>
            <w:r>
              <w:rPr>
                <w:rFonts w:ascii="Times New Roman" w:hAnsi="Times New Roman"/>
                <w:sz w:val="17"/>
              </w:rPr>
              <w:t>70</w:t>
            </w:r>
          </w:p>
        </w:tc>
        <w:tc>
          <w:tcPr>
            <w:tcW w:type="dxa" w:w="2518"/>
          </w:tcPr>
          <w:p>
            <w:pPr>
              <w:jc w:val="center"/>
            </w:pPr>
            <w:r/>
            <w:r>
              <w:rPr>
                <w:rFonts w:ascii="Times New Roman" w:hAnsi="Times New Roman"/>
                <w:sz w:val="17"/>
              </w:rPr>
              <w:t>Stage 1 Hypertension</w:t>
            </w:r>
          </w:p>
        </w:tc>
      </w:tr>
      <w:tr>
        <w:tc>
          <w:tcPr>
            <w:tcW w:type="dxa" w:w="2518"/>
          </w:tcPr>
          <w:p>
            <w:r/>
            <w:r>
              <w:rPr>
                <w:rFonts w:ascii="Times New Roman" w:hAnsi="Times New Roman"/>
                <w:sz w:val="17"/>
              </w:rPr>
              <w:t>≥130</w:t>
            </w:r>
          </w:p>
        </w:tc>
        <w:tc>
          <w:tcPr>
            <w:tcW w:type="dxa" w:w="2518"/>
          </w:tcPr>
          <w:p>
            <w:pPr>
              <w:jc w:val="center"/>
            </w:pPr>
            <w:r/>
            <w:r>
              <w:rPr>
                <w:rFonts w:ascii="Times New Roman" w:hAnsi="Times New Roman"/>
                <w:sz w:val="17"/>
              </w:rPr>
              <w:t>≥85</w:t>
            </w:r>
          </w:p>
        </w:tc>
        <w:tc>
          <w:tcPr>
            <w:tcW w:type="dxa" w:w="2518"/>
          </w:tcPr>
          <w:p>
            <w:pPr>
              <w:jc w:val="center"/>
            </w:pPr>
            <w:r/>
            <w:r>
              <w:rPr>
                <w:rFonts w:ascii="Times New Roman" w:hAnsi="Times New Roman"/>
                <w:sz w:val="17"/>
              </w:rPr>
              <w:t>50</w:t>
            </w:r>
          </w:p>
        </w:tc>
        <w:tc>
          <w:tcPr>
            <w:tcW w:type="dxa" w:w="2518"/>
          </w:tcPr>
          <w:p>
            <w:pPr>
              <w:jc w:val="center"/>
            </w:pPr>
            <w:r/>
            <w:r>
              <w:rPr>
                <w:rFonts w:ascii="Times New Roman" w:hAnsi="Times New Roman"/>
                <w:sz w:val="17"/>
              </w:rPr>
              <w:t>Elevated</w:t>
            </w:r>
          </w:p>
        </w:tc>
      </w:tr>
      <w:tr>
        <w:tc>
          <w:tcPr>
            <w:tcW w:type="dxa" w:w="2518"/>
          </w:tcPr>
          <w:p>
            <w:r/>
            <w:r>
              <w:rPr>
                <w:rFonts w:ascii="Times New Roman" w:hAnsi="Times New Roman"/>
                <w:sz w:val="17"/>
              </w:rPr>
              <w:t>80–129</w:t>
            </w:r>
          </w:p>
        </w:tc>
        <w:tc>
          <w:tcPr>
            <w:tcW w:type="dxa" w:w="2518"/>
          </w:tcPr>
          <w:p>
            <w:pPr>
              <w:jc w:val="center"/>
            </w:pPr>
            <w:r/>
            <w:r>
              <w:rPr>
                <w:rFonts w:ascii="Times New Roman" w:hAnsi="Times New Roman"/>
                <w:sz w:val="17"/>
              </w:rPr>
              <w:t>50–84</w:t>
            </w:r>
          </w:p>
        </w:tc>
        <w:tc>
          <w:tcPr>
            <w:tcW w:type="dxa" w:w="2518"/>
          </w:tcPr>
          <w:p>
            <w:pPr>
              <w:jc w:val="center"/>
            </w:pPr>
            <w:r/>
            <w:r>
              <w:rPr>
                <w:rFonts w:ascii="Times New Roman" w:hAnsi="Times New Roman"/>
                <w:sz w:val="17"/>
              </w:rPr>
              <w:t>0–30</w:t>
            </w:r>
          </w:p>
        </w:tc>
        <w:tc>
          <w:tcPr>
            <w:tcW w:type="dxa" w:w="2518"/>
          </w:tcPr>
          <w:p>
            <w:pPr>
              <w:jc w:val="center"/>
            </w:pPr>
            <w:r/>
            <w:r>
              <w:rPr>
                <w:rFonts w:ascii="Times New Roman" w:hAnsi="Times New Roman"/>
                <w:sz w:val="17"/>
              </w:rPr>
              <w:t>Normal Range</w:t>
            </w:r>
          </w:p>
        </w:tc>
      </w:tr>
      <w:tr>
        <w:tc>
          <w:tcPr>
            <w:tcW w:type="dxa" w:w="2518"/>
          </w:tcPr>
          <w:p>
            <w:r/>
            <w:r>
              <w:rPr>
                <w:rFonts w:ascii="Times New Roman" w:hAnsi="Times New Roman"/>
                <w:sz w:val="17"/>
              </w:rPr>
              <w:t>&lt;80</w:t>
            </w:r>
          </w:p>
        </w:tc>
        <w:tc>
          <w:tcPr>
            <w:tcW w:type="dxa" w:w="2518"/>
          </w:tcPr>
          <w:p>
            <w:pPr>
              <w:jc w:val="center"/>
            </w:pPr>
            <w:r/>
            <w:r>
              <w:rPr>
                <w:rFonts w:ascii="Times New Roman" w:hAnsi="Times New Roman"/>
                <w:sz w:val="17"/>
              </w:rPr>
              <w:t>&lt;50</w:t>
            </w:r>
          </w:p>
        </w:tc>
        <w:tc>
          <w:tcPr>
            <w:tcW w:type="dxa" w:w="2518"/>
          </w:tcPr>
          <w:p>
            <w:pPr>
              <w:jc w:val="center"/>
            </w:pPr>
            <w:r/>
            <w:r>
              <w:rPr>
                <w:rFonts w:ascii="Times New Roman" w:hAnsi="Times New Roman"/>
                <w:sz w:val="17"/>
              </w:rPr>
              <w:t>80</w:t>
            </w:r>
          </w:p>
        </w:tc>
        <w:tc>
          <w:tcPr>
            <w:tcW w:type="dxa" w:w="2518"/>
          </w:tcPr>
          <w:p>
            <w:pPr>
              <w:jc w:val="center"/>
            </w:pPr>
            <w:r/>
            <w:r>
              <w:rPr>
                <w:rFonts w:ascii="Times New Roman" w:hAnsi="Times New Roman"/>
                <w:sz w:val="17"/>
              </w:rPr>
              <w:t>Dangerously Low</w:t>
            </w:r>
          </w:p>
        </w:tc>
      </w:tr>
    </w:tbl>
    <w:p>
      <w:pPr>
        <w:spacing w:after="120"/>
      </w:pPr>
    </w:p>
    <w:p>
      <w:pPr>
        <w:spacing w:after="120"/>
        <w:ind w:firstLine="425"/>
      </w:pPr>
      <w:r>
        <w:rPr>
          <w:rFonts w:ascii="Times New Roman" w:hAnsi="Times New Roman"/>
          <w:sz w:val="20"/>
        </w:rPr>
        <w:t>Glucose scoring follows American Diabetes Association (ADA) thresholds, with severe hyperglycemia (≥300 mg/dL) scoring 100, very high (≥200) scoring 85, diabetic range (≥126) scoring 60, pre-diabetic (100–125) scoring 30, hypoglycemia (&lt;70) scoring 75, and severe hypoglycemia (&lt;54) scoring 95.</w:t>
      </w:r>
    </w:p>
    <w:p>
      <w:pPr>
        <w:spacing w:after="120"/>
        <w:ind w:firstLine="425"/>
      </w:pPr>
      <w:r>
        <w:rPr>
          <w:rFonts w:ascii="Times New Roman" w:hAnsi="Times New Roman"/>
          <w:sz w:val="20"/>
        </w:rPr>
        <w:t>The engine applies four multi-factor correlation rules that add bonus risk points when multiple adverse factors co-occur: Metabolic Syndrome Risk (+10 points) for high blood pressure combined with elevated glucose and poor adherence; Cardiac Stress (+12 points) for elevated BP combined with elevated HR and chest pain; Uncontrolled Diabetic Risk (+8 points) for high glucose combined with poor adherence; and Symptomatic Non-Adherence (+5 points) for recurring symptoms combined with missed medications.</w:t>
      </w:r>
    </w:p>
    <w:p>
      <w:pPr>
        <w:spacing w:after="120"/>
        <w:ind w:firstLine="425"/>
      </w:pPr>
      <w:r>
        <w:rPr>
          <w:rFonts w:ascii="Times New Roman" w:hAnsi="Times New Roman"/>
          <w:sz w:val="20"/>
        </w:rPr>
        <w:t>The final score is capped at 100 and categorized into four risk levels: LOW (0–25), MODERATE (26–50), HIGH (51–75), and CRITICAL (76–100).</w:t>
      </w:r>
    </w:p>
    <w:p>
      <w:pPr>
        <w:spacing w:before="200" w:after="80"/>
      </w:pPr>
      <w:r>
        <w:rPr>
          <w:rFonts w:ascii="Times New Roman" w:hAnsi="Times New Roman"/>
          <w:b/>
          <w:i/>
          <w:sz w:val="20"/>
        </w:rPr>
        <w:t>C. TrendPredictionEngine: Consecutive Pattern Detection</w:t>
      </w:r>
    </w:p>
    <w:p>
      <w:pPr>
        <w:spacing w:after="120"/>
        <w:ind w:firstLine="425"/>
      </w:pPr>
      <w:r>
        <w:rPr>
          <w:rFonts w:ascii="Times New Roman" w:hAnsi="Times New Roman"/>
          <w:sz w:val="20"/>
        </w:rPr>
        <w:t>The TrendPredictionEngine detects directional trends in six vital sign types: heart rate, systolic blood pressure, diastolic blood pressure, glucose, weight, and temperature. For each vital type, the engine examines chronologically ordered readings and counts consecutive increases or decreases. A change exceeding 1.5% between adjacent readings qualifies as directional. Three or more consecutive directional changes trigger a trend alert; five or more trigger an accelerating trend alert.</w:t>
      </w:r>
    </w:p>
    <w:p>
      <w:pPr>
        <w:spacing w:after="120"/>
        <w:ind w:firstLine="425"/>
      </w:pPr>
      <w:r>
        <w:rPr>
          <w:rFonts w:ascii="Times New Roman" w:hAnsi="Times New Roman"/>
          <w:sz w:val="20"/>
        </w:rPr>
        <w:t>When a trend is detected, a simple linear regression model is fit to the trending values to project the next expected reading, providing physicians with predictive information. Trends in critical vitals (blood pressure, heart rate, glucose) are classified as URGENT, while trends in less immediately dangerous vitals (weight, temperature) receive lower priority classifications.</w:t>
      </w:r>
    </w:p>
    <w:p>
      <w:pPr>
        <w:spacing w:after="120"/>
        <w:ind w:firstLine="425"/>
      </w:pPr>
      <w:r>
        <w:rPr>
          <w:rFonts w:ascii="Times New Roman" w:hAnsi="Times New Roman"/>
          <w:sz w:val="20"/>
        </w:rPr>
        <w:t>This approach deliberately avoids complex machine learning models in favor of interpretable, deterministic algorithms that can be validated against clinical intuition and operate without training data.</w:t>
      </w:r>
    </w:p>
    <w:p>
      <w:pPr>
        <w:spacing w:before="200" w:after="80"/>
      </w:pPr>
      <w:r>
        <w:rPr>
          <w:rFonts w:ascii="Times New Roman" w:hAnsi="Times New Roman"/>
          <w:b/>
          <w:i/>
          <w:sz w:val="20"/>
        </w:rPr>
        <w:t>D. VitalAlertEngine: Real-Time Threshold Alerting</w:t>
      </w:r>
    </w:p>
    <w:p>
      <w:pPr>
        <w:spacing w:after="120"/>
        <w:ind w:firstLine="425"/>
      </w:pPr>
      <w:r>
        <w:rPr>
          <w:rFonts w:ascii="Times New Roman" w:hAnsi="Times New Roman"/>
          <w:sz w:val="20"/>
        </w:rPr>
        <w:t>The VitalAlertEngine evaluates individual health log readings against clinically informed thresholds to generate immediate alerts. The engine classifies each reading into one of three severity levels: NORMAL, WARNING, or CRITICAL. Table V presents the threshold values for each vital type.</w:t>
      </w:r>
    </w:p>
    <w:p>
      <w:pPr>
        <w:spacing w:before="200" w:after="80"/>
        <w:jc w:val="center"/>
      </w:pPr>
      <w:r>
        <w:rPr>
          <w:rFonts w:ascii="Times New Roman" w:hAnsi="Times New Roman"/>
          <w:b/>
          <w:sz w:val="18"/>
        </w:rPr>
        <w:t xml:space="preserve">TABLE V: </w:t>
      </w:r>
      <w:r>
        <w:rPr>
          <w:rFonts w:ascii="Times New Roman" w:hAnsi="Times New Roman"/>
          <w:sz w:val="18"/>
        </w:rPr>
        <w:t>VITAL ALERT ENGINE THRESHOLD VALUES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shd w:fill="D9E2F3" w:val="clear"/>
          </w:tcPr>
          <w:p>
            <w:pPr>
              <w:jc w:val="center"/>
            </w:pPr>
            <w:r/>
            <w:r>
              <w:rPr>
                <w:rFonts w:ascii="Times New Roman" w:hAnsi="Times New Roman"/>
                <w:b/>
                <w:sz w:val="17"/>
              </w:rPr>
              <w:t>Vital Sign</w:t>
            </w:r>
          </w:p>
        </w:tc>
        <w:tc>
          <w:tcPr>
            <w:tcW w:type="dxa" w:w="2015"/>
            <w:shd w:fill="D9E2F3" w:val="clear"/>
          </w:tcPr>
          <w:p>
            <w:pPr>
              <w:jc w:val="center"/>
            </w:pPr>
            <w:r/>
            <w:r>
              <w:rPr>
                <w:rFonts w:ascii="Times New Roman" w:hAnsi="Times New Roman"/>
                <w:b/>
                <w:sz w:val="17"/>
              </w:rPr>
              <w:t>Critical High</w:t>
            </w:r>
          </w:p>
        </w:tc>
        <w:tc>
          <w:tcPr>
            <w:tcW w:type="dxa" w:w="2015"/>
            <w:shd w:fill="D9E2F3" w:val="clear"/>
          </w:tcPr>
          <w:p>
            <w:pPr>
              <w:jc w:val="center"/>
            </w:pPr>
            <w:r/>
            <w:r>
              <w:rPr>
                <w:rFonts w:ascii="Times New Roman" w:hAnsi="Times New Roman"/>
                <w:b/>
                <w:sz w:val="17"/>
              </w:rPr>
              <w:t>Warning High</w:t>
            </w:r>
          </w:p>
        </w:tc>
        <w:tc>
          <w:tcPr>
            <w:tcW w:type="dxa" w:w="2015"/>
            <w:shd w:fill="D9E2F3" w:val="clear"/>
          </w:tcPr>
          <w:p>
            <w:pPr>
              <w:jc w:val="center"/>
            </w:pPr>
            <w:r/>
            <w:r>
              <w:rPr>
                <w:rFonts w:ascii="Times New Roman" w:hAnsi="Times New Roman"/>
                <w:b/>
                <w:sz w:val="17"/>
              </w:rPr>
              <w:t>Warning Low</w:t>
            </w:r>
          </w:p>
        </w:tc>
        <w:tc>
          <w:tcPr>
            <w:tcW w:type="dxa" w:w="2015"/>
            <w:shd w:fill="D9E2F3" w:val="clear"/>
          </w:tcPr>
          <w:p>
            <w:pPr>
              <w:jc w:val="center"/>
            </w:pPr>
            <w:r/>
            <w:r>
              <w:rPr>
                <w:rFonts w:ascii="Times New Roman" w:hAnsi="Times New Roman"/>
                <w:b/>
                <w:sz w:val="17"/>
              </w:rPr>
              <w:t>Critical Low</w:t>
            </w:r>
          </w:p>
        </w:tc>
      </w:tr>
      <w:tr>
        <w:tc>
          <w:tcPr>
            <w:tcW w:type="dxa" w:w="2015"/>
          </w:tcPr>
          <w:p>
            <w:r/>
            <w:r>
              <w:rPr>
                <w:rFonts w:ascii="Times New Roman" w:hAnsi="Times New Roman"/>
                <w:sz w:val="17"/>
              </w:rPr>
              <w:t>Blood Pressure (mmHg)</w:t>
            </w:r>
          </w:p>
        </w:tc>
        <w:tc>
          <w:tcPr>
            <w:tcW w:type="dxa" w:w="2015"/>
          </w:tcPr>
          <w:p>
            <w:pPr>
              <w:jc w:val="center"/>
            </w:pPr>
            <w:r/>
            <w:r>
              <w:rPr>
                <w:rFonts w:ascii="Times New Roman" w:hAnsi="Times New Roman"/>
                <w:sz w:val="17"/>
              </w:rPr>
              <w:t>≥180/120</w:t>
            </w:r>
          </w:p>
        </w:tc>
        <w:tc>
          <w:tcPr>
            <w:tcW w:type="dxa" w:w="2015"/>
          </w:tcPr>
          <w:p>
            <w:pPr>
              <w:jc w:val="center"/>
            </w:pPr>
            <w:r/>
            <w:r>
              <w:rPr>
                <w:rFonts w:ascii="Times New Roman" w:hAnsi="Times New Roman"/>
                <w:sz w:val="17"/>
              </w:rPr>
              <w:t>≥140/90</w:t>
            </w:r>
          </w:p>
        </w:tc>
        <w:tc>
          <w:tcPr>
            <w:tcW w:type="dxa" w:w="2015"/>
          </w:tcPr>
          <w:p>
            <w:pPr>
              <w:jc w:val="center"/>
            </w:pPr>
            <w:r/>
            <w:r>
              <w:rPr>
                <w:rFonts w:ascii="Times New Roman" w:hAnsi="Times New Roman"/>
                <w:sz w:val="17"/>
              </w:rPr>
              <w:t>&lt;90/60</w:t>
            </w:r>
          </w:p>
        </w:tc>
        <w:tc>
          <w:tcPr>
            <w:tcW w:type="dxa" w:w="2015"/>
          </w:tcPr>
          <w:p>
            <w:pPr>
              <w:jc w:val="center"/>
            </w:pPr>
            <w:r/>
            <w:r>
              <w:rPr>
                <w:rFonts w:ascii="Times New Roman" w:hAnsi="Times New Roman"/>
                <w:sz w:val="17"/>
              </w:rPr>
              <w:t>&lt;80/50</w:t>
            </w:r>
          </w:p>
        </w:tc>
      </w:tr>
      <w:tr>
        <w:tc>
          <w:tcPr>
            <w:tcW w:type="dxa" w:w="2015"/>
          </w:tcPr>
          <w:p>
            <w:r/>
            <w:r>
              <w:rPr>
                <w:rFonts w:ascii="Times New Roman" w:hAnsi="Times New Roman"/>
                <w:sz w:val="17"/>
              </w:rPr>
              <w:t>Glucose (mg/dL)</w:t>
            </w:r>
          </w:p>
        </w:tc>
        <w:tc>
          <w:tcPr>
            <w:tcW w:type="dxa" w:w="2015"/>
          </w:tcPr>
          <w:p>
            <w:pPr>
              <w:jc w:val="center"/>
            </w:pPr>
            <w:r/>
            <w:r>
              <w:rPr>
                <w:rFonts w:ascii="Times New Roman" w:hAnsi="Times New Roman"/>
                <w:sz w:val="17"/>
              </w:rPr>
              <w:t>≥300</w:t>
            </w:r>
          </w:p>
        </w:tc>
        <w:tc>
          <w:tcPr>
            <w:tcW w:type="dxa" w:w="2015"/>
          </w:tcPr>
          <w:p>
            <w:pPr>
              <w:jc w:val="center"/>
            </w:pPr>
            <w:r/>
            <w:r>
              <w:rPr>
                <w:rFonts w:ascii="Times New Roman" w:hAnsi="Times New Roman"/>
                <w:sz w:val="17"/>
              </w:rPr>
              <w:t>≥200</w:t>
            </w:r>
          </w:p>
        </w:tc>
        <w:tc>
          <w:tcPr>
            <w:tcW w:type="dxa" w:w="2015"/>
          </w:tcPr>
          <w:p>
            <w:pPr>
              <w:jc w:val="center"/>
            </w:pPr>
            <w:r/>
            <w:r>
              <w:rPr>
                <w:rFonts w:ascii="Times New Roman" w:hAnsi="Times New Roman"/>
                <w:sz w:val="17"/>
              </w:rPr>
              <w:t>&lt;70</w:t>
            </w:r>
          </w:p>
        </w:tc>
        <w:tc>
          <w:tcPr>
            <w:tcW w:type="dxa" w:w="2015"/>
          </w:tcPr>
          <w:p>
            <w:pPr>
              <w:jc w:val="center"/>
            </w:pPr>
            <w:r/>
            <w:r>
              <w:rPr>
                <w:rFonts w:ascii="Times New Roman" w:hAnsi="Times New Roman"/>
                <w:sz w:val="17"/>
              </w:rPr>
              <w:t>&lt;54</w:t>
            </w:r>
          </w:p>
        </w:tc>
      </w:tr>
      <w:tr>
        <w:tc>
          <w:tcPr>
            <w:tcW w:type="dxa" w:w="2015"/>
          </w:tcPr>
          <w:p>
            <w:r/>
            <w:r>
              <w:rPr>
                <w:rFonts w:ascii="Times New Roman" w:hAnsi="Times New Roman"/>
                <w:sz w:val="17"/>
              </w:rPr>
              <w:t>Heart Rate (bpm)</w:t>
            </w:r>
          </w:p>
        </w:tc>
        <w:tc>
          <w:tcPr>
            <w:tcW w:type="dxa" w:w="2015"/>
          </w:tcPr>
          <w:p>
            <w:pPr>
              <w:jc w:val="center"/>
            </w:pPr>
            <w:r/>
            <w:r>
              <w:rPr>
                <w:rFonts w:ascii="Times New Roman" w:hAnsi="Times New Roman"/>
                <w:sz w:val="17"/>
              </w:rPr>
              <w:t>≥150</w:t>
            </w:r>
          </w:p>
        </w:tc>
        <w:tc>
          <w:tcPr>
            <w:tcW w:type="dxa" w:w="2015"/>
          </w:tcPr>
          <w:p>
            <w:pPr>
              <w:jc w:val="center"/>
            </w:pPr>
            <w:r/>
            <w:r>
              <w:rPr>
                <w:rFonts w:ascii="Times New Roman" w:hAnsi="Times New Roman"/>
                <w:sz w:val="17"/>
              </w:rPr>
              <w:t>≥120</w:t>
            </w:r>
          </w:p>
        </w:tc>
        <w:tc>
          <w:tcPr>
            <w:tcW w:type="dxa" w:w="2015"/>
          </w:tcPr>
          <w:p>
            <w:pPr>
              <w:jc w:val="center"/>
            </w:pPr>
            <w:r/>
            <w:r>
              <w:rPr>
                <w:rFonts w:ascii="Times New Roman" w:hAnsi="Times New Roman"/>
                <w:sz w:val="17"/>
              </w:rPr>
              <w:t>&lt;60</w:t>
            </w:r>
          </w:p>
        </w:tc>
        <w:tc>
          <w:tcPr>
            <w:tcW w:type="dxa" w:w="2015"/>
          </w:tcPr>
          <w:p>
            <w:pPr>
              <w:jc w:val="center"/>
            </w:pPr>
            <w:r/>
            <w:r>
              <w:rPr>
                <w:rFonts w:ascii="Times New Roman" w:hAnsi="Times New Roman"/>
                <w:sz w:val="17"/>
              </w:rPr>
              <w:t>&lt;40</w:t>
            </w:r>
          </w:p>
        </w:tc>
      </w:tr>
      <w:tr>
        <w:tc>
          <w:tcPr>
            <w:tcW w:type="dxa" w:w="2015"/>
          </w:tcPr>
          <w:p>
            <w:r/>
            <w:r>
              <w:rPr>
                <w:rFonts w:ascii="Times New Roman" w:hAnsi="Times New Roman"/>
                <w:sz w:val="17"/>
              </w:rPr>
              <w:t>Temperature (°C)</w:t>
            </w:r>
          </w:p>
        </w:tc>
        <w:tc>
          <w:tcPr>
            <w:tcW w:type="dxa" w:w="2015"/>
          </w:tcPr>
          <w:p>
            <w:pPr>
              <w:jc w:val="center"/>
            </w:pPr>
            <w:r/>
            <w:r>
              <w:rPr>
                <w:rFonts w:ascii="Times New Roman" w:hAnsi="Times New Roman"/>
                <w:sz w:val="17"/>
              </w:rPr>
              <w:t>≥39.5</w:t>
            </w:r>
          </w:p>
        </w:tc>
        <w:tc>
          <w:tcPr>
            <w:tcW w:type="dxa" w:w="2015"/>
          </w:tcPr>
          <w:p>
            <w:pPr>
              <w:jc w:val="center"/>
            </w:pPr>
            <w:r/>
            <w:r>
              <w:rPr>
                <w:rFonts w:ascii="Times New Roman" w:hAnsi="Times New Roman"/>
                <w:sz w:val="17"/>
              </w:rPr>
              <w:t>≥38.0</w:t>
            </w:r>
          </w:p>
        </w:tc>
        <w:tc>
          <w:tcPr>
            <w:tcW w:type="dxa" w:w="2015"/>
          </w:tcPr>
          <w:p>
            <w:pPr>
              <w:jc w:val="center"/>
            </w:pPr>
            <w:r/>
            <w:r>
              <w:rPr>
                <w:rFonts w:ascii="Times New Roman" w:hAnsi="Times New Roman"/>
                <w:sz w:val="17"/>
              </w:rPr>
              <w:t>&lt;36.0</w:t>
            </w:r>
          </w:p>
        </w:tc>
        <w:tc>
          <w:tcPr>
            <w:tcW w:type="dxa" w:w="2015"/>
          </w:tcPr>
          <w:p>
            <w:pPr>
              <w:jc w:val="center"/>
            </w:pPr>
            <w:r/>
            <w:r>
              <w:rPr>
                <w:rFonts w:ascii="Times New Roman" w:hAnsi="Times New Roman"/>
                <w:sz w:val="17"/>
              </w:rPr>
              <w:t>&lt;35.0</w:t>
            </w:r>
          </w:p>
        </w:tc>
      </w:tr>
    </w:tbl>
    <w:p>
      <w:pPr>
        <w:spacing w:after="120"/>
      </w:pPr>
    </w:p>
    <w:p>
      <w:pPr>
        <w:spacing w:before="200" w:after="80"/>
      </w:pPr>
      <w:r>
        <w:rPr>
          <w:rFonts w:ascii="Times New Roman" w:hAnsi="Times New Roman"/>
          <w:b/>
          <w:i/>
          <w:sz w:val="20"/>
        </w:rPr>
        <w:t>E. HealthInsightEngine: Personalized Health Suggestions</w:t>
      </w:r>
    </w:p>
    <w:p>
      <w:pPr>
        <w:spacing w:after="120"/>
        <w:ind w:firstLine="425"/>
      </w:pPr>
      <w:r>
        <w:rPr>
          <w:rFonts w:ascii="Times New Roman" w:hAnsi="Times New Roman"/>
          <w:sz w:val="20"/>
        </w:rPr>
        <w:t>The HealthInsightEngine generates up to eight prioritized, actionable health suggestions by synthesizing outputs from the other engines. Suggestions are categorized by action type: LIFESTYLE, MEDICATION, DOCTOR_VISIT, MONITORING, and EMERGENCY. Suggestions are drawn from six sources: risk-based (CRITICAL risk triggers emergency guidance), trend-based (rising vital patterns with behavioral recommendations), adherence-based (adherence below 50% triggers high-priority warnings), vital-specific (metabolic risk detection for concurrent high BP and glucose), data quality (prompts for missing or stale data), and positive reinforcement (congratulatory feedback for low risk with high adherence).</w:t>
      </w:r>
    </w:p>
    <w:p>
      <w:pPr>
        <w:spacing w:before="200" w:after="80"/>
      </w:pPr>
      <w:r>
        <w:rPr>
          <w:rFonts w:ascii="Times New Roman" w:hAnsi="Times New Roman"/>
          <w:b/>
          <w:i/>
          <w:sz w:val="20"/>
        </w:rPr>
        <w:t>F. UnifiedAlertPrioritizer: Cross-Engine Alert Fusion</w:t>
      </w:r>
    </w:p>
    <w:p>
      <w:pPr>
        <w:spacing w:after="120"/>
        <w:ind w:firstLine="425"/>
      </w:pPr>
      <w:r>
        <w:rPr>
          <w:rFonts w:ascii="Times New Roman" w:hAnsi="Times New Roman"/>
          <w:sz w:val="20"/>
        </w:rPr>
        <w:t>The UnifiedAlertPrioritizer addresses the challenge of heterogeneous alert formats across engines. It maps four distinct priority taxonomies (AlertSeverity, TrendPriority, FactorSeverity, SuggestionPriority) to a common six-level UnifiedPriority scale: INFORMATIONAL, LOW, MODERATE, HIGH, URGENT, and EMERGENCY. The prioritizer deduplicates alerts by identifier prefix (retaining the highest-severity instance) and sorts results in descending priority order.</w:t>
      </w:r>
    </w:p>
    <w:p>
      <w:pPr>
        <w:spacing w:before="200" w:after="80"/>
      </w:pPr>
      <w:r>
        <w:rPr>
          <w:rFonts w:ascii="Times New Roman" w:hAnsi="Times New Roman"/>
          <w:b/>
          <w:i/>
          <w:sz w:val="20"/>
        </w:rPr>
        <w:t>G. Supporting Components</w:t>
      </w:r>
    </w:p>
    <w:p>
      <w:pPr>
        <w:spacing w:after="120"/>
        <w:ind w:firstLine="425"/>
      </w:pPr>
      <w:r>
        <w:rPr>
          <w:rFonts w:ascii="Times New Roman" w:hAnsi="Times New Roman"/>
          <w:sz w:val="20"/>
        </w:rPr>
        <w:t>PredictiveAlertManager prevents alert fatigue by implementing a 24-hour debounce window per alert type using SharedPreferences. If the same alert condition persists across multiple analytics runs within the window, only the first instance generates a notification.</w:t>
      </w:r>
    </w:p>
    <w:p>
      <w:pPr>
        <w:spacing w:after="120"/>
        <w:ind w:firstLine="425"/>
      </w:pPr>
      <w:r>
        <w:rPr>
          <w:rFonts w:ascii="Times New Roman" w:hAnsi="Times New Roman"/>
          <w:sz w:val="20"/>
        </w:rPr>
        <w:t>ReminderOptimizer analyzes medication intake patterns to suggest optimal reminder times. The algorithm compares actual intake timestamps against scheduled reminders, identifies time slots with less than 60% adherence, suggests meal-aligned alternatives (08:00, 13:00, 20:00) for better adherence, detects over-scheduling (more than 3 medications at the same time), and flags inconvenient timing (before 06:00 or after 23:00).</w:t>
      </w:r>
    </w:p>
    <w:p>
      <w:pPr>
        <w:spacing w:before="320" w:after="160"/>
        <w:jc w:val="center"/>
      </w:pPr>
      <w:r>
        <w:rPr>
          <w:rFonts w:ascii="Times New Roman" w:hAnsi="Times New Roman"/>
          <w:b/>
          <w:sz w:val="20"/>
        </w:rPr>
        <w:t>VI. SECURITY ARCHITECTURE</w:t>
      </w:r>
    </w:p>
    <w:p>
      <w:pPr>
        <w:spacing w:before="200" w:after="80"/>
      </w:pPr>
      <w:r>
        <w:rPr>
          <w:rFonts w:ascii="Times New Roman" w:hAnsi="Times New Roman"/>
          <w:b/>
          <w:i/>
          <w:sz w:val="20"/>
        </w:rPr>
        <w:t>A. Defense-in-Depth Model</w:t>
      </w:r>
    </w:p>
    <w:p>
      <w:pPr>
        <w:spacing w:after="120"/>
        <w:ind w:firstLine="425"/>
      </w:pPr>
      <w:r>
        <w:rPr>
          <w:rFonts w:ascii="Times New Roman" w:hAnsi="Times New Roman"/>
          <w:sz w:val="20"/>
        </w:rPr>
        <w:t>MediTrack implements a layered security architecture that addresses threats at multiple levels. Fig. 5 illustrates the security stack, comprising Application, Transport, and Server layers.</w:t>
      </w:r>
    </w:p>
    <w:p>
      <w:pPr>
        <w:spacing w:before="240"/>
        <w:jc w:val="center"/>
      </w:pPr>
      <w:r>
        <w:rPr>
          <w:rFonts w:ascii="Times New Roman" w:hAnsi="Times New Roman"/>
          <w:b/>
          <w:color w:val="B40000"/>
          <w:sz w:val="22"/>
        </w:rPr>
        <w:t>[INSERT FIGURE 5 HERE]</w:t>
      </w:r>
    </w:p>
    <w:p>
      <w:pPr>
        <w:spacing w:after="200"/>
        <w:jc w:val="center"/>
      </w:pPr>
      <w:r>
        <w:rPr>
          <w:rFonts w:ascii="Times New Roman" w:hAnsi="Times New Roman"/>
          <w:b/>
          <w:sz w:val="18"/>
        </w:rPr>
        <w:t xml:space="preserve">Fig. 5. </w:t>
      </w:r>
      <w:r>
        <w:rPr>
          <w:rFonts w:ascii="Times New Roman" w:hAnsi="Times New Roman"/>
          <w:sz w:val="18"/>
        </w:rPr>
        <w:t>MediTrack defense-in-depth security architecture showing three layers: Application Layer (backup disabled, encrypted storage, audit logging), Transport Layer (TLS encryption), and Server Layer (540-line Firestore security rules with RBAC).</w:t>
      </w:r>
    </w:p>
    <w:p>
      <w:pPr>
        <w:spacing w:before="200" w:after="80"/>
      </w:pPr>
      <w:r>
        <w:rPr>
          <w:rFonts w:ascii="Times New Roman" w:hAnsi="Times New Roman"/>
          <w:b/>
          <w:i/>
          <w:sz w:val="20"/>
        </w:rPr>
        <w:t>B. Firestore Security Rules: Server-Side RBAC</w:t>
      </w:r>
    </w:p>
    <w:p>
      <w:pPr>
        <w:spacing w:after="120"/>
        <w:ind w:firstLine="425"/>
      </w:pPr>
      <w:r>
        <w:rPr>
          <w:rFonts w:ascii="Times New Roman" w:hAnsi="Times New Roman"/>
          <w:sz w:val="20"/>
        </w:rPr>
        <w:t>The Firestore security rules (540 lines) implement comprehensive role-based access control through 11 helper functions. Key security patterns include role verification that checks both the user's role and their approval status, cross-tenant isolation that ensures pharmacy data is accessible only to the owning pharmacy, doctor-patient assignment verification that requires an established relationship before granting access to clinical data, and self-privilege escalation prevention that blocks users from modifying their own role or status.</w:t>
      </w:r>
    </w:p>
    <w:p>
      <w:pPr>
        <w:spacing w:before="200" w:after="80"/>
      </w:pPr>
      <w:r>
        <w:rPr>
          <w:rFonts w:ascii="Times New Roman" w:hAnsi="Times New Roman"/>
          <w:b/>
          <w:i/>
          <w:sz w:val="20"/>
        </w:rPr>
        <w:t>C. Data Immutability Guarantees</w:t>
      </w:r>
    </w:p>
    <w:p>
      <w:pPr>
        <w:spacing w:after="120"/>
        <w:ind w:firstLine="425"/>
      </w:pPr>
      <w:r>
        <w:rPr>
          <w:rFonts w:ascii="Times New Roman" w:hAnsi="Times New Roman"/>
          <w:sz w:val="20"/>
        </w:rPr>
        <w:t>Five collections enforce immutability at the server level: prescriptions (never deleted, audit trail preservation), medicineIntakes (no updates or deletes, adherence data integrity), auditLogs (append-only, tamper-proof logging), transactions (no updates or deletes, financial integrity), and riskScores (append-only, temporal health tracking).</w:t>
      </w:r>
    </w:p>
    <w:p>
      <w:pPr>
        <w:spacing w:before="200" w:after="80"/>
      </w:pPr>
      <w:r>
        <w:rPr>
          <w:rFonts w:ascii="Times New Roman" w:hAnsi="Times New Roman"/>
          <w:b/>
          <w:i/>
          <w:sz w:val="20"/>
        </w:rPr>
        <w:t>D. State Machine Validation</w:t>
      </w:r>
    </w:p>
    <w:p>
      <w:pPr>
        <w:spacing w:after="120"/>
        <w:ind w:firstLine="425"/>
      </w:pPr>
      <w:r>
        <w:rPr>
          <w:rFonts w:ascii="Times New Roman" w:hAnsi="Times New Roman"/>
          <w:sz w:val="20"/>
        </w:rPr>
        <w:t>Order and appointment status transitions are validated server-side, preventing invalid workflow jumps. For orders, valid transitions are: PENDING to CONFIRMED or CANCELLED, CONFIRMED to PREPARING or CANCELLED, PREPARING to SHIPPED, and SHIPPED to DELIVERED. This server-side enforcement prevents malicious clients from bypassing the intended workflow sequence.</w:t>
      </w:r>
    </w:p>
    <w:p>
      <w:pPr>
        <w:spacing w:before="200" w:after="80"/>
      </w:pPr>
      <w:r>
        <w:rPr>
          <w:rFonts w:ascii="Times New Roman" w:hAnsi="Times New Roman"/>
          <w:b/>
          <w:i/>
          <w:sz w:val="20"/>
        </w:rPr>
        <w:t>E. Data Validation</w:t>
      </w:r>
    </w:p>
    <w:p>
      <w:pPr>
        <w:spacing w:after="120"/>
        <w:ind w:firstLine="425"/>
      </w:pPr>
      <w:r>
        <w:rPr>
          <w:rFonts w:ascii="Times New Roman" w:hAnsi="Times New Roman"/>
          <w:sz w:val="20"/>
        </w:rPr>
        <w:t>Input validation is enforced server-side for critical data types, including string length limits (email: 1–320 characters, display name: 1–100 characters, medication name: 1–200 characters), required field presence, and enum value constraints. This server-side validation complements client-side checks, ensuring data integrity even if the client application is modified.</w:t>
      </w:r>
    </w:p>
    <w:p>
      <w:pPr>
        <w:spacing w:before="320" w:after="160"/>
        <w:jc w:val="center"/>
      </w:pPr>
      <w:r>
        <w:rPr>
          <w:rFonts w:ascii="Times New Roman" w:hAnsi="Times New Roman"/>
          <w:b/>
          <w:sz w:val="20"/>
        </w:rPr>
        <w:t>VII. EVALUATION</w:t>
      </w:r>
    </w:p>
    <w:p>
      <w:pPr>
        <w:spacing w:before="200" w:after="80"/>
      </w:pPr>
      <w:r>
        <w:rPr>
          <w:rFonts w:ascii="Times New Roman" w:hAnsi="Times New Roman"/>
          <w:b/>
          <w:i/>
          <w:sz w:val="20"/>
        </w:rPr>
        <w:t>A. Quantitative Codebase Metrics</w:t>
      </w:r>
    </w:p>
    <w:p>
      <w:pPr>
        <w:spacing w:after="120"/>
        <w:ind w:firstLine="425"/>
      </w:pPr>
      <w:r>
        <w:rPr>
          <w:rFonts w:ascii="Times New Roman" w:hAnsi="Times New Roman"/>
          <w:sz w:val="20"/>
        </w:rPr>
        <w:t>Table VI presents quantitative metrics characterizing the MediTrack codebase.</w:t>
      </w:r>
    </w:p>
    <w:p>
      <w:pPr>
        <w:spacing w:before="200" w:after="80"/>
        <w:jc w:val="center"/>
      </w:pPr>
      <w:r>
        <w:rPr>
          <w:rFonts w:ascii="Times New Roman" w:hAnsi="Times New Roman"/>
          <w:b/>
          <w:sz w:val="18"/>
        </w:rPr>
        <w:t xml:space="preserve">TABLE VI: </w:t>
      </w:r>
      <w:r>
        <w:rPr>
          <w:rFonts w:ascii="Times New Roman" w:hAnsi="Times New Roman"/>
          <w:sz w:val="18"/>
        </w:rPr>
        <w:t>CODEBASE METRICS</w:t>
      </w:r>
    </w:p>
    <w:tbl>
      <w:tblPr>
        <w:tblStyle w:val="TableGrid"/>
        <w:tblW w:type="auto" w:w="0"/>
        <w:jc w:val="center"/>
        <w:tblLook w:firstColumn="1" w:firstRow="1" w:lastColumn="0" w:lastRow="0" w:noHBand="0" w:noVBand="1" w:val="04A0"/>
      </w:tblPr>
      <w:tblGrid>
        <w:gridCol w:w="5037"/>
        <w:gridCol w:w="5037"/>
      </w:tblGrid>
      <w:tr>
        <w:tc>
          <w:tcPr>
            <w:tcW w:type="dxa" w:w="5037"/>
            <w:shd w:fill="D9E2F3" w:val="clear"/>
          </w:tcPr>
          <w:p>
            <w:pPr>
              <w:jc w:val="center"/>
            </w:pPr>
            <w:r/>
            <w:r>
              <w:rPr>
                <w:rFonts w:ascii="Times New Roman" w:hAnsi="Times New Roman"/>
                <w:b/>
                <w:sz w:val="17"/>
              </w:rPr>
              <w:t>Metric</w:t>
            </w:r>
          </w:p>
        </w:tc>
        <w:tc>
          <w:tcPr>
            <w:tcW w:type="dxa" w:w="5037"/>
            <w:shd w:fill="D9E2F3" w:val="clear"/>
          </w:tcPr>
          <w:p>
            <w:pPr>
              <w:jc w:val="center"/>
            </w:pPr>
            <w:r/>
            <w:r>
              <w:rPr>
                <w:rFonts w:ascii="Times New Roman" w:hAnsi="Times New Roman"/>
                <w:b/>
                <w:sz w:val="17"/>
              </w:rPr>
              <w:t>Value</w:t>
            </w:r>
          </w:p>
        </w:tc>
      </w:tr>
      <w:tr>
        <w:tc>
          <w:tcPr>
            <w:tcW w:type="dxa" w:w="5037"/>
          </w:tcPr>
          <w:p>
            <w:r/>
            <w:r>
              <w:rPr>
                <w:rFonts w:ascii="Times New Roman" w:hAnsi="Times New Roman"/>
                <w:sz w:val="17"/>
              </w:rPr>
              <w:t>Total Kotlin source files</w:t>
            </w:r>
          </w:p>
        </w:tc>
        <w:tc>
          <w:tcPr>
            <w:tcW w:type="dxa" w:w="5037"/>
          </w:tcPr>
          <w:p>
            <w:pPr>
              <w:jc w:val="center"/>
            </w:pPr>
            <w:r/>
            <w:r>
              <w:rPr>
                <w:rFonts w:ascii="Times New Roman" w:hAnsi="Times New Roman"/>
                <w:sz w:val="17"/>
              </w:rPr>
              <w:t>148</w:t>
            </w:r>
          </w:p>
        </w:tc>
      </w:tr>
      <w:tr>
        <w:tc>
          <w:tcPr>
            <w:tcW w:type="dxa" w:w="5037"/>
          </w:tcPr>
          <w:p>
            <w:r/>
            <w:r>
              <w:rPr>
                <w:rFonts w:ascii="Times New Roman" w:hAnsi="Times New Roman"/>
                <w:sz w:val="17"/>
              </w:rPr>
              <w:t>Total lines of Kotlin code</w:t>
            </w:r>
          </w:p>
        </w:tc>
        <w:tc>
          <w:tcPr>
            <w:tcW w:type="dxa" w:w="5037"/>
          </w:tcPr>
          <w:p>
            <w:pPr>
              <w:jc w:val="center"/>
            </w:pPr>
            <w:r/>
            <w:r>
              <w:rPr>
                <w:rFonts w:ascii="Times New Roman" w:hAnsi="Times New Roman"/>
                <w:sz w:val="17"/>
              </w:rPr>
              <w:t>~26,753</w:t>
            </w:r>
          </w:p>
        </w:tc>
      </w:tr>
      <w:tr>
        <w:tc>
          <w:tcPr>
            <w:tcW w:type="dxa" w:w="5037"/>
          </w:tcPr>
          <w:p>
            <w:r/>
            <w:r>
              <w:rPr>
                <w:rFonts w:ascii="Times New Roman" w:hAnsi="Times New Roman"/>
                <w:sz w:val="17"/>
              </w:rPr>
              <w:t>Layout XML files</w:t>
            </w:r>
          </w:p>
        </w:tc>
        <w:tc>
          <w:tcPr>
            <w:tcW w:type="dxa" w:w="5037"/>
          </w:tcPr>
          <w:p>
            <w:pPr>
              <w:jc w:val="center"/>
            </w:pPr>
            <w:r/>
            <w:r>
              <w:rPr>
                <w:rFonts w:ascii="Times New Roman" w:hAnsi="Times New Roman"/>
                <w:sz w:val="17"/>
              </w:rPr>
              <w:t>74</w:t>
            </w:r>
          </w:p>
        </w:tc>
      </w:tr>
      <w:tr>
        <w:tc>
          <w:tcPr>
            <w:tcW w:type="dxa" w:w="5037"/>
          </w:tcPr>
          <w:p>
            <w:r/>
            <w:r>
              <w:rPr>
                <w:rFonts w:ascii="Times New Roman" w:hAnsi="Times New Roman"/>
                <w:sz w:val="17"/>
              </w:rPr>
              <w:t>Activity classes</w:t>
            </w:r>
          </w:p>
        </w:tc>
        <w:tc>
          <w:tcPr>
            <w:tcW w:type="dxa" w:w="5037"/>
          </w:tcPr>
          <w:p>
            <w:pPr>
              <w:jc w:val="center"/>
            </w:pPr>
            <w:r/>
            <w:r>
              <w:rPr>
                <w:rFonts w:ascii="Times New Roman" w:hAnsi="Times New Roman"/>
                <w:sz w:val="17"/>
              </w:rPr>
              <w:t>33</w:t>
            </w:r>
          </w:p>
        </w:tc>
      </w:tr>
      <w:tr>
        <w:tc>
          <w:tcPr>
            <w:tcW w:type="dxa" w:w="5037"/>
          </w:tcPr>
          <w:p>
            <w:r/>
            <w:r>
              <w:rPr>
                <w:rFonts w:ascii="Times New Roman" w:hAnsi="Times New Roman"/>
                <w:sz w:val="17"/>
              </w:rPr>
              <w:t>ViewModel classes</w:t>
            </w:r>
          </w:p>
        </w:tc>
        <w:tc>
          <w:tcPr>
            <w:tcW w:type="dxa" w:w="5037"/>
          </w:tcPr>
          <w:p>
            <w:pPr>
              <w:jc w:val="center"/>
            </w:pPr>
            <w:r/>
            <w:r>
              <w:rPr>
                <w:rFonts w:ascii="Times New Roman" w:hAnsi="Times New Roman"/>
                <w:sz w:val="17"/>
              </w:rPr>
              <w:t>22</w:t>
            </w:r>
          </w:p>
        </w:tc>
      </w:tr>
      <w:tr>
        <w:tc>
          <w:tcPr>
            <w:tcW w:type="dxa" w:w="5037"/>
          </w:tcPr>
          <w:p>
            <w:r/>
            <w:r>
              <w:rPr>
                <w:rFonts w:ascii="Times New Roman" w:hAnsi="Times New Roman"/>
                <w:sz w:val="17"/>
              </w:rPr>
              <w:t>Repository classes</w:t>
            </w:r>
          </w:p>
        </w:tc>
        <w:tc>
          <w:tcPr>
            <w:tcW w:type="dxa" w:w="5037"/>
          </w:tcPr>
          <w:p>
            <w:pPr>
              <w:jc w:val="center"/>
            </w:pPr>
            <w:r/>
            <w:r>
              <w:rPr>
                <w:rFonts w:ascii="Times New Roman" w:hAnsi="Times New Roman"/>
                <w:sz w:val="17"/>
              </w:rPr>
              <w:t>14</w:t>
            </w:r>
          </w:p>
        </w:tc>
      </w:tr>
      <w:tr>
        <w:tc>
          <w:tcPr>
            <w:tcW w:type="dxa" w:w="5037"/>
          </w:tcPr>
          <w:p>
            <w:r/>
            <w:r>
              <w:rPr>
                <w:rFonts w:ascii="Times New Roman" w:hAnsi="Times New Roman"/>
                <w:sz w:val="17"/>
              </w:rPr>
              <w:t>Data model classes</w:t>
            </w:r>
          </w:p>
        </w:tc>
        <w:tc>
          <w:tcPr>
            <w:tcW w:type="dxa" w:w="5037"/>
          </w:tcPr>
          <w:p>
            <w:pPr>
              <w:jc w:val="center"/>
            </w:pPr>
            <w:r/>
            <w:r>
              <w:rPr>
                <w:rFonts w:ascii="Times New Roman" w:hAnsi="Times New Roman"/>
                <w:sz w:val="17"/>
              </w:rPr>
              <w:t>17</w:t>
            </w:r>
          </w:p>
        </w:tc>
      </w:tr>
      <w:tr>
        <w:tc>
          <w:tcPr>
            <w:tcW w:type="dxa" w:w="5037"/>
          </w:tcPr>
          <w:p>
            <w:r/>
            <w:r>
              <w:rPr>
                <w:rFonts w:ascii="Times New Roman" w:hAnsi="Times New Roman"/>
                <w:sz w:val="17"/>
              </w:rPr>
              <w:t>Analytics engine classes</w:t>
            </w:r>
          </w:p>
        </w:tc>
        <w:tc>
          <w:tcPr>
            <w:tcW w:type="dxa" w:w="5037"/>
          </w:tcPr>
          <w:p>
            <w:pPr>
              <w:jc w:val="center"/>
            </w:pPr>
            <w:r/>
            <w:r>
              <w:rPr>
                <w:rFonts w:ascii="Times New Roman" w:hAnsi="Times New Roman"/>
                <w:sz w:val="17"/>
              </w:rPr>
              <w:t>9</w:t>
            </w:r>
          </w:p>
        </w:tc>
      </w:tr>
      <w:tr>
        <w:tc>
          <w:tcPr>
            <w:tcW w:type="dxa" w:w="5037"/>
          </w:tcPr>
          <w:p>
            <w:r/>
            <w:r>
              <w:rPr>
                <w:rFonts w:ascii="Times New Roman" w:hAnsi="Times New Roman"/>
                <w:sz w:val="17"/>
              </w:rPr>
              <w:t>Firestore collections</w:t>
            </w:r>
          </w:p>
        </w:tc>
        <w:tc>
          <w:tcPr>
            <w:tcW w:type="dxa" w:w="5037"/>
          </w:tcPr>
          <w:p>
            <w:pPr>
              <w:jc w:val="center"/>
            </w:pPr>
            <w:r/>
            <w:r>
              <w:rPr>
                <w:rFonts w:ascii="Times New Roman" w:hAnsi="Times New Roman"/>
                <w:sz w:val="17"/>
              </w:rPr>
              <w:t>17</w:t>
            </w:r>
          </w:p>
        </w:tc>
      </w:tr>
      <w:tr>
        <w:tc>
          <w:tcPr>
            <w:tcW w:type="dxa" w:w="5037"/>
          </w:tcPr>
          <w:p>
            <w:r/>
            <w:r>
              <w:rPr>
                <w:rFonts w:ascii="Times New Roman" w:hAnsi="Times New Roman"/>
                <w:sz w:val="17"/>
              </w:rPr>
              <w:t>Security rule helper functions</w:t>
            </w:r>
          </w:p>
        </w:tc>
        <w:tc>
          <w:tcPr>
            <w:tcW w:type="dxa" w:w="5037"/>
          </w:tcPr>
          <w:p>
            <w:pPr>
              <w:jc w:val="center"/>
            </w:pPr>
            <w:r/>
            <w:r>
              <w:rPr>
                <w:rFonts w:ascii="Times New Roman" w:hAnsi="Times New Roman"/>
                <w:sz w:val="17"/>
              </w:rPr>
              <w:t>11</w:t>
            </w:r>
          </w:p>
        </w:tc>
      </w:tr>
      <w:tr>
        <w:tc>
          <w:tcPr>
            <w:tcW w:type="dxa" w:w="5037"/>
          </w:tcPr>
          <w:p>
            <w:r/>
            <w:r>
              <w:rPr>
                <w:rFonts w:ascii="Times New Roman" w:hAnsi="Times New Roman"/>
                <w:sz w:val="17"/>
              </w:rPr>
              <w:t>Security rules (lines)</w:t>
            </w:r>
          </w:p>
        </w:tc>
        <w:tc>
          <w:tcPr>
            <w:tcW w:type="dxa" w:w="5037"/>
          </w:tcPr>
          <w:p>
            <w:pPr>
              <w:jc w:val="center"/>
            </w:pPr>
            <w:r/>
            <w:r>
              <w:rPr>
                <w:rFonts w:ascii="Times New Roman" w:hAnsi="Times New Roman"/>
                <w:sz w:val="17"/>
              </w:rPr>
              <w:t>540</w:t>
            </w:r>
          </w:p>
        </w:tc>
      </w:tr>
      <w:tr>
        <w:tc>
          <w:tcPr>
            <w:tcW w:type="dxa" w:w="5037"/>
          </w:tcPr>
          <w:p>
            <w:r/>
            <w:r>
              <w:rPr>
                <w:rFonts w:ascii="Times New Roman" w:hAnsi="Times New Roman"/>
                <w:sz w:val="17"/>
              </w:rPr>
              <w:t>Domain use cases</w:t>
            </w:r>
          </w:p>
        </w:tc>
        <w:tc>
          <w:tcPr>
            <w:tcW w:type="dxa" w:w="5037"/>
          </w:tcPr>
          <w:p>
            <w:pPr>
              <w:jc w:val="center"/>
            </w:pPr>
            <w:r/>
            <w:r>
              <w:rPr>
                <w:rFonts w:ascii="Times New Roman" w:hAnsi="Times New Roman"/>
                <w:sz w:val="17"/>
              </w:rPr>
              <w:t>3</w:t>
            </w:r>
          </w:p>
        </w:tc>
      </w:tr>
      <w:tr>
        <w:tc>
          <w:tcPr>
            <w:tcW w:type="dxa" w:w="5037"/>
          </w:tcPr>
          <w:p>
            <w:r/>
            <w:r>
              <w:rPr>
                <w:rFonts w:ascii="Times New Roman" w:hAnsi="Times New Roman"/>
                <w:sz w:val="17"/>
              </w:rPr>
              <w:t>Notification channels</w:t>
            </w:r>
          </w:p>
        </w:tc>
        <w:tc>
          <w:tcPr>
            <w:tcW w:type="dxa" w:w="5037"/>
          </w:tcPr>
          <w:p>
            <w:pPr>
              <w:jc w:val="center"/>
            </w:pPr>
            <w:r/>
            <w:r>
              <w:rPr>
                <w:rFonts w:ascii="Times New Roman" w:hAnsi="Times New Roman"/>
                <w:sz w:val="17"/>
              </w:rPr>
              <w:t>3</w:t>
            </w:r>
          </w:p>
        </w:tc>
      </w:tr>
      <w:tr>
        <w:tc>
          <w:tcPr>
            <w:tcW w:type="dxa" w:w="5037"/>
          </w:tcPr>
          <w:p>
            <w:r/>
            <w:r>
              <w:rPr>
                <w:rFonts w:ascii="Times New Roman" w:hAnsi="Times New Roman"/>
                <w:sz w:val="17"/>
              </w:rPr>
              <w:t>User roles</w:t>
            </w:r>
          </w:p>
        </w:tc>
        <w:tc>
          <w:tcPr>
            <w:tcW w:type="dxa" w:w="5037"/>
          </w:tcPr>
          <w:p>
            <w:pPr>
              <w:jc w:val="center"/>
            </w:pPr>
            <w:r/>
            <w:r>
              <w:rPr>
                <w:rFonts w:ascii="Times New Roman" w:hAnsi="Times New Roman"/>
                <w:sz w:val="17"/>
              </w:rPr>
              <w:t>4</w:t>
            </w:r>
          </w:p>
        </w:tc>
      </w:tr>
      <w:tr>
        <w:tc>
          <w:tcPr>
            <w:tcW w:type="dxa" w:w="5037"/>
          </w:tcPr>
          <w:p>
            <w:r/>
            <w:r>
              <w:rPr>
                <w:rFonts w:ascii="Times New Roman" w:hAnsi="Times New Roman"/>
                <w:sz w:val="17"/>
              </w:rPr>
              <w:t>Clinical decision types</w:t>
            </w:r>
          </w:p>
        </w:tc>
        <w:tc>
          <w:tcPr>
            <w:tcW w:type="dxa" w:w="5037"/>
          </w:tcPr>
          <w:p>
            <w:pPr>
              <w:jc w:val="center"/>
            </w:pPr>
            <w:r/>
            <w:r>
              <w:rPr>
                <w:rFonts w:ascii="Times New Roman" w:hAnsi="Times New Roman"/>
                <w:sz w:val="17"/>
              </w:rPr>
              <w:t>7</w:t>
            </w:r>
          </w:p>
        </w:tc>
      </w:tr>
      <w:tr>
        <w:tc>
          <w:tcPr>
            <w:tcW w:type="dxa" w:w="5037"/>
          </w:tcPr>
          <w:p>
            <w:r/>
            <w:r>
              <w:rPr>
                <w:rFonts w:ascii="Times New Roman" w:hAnsi="Times New Roman"/>
                <w:sz w:val="17"/>
              </w:rPr>
              <w:t>Order status states</w:t>
            </w:r>
          </w:p>
        </w:tc>
        <w:tc>
          <w:tcPr>
            <w:tcW w:type="dxa" w:w="5037"/>
          </w:tcPr>
          <w:p>
            <w:pPr>
              <w:jc w:val="center"/>
            </w:pPr>
            <w:r/>
            <w:r>
              <w:rPr>
                <w:rFonts w:ascii="Times New Roman" w:hAnsi="Times New Roman"/>
                <w:sz w:val="17"/>
              </w:rPr>
              <w:t>6</w:t>
            </w:r>
          </w:p>
        </w:tc>
      </w:tr>
      <w:tr>
        <w:tc>
          <w:tcPr>
            <w:tcW w:type="dxa" w:w="5037"/>
          </w:tcPr>
          <w:p>
            <w:r/>
            <w:r>
              <w:rPr>
                <w:rFonts w:ascii="Times New Roman" w:hAnsi="Times New Roman"/>
                <w:sz w:val="17"/>
              </w:rPr>
              <w:t>Minimum SDK version</w:t>
            </w:r>
          </w:p>
        </w:tc>
        <w:tc>
          <w:tcPr>
            <w:tcW w:type="dxa" w:w="5037"/>
          </w:tcPr>
          <w:p>
            <w:pPr>
              <w:jc w:val="center"/>
            </w:pPr>
            <w:r/>
            <w:r>
              <w:rPr>
                <w:rFonts w:ascii="Times New Roman" w:hAnsi="Times New Roman"/>
                <w:sz w:val="17"/>
              </w:rPr>
              <w:t>24 (Android 7.0)</w:t>
            </w:r>
          </w:p>
        </w:tc>
      </w:tr>
      <w:tr>
        <w:tc>
          <w:tcPr>
            <w:tcW w:type="dxa" w:w="5037"/>
          </w:tcPr>
          <w:p>
            <w:r/>
            <w:r>
              <w:rPr>
                <w:rFonts w:ascii="Times New Roman" w:hAnsi="Times New Roman"/>
                <w:sz w:val="17"/>
              </w:rPr>
              <w:t>Target/Compile SDK version</w:t>
            </w:r>
          </w:p>
        </w:tc>
        <w:tc>
          <w:tcPr>
            <w:tcW w:type="dxa" w:w="5037"/>
          </w:tcPr>
          <w:p>
            <w:pPr>
              <w:jc w:val="center"/>
            </w:pPr>
            <w:r/>
            <w:r>
              <w:rPr>
                <w:rFonts w:ascii="Times New Roman" w:hAnsi="Times New Roman"/>
                <w:sz w:val="17"/>
              </w:rPr>
              <w:t>36</w:t>
            </w:r>
          </w:p>
        </w:tc>
      </w:tr>
    </w:tbl>
    <w:p>
      <w:pPr>
        <w:spacing w:after="120"/>
      </w:pPr>
    </w:p>
    <w:p>
      <w:pPr>
        <w:spacing w:before="200" w:after="80"/>
      </w:pPr>
      <w:r>
        <w:rPr>
          <w:rFonts w:ascii="Times New Roman" w:hAnsi="Times New Roman"/>
          <w:b/>
          <w:i/>
          <w:sz w:val="20"/>
        </w:rPr>
        <w:t>B. Architecture Quality Assessment</w:t>
      </w:r>
    </w:p>
    <w:p>
      <w:pPr>
        <w:spacing w:after="120"/>
        <w:ind w:firstLine="425"/>
      </w:pPr>
      <w:r>
        <w:rPr>
          <w:rFonts w:ascii="Times New Roman" w:hAnsi="Times New Roman"/>
          <w:sz w:val="20"/>
        </w:rPr>
        <w:t>We evaluate MediTrack's architecture against established software quality attributes. In terms of modularity, the MVVM architecture with dependency injection achieves high modularity, with each feature area encapsulated in dedicated packages with clear boundaries and 14 repositories providing well-defined data access interfaces.</w:t>
      </w:r>
    </w:p>
    <w:p>
      <w:pPr>
        <w:spacing w:after="120"/>
        <w:ind w:firstLine="425"/>
      </w:pPr>
      <w:r>
        <w:rPr>
          <w:rFonts w:ascii="Times New Roman" w:hAnsi="Times New Roman"/>
          <w:sz w:val="20"/>
        </w:rPr>
        <w:t>Regarding separation of concerns, the four-layer architecture (Presentation, Domain, Data, Infrastructure) ensures that UI logic, business rules, data access, and platform concerns remain decoupled. ViewModels contain no direct Firebase references, communicating exclusively through repository abstractions.</w:t>
      </w:r>
    </w:p>
    <w:p>
      <w:pPr>
        <w:spacing w:after="120"/>
        <w:ind w:firstLine="425"/>
      </w:pPr>
      <w:r>
        <w:rPr>
          <w:rFonts w:ascii="Times New Roman" w:hAnsi="Times New Roman"/>
          <w:sz w:val="20"/>
        </w:rPr>
        <w:t>For security coverage, server-side security rules cover all 17 collections with role-specific access patterns. Five collections enforce immutability, and two collections implement state-machine validation. Client-side security includes backup prevention and encrypted local storage.</w:t>
      </w:r>
    </w:p>
    <w:p>
      <w:pPr>
        <w:spacing w:after="120"/>
        <w:ind w:firstLine="425"/>
      </w:pPr>
      <w:r>
        <w:rPr>
          <w:rFonts w:ascii="Times New Roman" w:hAnsi="Times New Roman"/>
          <w:sz w:val="20"/>
        </w:rPr>
        <w:t>In terms of offline resilience, the dual offline strategy (100 MB Firestore PersistentCache plus SharedPreferences-based OfflineQueueManager) enables continued operation without network connectivity. WorkManager-based periodic synchronization at 15-minute intervals ensures eventual consistency.</w:t>
      </w:r>
    </w:p>
    <w:p>
      <w:pPr>
        <w:spacing w:before="200" w:after="80"/>
      </w:pPr>
      <w:r>
        <w:rPr>
          <w:rFonts w:ascii="Times New Roman" w:hAnsi="Times New Roman"/>
          <w:b/>
          <w:i/>
          <w:sz w:val="20"/>
        </w:rPr>
        <w:t>C. Feature Coverage Analysis</w:t>
      </w:r>
    </w:p>
    <w:p>
      <w:pPr>
        <w:spacing w:after="120"/>
        <w:ind w:firstLine="425"/>
      </w:pPr>
      <w:r>
        <w:rPr>
          <w:rFonts w:ascii="Times New Roman" w:hAnsi="Times New Roman"/>
          <w:sz w:val="20"/>
        </w:rPr>
        <w:t>Table VII compares MediTrack's feature coverage with the requirements identified in recent mHealth literature surveys [17][18].</w:t>
      </w:r>
    </w:p>
    <w:p>
      <w:pPr>
        <w:spacing w:before="200" w:after="80"/>
        <w:jc w:val="center"/>
      </w:pPr>
      <w:r>
        <w:rPr>
          <w:rFonts w:ascii="Times New Roman" w:hAnsi="Times New Roman"/>
          <w:b/>
          <w:sz w:val="18"/>
        </w:rPr>
        <w:t xml:space="preserve">TABLE VII: </w:t>
      </w:r>
      <w:r>
        <w:rPr>
          <w:rFonts w:ascii="Times New Roman" w:hAnsi="Times New Roman"/>
          <w:sz w:val="18"/>
        </w:rPr>
        <w:t>FEATURE COVERAGE VS. MHEALTH REQUIREMENTS</w:t>
      </w:r>
    </w:p>
    <w:tbl>
      <w:tblPr>
        <w:tblStyle w:val="TableGrid"/>
        <w:tblW w:type="auto" w:w="0"/>
        <w:jc w:val="center"/>
        <w:tblLook w:firstColumn="1" w:firstRow="1" w:lastColumn="0" w:lastRow="0" w:noHBand="0" w:noVBand="1" w:val="04A0"/>
      </w:tblPr>
      <w:tblGrid>
        <w:gridCol w:w="3358"/>
        <w:gridCol w:w="3358"/>
        <w:gridCol w:w="3358"/>
      </w:tblGrid>
      <w:tr>
        <w:tc>
          <w:tcPr>
            <w:tcW w:type="dxa" w:w="3358"/>
            <w:shd w:fill="D9E2F3" w:val="clear"/>
          </w:tcPr>
          <w:p>
            <w:pPr>
              <w:jc w:val="center"/>
            </w:pPr>
            <w:r/>
            <w:r>
              <w:rPr>
                <w:rFonts w:ascii="Times New Roman" w:hAnsi="Times New Roman"/>
                <w:b/>
                <w:sz w:val="17"/>
              </w:rPr>
              <w:t>Requirement Category</w:t>
            </w:r>
          </w:p>
        </w:tc>
        <w:tc>
          <w:tcPr>
            <w:tcW w:type="dxa" w:w="3358"/>
            <w:shd w:fill="D9E2F3" w:val="clear"/>
          </w:tcPr>
          <w:p>
            <w:pPr>
              <w:jc w:val="center"/>
            </w:pPr>
            <w:r/>
            <w:r>
              <w:rPr>
                <w:rFonts w:ascii="Times New Roman" w:hAnsi="Times New Roman"/>
                <w:b/>
                <w:sz w:val="17"/>
              </w:rPr>
              <w:t>Specific Feature</w:t>
            </w:r>
          </w:p>
        </w:tc>
        <w:tc>
          <w:tcPr>
            <w:tcW w:type="dxa" w:w="3358"/>
            <w:shd w:fill="D9E2F3" w:val="clear"/>
          </w:tcPr>
          <w:p>
            <w:pPr>
              <w:jc w:val="center"/>
            </w:pPr>
            <w:r/>
            <w:r>
              <w:rPr>
                <w:rFonts w:ascii="Times New Roman" w:hAnsi="Times New Roman"/>
                <w:b/>
                <w:sz w:val="17"/>
              </w:rPr>
              <w:t>MediTrack Implementation</w:t>
            </w:r>
          </w:p>
        </w:tc>
      </w:tr>
      <w:tr>
        <w:tc>
          <w:tcPr>
            <w:tcW w:type="dxa" w:w="3358"/>
          </w:tcPr>
          <w:p>
            <w:r/>
            <w:r>
              <w:rPr>
                <w:rFonts w:ascii="Times New Roman" w:hAnsi="Times New Roman"/>
                <w:sz w:val="17"/>
              </w:rPr>
              <w:t>Medication Mgmt</w:t>
            </w:r>
          </w:p>
        </w:tc>
        <w:tc>
          <w:tcPr>
            <w:tcW w:type="dxa" w:w="3358"/>
          </w:tcPr>
          <w:p>
            <w:pPr>
              <w:jc w:val="center"/>
            </w:pPr>
            <w:r/>
            <w:r>
              <w:rPr>
                <w:rFonts w:ascii="Times New Roman" w:hAnsi="Times New Roman"/>
                <w:sz w:val="17"/>
              </w:rPr>
              <w:t>Reminder scheduling</w:t>
            </w:r>
          </w:p>
        </w:tc>
        <w:tc>
          <w:tcPr>
            <w:tcW w:type="dxa" w:w="3358"/>
          </w:tcPr>
          <w:p>
            <w:pPr>
              <w:jc w:val="center"/>
            </w:pPr>
            <w:r/>
            <w:r>
              <w:rPr>
                <w:rFonts w:ascii="Times New Roman" w:hAnsi="Times New Roman"/>
                <w:sz w:val="17"/>
              </w:rPr>
              <w:t>ExactAlarm + ForegroundService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Adherence tracking</w:t>
            </w:r>
          </w:p>
        </w:tc>
        <w:tc>
          <w:tcPr>
            <w:tcW w:type="dxa" w:w="3358"/>
          </w:tcPr>
          <w:p>
            <w:pPr>
              <w:jc w:val="center"/>
            </w:pPr>
            <w:r/>
            <w:r>
              <w:rPr>
                <w:rFonts w:ascii="Times New Roman" w:hAnsi="Times New Roman"/>
                <w:sz w:val="17"/>
              </w:rPr>
              <w:t>Immutable intake records</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Low stock alerts</w:t>
            </w:r>
          </w:p>
        </w:tc>
        <w:tc>
          <w:tcPr>
            <w:tcW w:type="dxa" w:w="3358"/>
          </w:tcPr>
          <w:p>
            <w:pPr>
              <w:jc w:val="center"/>
            </w:pPr>
            <w:r/>
            <w:r>
              <w:rPr>
                <w:rFonts w:ascii="Times New Roman" w:hAnsi="Times New Roman"/>
                <w:sz w:val="17"/>
              </w:rPr>
              <w:t>Threshold-based</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Refill ordering</w:t>
            </w:r>
          </w:p>
        </w:tc>
        <w:tc>
          <w:tcPr>
            <w:tcW w:type="dxa" w:w="3358"/>
          </w:tcPr>
          <w:p>
            <w:pPr>
              <w:jc w:val="center"/>
            </w:pPr>
            <w:r/>
            <w:r>
              <w:rPr>
                <w:rFonts w:ascii="Times New Roman" w:hAnsi="Times New Roman"/>
                <w:sz w:val="17"/>
              </w:rPr>
              <w:t>State machine workflow</w:t>
            </w:r>
          </w:p>
        </w:tc>
      </w:tr>
      <w:tr>
        <w:tc>
          <w:tcPr>
            <w:tcW w:type="dxa" w:w="3358"/>
          </w:tcPr>
          <w:p>
            <w:r/>
            <w:r>
              <w:rPr>
                <w:rFonts w:ascii="Times New Roman" w:hAnsi="Times New Roman"/>
                <w:sz w:val="17"/>
              </w:rPr>
              <w:t>Health Monitoring</w:t>
            </w:r>
          </w:p>
        </w:tc>
        <w:tc>
          <w:tcPr>
            <w:tcW w:type="dxa" w:w="3358"/>
          </w:tcPr>
          <w:p>
            <w:pPr>
              <w:jc w:val="center"/>
            </w:pPr>
            <w:r/>
            <w:r>
              <w:rPr>
                <w:rFonts w:ascii="Times New Roman" w:hAnsi="Times New Roman"/>
                <w:sz w:val="17"/>
              </w:rPr>
              <w:t>Vital sign logging</w:t>
            </w:r>
          </w:p>
        </w:tc>
        <w:tc>
          <w:tcPr>
            <w:tcW w:type="dxa" w:w="3358"/>
          </w:tcPr>
          <w:p>
            <w:pPr>
              <w:jc w:val="center"/>
            </w:pPr>
            <w:r/>
            <w:r>
              <w:rPr>
                <w:rFonts w:ascii="Times New Roman" w:hAnsi="Times New Roman"/>
                <w:sz w:val="17"/>
              </w:rPr>
              <w:t>6 vital types + symptoms</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Trend detection</w:t>
            </w:r>
          </w:p>
        </w:tc>
        <w:tc>
          <w:tcPr>
            <w:tcW w:type="dxa" w:w="3358"/>
          </w:tcPr>
          <w:p>
            <w:pPr>
              <w:jc w:val="center"/>
            </w:pPr>
            <w:r/>
            <w:r>
              <w:rPr>
                <w:rFonts w:ascii="Times New Roman" w:hAnsi="Times New Roman"/>
                <w:sz w:val="17"/>
              </w:rPr>
              <w:t>Consecutive pattern + regression</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Risk assessment</w:t>
            </w:r>
          </w:p>
        </w:tc>
        <w:tc>
          <w:tcPr>
            <w:tcW w:type="dxa" w:w="3358"/>
          </w:tcPr>
          <w:p>
            <w:pPr>
              <w:jc w:val="center"/>
            </w:pPr>
            <w:r/>
            <w:r>
              <w:rPr>
                <w:rFonts w:ascii="Times New Roman" w:hAnsi="Times New Roman"/>
                <w:sz w:val="17"/>
              </w:rPr>
              <w:t>Composite 0–100 scoring</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Threshold alerts</w:t>
            </w:r>
          </w:p>
        </w:tc>
        <w:tc>
          <w:tcPr>
            <w:tcW w:type="dxa" w:w="3358"/>
          </w:tcPr>
          <w:p>
            <w:pPr>
              <w:jc w:val="center"/>
            </w:pPr>
            <w:r/>
            <w:r>
              <w:rPr>
                <w:rFonts w:ascii="Times New Roman" w:hAnsi="Times New Roman"/>
                <w:sz w:val="17"/>
              </w:rPr>
              <w:t>Evidence-based thresholds</w:t>
            </w:r>
          </w:p>
        </w:tc>
      </w:tr>
      <w:tr>
        <w:tc>
          <w:tcPr>
            <w:tcW w:type="dxa" w:w="3358"/>
          </w:tcPr>
          <w:p>
            <w:r/>
            <w:r>
              <w:rPr>
                <w:rFonts w:ascii="Times New Roman" w:hAnsi="Times New Roman"/>
                <w:sz w:val="17"/>
              </w:rPr>
              <w:t>Clinical Support</w:t>
            </w:r>
          </w:p>
        </w:tc>
        <w:tc>
          <w:tcPr>
            <w:tcW w:type="dxa" w:w="3358"/>
          </w:tcPr>
          <w:p>
            <w:pPr>
              <w:jc w:val="center"/>
            </w:pPr>
            <w:r/>
            <w:r>
              <w:rPr>
                <w:rFonts w:ascii="Times New Roman" w:hAnsi="Times New Roman"/>
                <w:sz w:val="17"/>
              </w:rPr>
              <w:t>Prescription mgmt</w:t>
            </w:r>
          </w:p>
        </w:tc>
        <w:tc>
          <w:tcPr>
            <w:tcW w:type="dxa" w:w="3358"/>
          </w:tcPr>
          <w:p>
            <w:pPr>
              <w:jc w:val="center"/>
            </w:pPr>
            <w:r/>
            <w:r>
              <w:rPr>
                <w:rFonts w:ascii="Times New Roman" w:hAnsi="Times New Roman"/>
                <w:sz w:val="17"/>
              </w:rPr>
              <w:t>Versioned, immutable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Clinical decisions</w:t>
            </w:r>
          </w:p>
        </w:tc>
        <w:tc>
          <w:tcPr>
            <w:tcW w:type="dxa" w:w="3358"/>
          </w:tcPr>
          <w:p>
            <w:pPr>
              <w:jc w:val="center"/>
            </w:pPr>
            <w:r/>
            <w:r>
              <w:rPr>
                <w:rFonts w:ascii="Times New Roman" w:hAnsi="Times New Roman"/>
                <w:sz w:val="17"/>
              </w:rPr>
              <w:t>7 decision types</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Doctor notes</w:t>
            </w:r>
          </w:p>
        </w:tc>
        <w:tc>
          <w:tcPr>
            <w:tcW w:type="dxa" w:w="3358"/>
          </w:tcPr>
          <w:p>
            <w:pPr>
              <w:jc w:val="center"/>
            </w:pPr>
            <w:r/>
            <w:r>
              <w:rPr>
                <w:rFonts w:ascii="Times New Roman" w:hAnsi="Times New Roman"/>
                <w:sz w:val="17"/>
              </w:rPr>
              <w:t>Public + private</w:t>
            </w:r>
          </w:p>
        </w:tc>
      </w:tr>
      <w:tr>
        <w:tc>
          <w:tcPr>
            <w:tcW w:type="dxa" w:w="3358"/>
          </w:tcPr>
          <w:p>
            <w:r/>
            <w:r>
              <w:rPr>
                <w:rFonts w:ascii="Times New Roman" w:hAnsi="Times New Roman"/>
                <w:sz w:val="17"/>
              </w:rPr>
              <w:t>Communication</w:t>
            </w:r>
          </w:p>
        </w:tc>
        <w:tc>
          <w:tcPr>
            <w:tcW w:type="dxa" w:w="3358"/>
          </w:tcPr>
          <w:p>
            <w:pPr>
              <w:jc w:val="center"/>
            </w:pPr>
            <w:r/>
            <w:r>
              <w:rPr>
                <w:rFonts w:ascii="Times New Roman" w:hAnsi="Times New Roman"/>
                <w:sz w:val="17"/>
              </w:rPr>
              <w:t>Doctor-patient chat</w:t>
            </w:r>
          </w:p>
        </w:tc>
        <w:tc>
          <w:tcPr>
            <w:tcW w:type="dxa" w:w="3358"/>
          </w:tcPr>
          <w:p>
            <w:pPr>
              <w:jc w:val="center"/>
            </w:pPr>
            <w:r/>
            <w:r>
              <w:rPr>
                <w:rFonts w:ascii="Times New Roman" w:hAnsi="Times New Roman"/>
                <w:sz w:val="17"/>
              </w:rPr>
              <w:t>Real-time Firestore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Read receipts</w:t>
            </w:r>
          </w:p>
        </w:tc>
        <w:tc>
          <w:tcPr>
            <w:tcW w:type="dxa" w:w="3358"/>
          </w:tcPr>
          <w:p>
            <w:pPr>
              <w:jc w:val="center"/>
            </w:pPr>
            <w:r/>
            <w:r>
              <w:rPr>
                <w:rFonts w:ascii="Times New Roman" w:hAnsi="Times New Roman"/>
                <w:sz w:val="17"/>
              </w:rPr>
              <w:t>Yes</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Appointment scheduling</w:t>
            </w:r>
          </w:p>
        </w:tc>
        <w:tc>
          <w:tcPr>
            <w:tcW w:type="dxa" w:w="3358"/>
          </w:tcPr>
          <w:p>
            <w:pPr>
              <w:jc w:val="center"/>
            </w:pPr>
            <w:r/>
            <w:r>
              <w:rPr>
                <w:rFonts w:ascii="Times New Roman" w:hAnsi="Times New Roman"/>
                <w:sz w:val="17"/>
              </w:rPr>
              <w:t>4 appointment types</w:t>
            </w:r>
          </w:p>
        </w:tc>
      </w:tr>
      <w:tr>
        <w:tc>
          <w:tcPr>
            <w:tcW w:type="dxa" w:w="3358"/>
          </w:tcPr>
          <w:p>
            <w:r/>
            <w:r>
              <w:rPr>
                <w:rFonts w:ascii="Times New Roman" w:hAnsi="Times New Roman"/>
                <w:sz w:val="17"/>
              </w:rPr>
              <w:t>Pharmacy</w:t>
            </w:r>
          </w:p>
        </w:tc>
        <w:tc>
          <w:tcPr>
            <w:tcW w:type="dxa" w:w="3358"/>
          </w:tcPr>
          <w:p>
            <w:pPr>
              <w:jc w:val="center"/>
            </w:pPr>
            <w:r/>
            <w:r>
              <w:rPr>
                <w:rFonts w:ascii="Times New Roman" w:hAnsi="Times New Roman"/>
                <w:sz w:val="17"/>
              </w:rPr>
              <w:t>Inventory management</w:t>
            </w:r>
          </w:p>
        </w:tc>
        <w:tc>
          <w:tcPr>
            <w:tcW w:type="dxa" w:w="3358"/>
          </w:tcPr>
          <w:p>
            <w:pPr>
              <w:jc w:val="center"/>
            </w:pPr>
            <w:r/>
            <w:r>
              <w:rPr>
                <w:rFonts w:ascii="Times New Roman" w:hAnsi="Times New Roman"/>
                <w:sz w:val="17"/>
              </w:rPr>
              <w:t>Real-time, soft-delete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Order fulfillment</w:t>
            </w:r>
          </w:p>
        </w:tc>
        <w:tc>
          <w:tcPr>
            <w:tcW w:type="dxa" w:w="3358"/>
          </w:tcPr>
          <w:p>
            <w:pPr>
              <w:jc w:val="center"/>
            </w:pPr>
            <w:r/>
            <w:r>
              <w:rPr>
                <w:rFonts w:ascii="Times New Roman" w:hAnsi="Times New Roman"/>
                <w:sz w:val="17"/>
              </w:rPr>
              <w:t>6-state machine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Prescription verification</w:t>
            </w:r>
          </w:p>
        </w:tc>
        <w:tc>
          <w:tcPr>
            <w:tcW w:type="dxa" w:w="3358"/>
          </w:tcPr>
          <w:p>
            <w:pPr>
              <w:jc w:val="center"/>
            </w:pPr>
            <w:r/>
            <w:r>
              <w:rPr>
                <w:rFonts w:ascii="Times New Roman" w:hAnsi="Times New Roman"/>
                <w:sz w:val="17"/>
              </w:rPr>
              <w:t>Use case driven</w:t>
            </w:r>
          </w:p>
        </w:tc>
      </w:tr>
      <w:tr>
        <w:tc>
          <w:tcPr>
            <w:tcW w:type="dxa" w:w="3358"/>
          </w:tcPr>
          <w:p>
            <w:r/>
            <w:r>
              <w:rPr>
                <w:rFonts w:ascii="Times New Roman" w:hAnsi="Times New Roman"/>
                <w:sz w:val="17"/>
              </w:rPr>
              <w:t>Security</w:t>
            </w:r>
          </w:p>
        </w:tc>
        <w:tc>
          <w:tcPr>
            <w:tcW w:type="dxa" w:w="3358"/>
          </w:tcPr>
          <w:p>
            <w:pPr>
              <w:jc w:val="center"/>
            </w:pPr>
            <w:r/>
            <w:r>
              <w:rPr>
                <w:rFonts w:ascii="Times New Roman" w:hAnsi="Times New Roman"/>
                <w:sz w:val="17"/>
              </w:rPr>
              <w:t>Authentication</w:t>
            </w:r>
          </w:p>
        </w:tc>
        <w:tc>
          <w:tcPr>
            <w:tcW w:type="dxa" w:w="3358"/>
          </w:tcPr>
          <w:p>
            <w:pPr>
              <w:jc w:val="center"/>
            </w:pPr>
            <w:r/>
            <w:r>
              <w:rPr>
                <w:rFonts w:ascii="Times New Roman" w:hAnsi="Times New Roman"/>
                <w:sz w:val="17"/>
              </w:rPr>
              <w:t>Email + Google OAuth</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Authorization (RBAC)</w:t>
            </w:r>
          </w:p>
        </w:tc>
        <w:tc>
          <w:tcPr>
            <w:tcW w:type="dxa" w:w="3358"/>
          </w:tcPr>
          <w:p>
            <w:pPr>
              <w:jc w:val="center"/>
            </w:pPr>
            <w:r/>
            <w:r>
              <w:rPr>
                <w:rFonts w:ascii="Times New Roman" w:hAnsi="Times New Roman"/>
                <w:sz w:val="17"/>
              </w:rPr>
              <w:t>4 roles, server-side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Audit trail</w:t>
            </w:r>
          </w:p>
        </w:tc>
        <w:tc>
          <w:tcPr>
            <w:tcW w:type="dxa" w:w="3358"/>
          </w:tcPr>
          <w:p>
            <w:pPr>
              <w:jc w:val="center"/>
            </w:pPr>
            <w:r/>
            <w:r>
              <w:rPr>
                <w:rFonts w:ascii="Times New Roman" w:hAnsi="Times New Roman"/>
                <w:sz w:val="17"/>
              </w:rPr>
              <w:t>Immutable, append-only</w:t>
            </w:r>
          </w:p>
        </w:tc>
      </w:tr>
      <w:tr>
        <w:tc>
          <w:tcPr>
            <w:tcW w:type="dxa" w:w="3358"/>
          </w:tcPr>
          <w:p>
            <w:r/>
            <w:r>
              <w:rPr>
                <w:rFonts w:ascii="Times New Roman" w:hAnsi="Times New Roman"/>
                <w:sz w:val="17"/>
              </w:rPr>
              <w:t>Offline Support</w:t>
            </w:r>
          </w:p>
        </w:tc>
        <w:tc>
          <w:tcPr>
            <w:tcW w:type="dxa" w:w="3358"/>
          </w:tcPr>
          <w:p>
            <w:pPr>
              <w:jc w:val="center"/>
            </w:pPr>
            <w:r/>
            <w:r>
              <w:rPr>
                <w:rFonts w:ascii="Times New Roman" w:hAnsi="Times New Roman"/>
                <w:sz w:val="17"/>
              </w:rPr>
              <w:t>Offline data access</w:t>
            </w:r>
          </w:p>
        </w:tc>
        <w:tc>
          <w:tcPr>
            <w:tcW w:type="dxa" w:w="3358"/>
          </w:tcPr>
          <w:p>
            <w:pPr>
              <w:jc w:val="center"/>
            </w:pPr>
            <w:r/>
            <w:r>
              <w:rPr>
                <w:rFonts w:ascii="Times New Roman" w:hAnsi="Times New Roman"/>
                <w:sz w:val="17"/>
              </w:rPr>
              <w:t>100 MB persistent cache</w:t>
            </w:r>
          </w:p>
        </w:tc>
      </w:tr>
      <w:tr>
        <w:tc>
          <w:tcPr>
            <w:tcW w:type="dxa" w:w="3358"/>
          </w:tcPr>
          <w:p>
            <w:r/>
            <w:r>
              <w:rPr>
                <w:rFonts w:ascii="Times New Roman" w:hAnsi="Times New Roman"/>
                <w:sz w:val="17"/>
              </w:rPr>
            </w:r>
          </w:p>
        </w:tc>
        <w:tc>
          <w:tcPr>
            <w:tcW w:type="dxa" w:w="3358"/>
          </w:tcPr>
          <w:p>
            <w:pPr>
              <w:jc w:val="center"/>
            </w:pPr>
            <w:r/>
            <w:r>
              <w:rPr>
                <w:rFonts w:ascii="Times New Roman" w:hAnsi="Times New Roman"/>
                <w:sz w:val="17"/>
              </w:rPr>
              <w:t>Background sync</w:t>
            </w:r>
          </w:p>
        </w:tc>
        <w:tc>
          <w:tcPr>
            <w:tcW w:type="dxa" w:w="3358"/>
          </w:tcPr>
          <w:p>
            <w:pPr>
              <w:jc w:val="center"/>
            </w:pPr>
            <w:r/>
            <w:r>
              <w:rPr>
                <w:rFonts w:ascii="Times New Roman" w:hAnsi="Times New Roman"/>
                <w:sz w:val="17"/>
              </w:rPr>
              <w:t>WorkManager, 15-min interval</w:t>
            </w:r>
          </w:p>
        </w:tc>
      </w:tr>
    </w:tbl>
    <w:p>
      <w:pPr>
        <w:spacing w:after="120"/>
      </w:pPr>
    </w:p>
    <w:p>
      <w:pPr>
        <w:spacing w:before="200" w:after="80"/>
      </w:pPr>
      <w:r>
        <w:rPr>
          <w:rFonts w:ascii="Times New Roman" w:hAnsi="Times New Roman"/>
          <w:b/>
          <w:i/>
          <w:sz w:val="20"/>
        </w:rPr>
        <w:t>D. Analytics Pipeline Evaluation</w:t>
      </w:r>
    </w:p>
    <w:p>
      <w:pPr>
        <w:spacing w:after="120"/>
        <w:ind w:firstLine="425"/>
      </w:pPr>
      <w:r>
        <w:rPr>
          <w:rFonts w:ascii="Times New Roman" w:hAnsi="Times New Roman"/>
          <w:sz w:val="20"/>
        </w:rPr>
        <w:t>To evaluate the analytics pipeline's clinical alignment, we compared MediTrack's threshold values against published clinical guidelines. Blood pressure thresholds align with AHA/ACC 2017 guidelines [19]. Glucose thresholds align with ADA 2024 Standards of Care [20]. Heart rate thresholds align with standard clinical ranges [21]. Temperature thresholds align with WHO fever classification [22]. The multi-factor correlation rules (metabolic syndrome risk, cardiac stress, uncontrolled diabetic risk) are based on established clinical associations documented in medical literature [23][24].</w:t>
      </w:r>
    </w:p>
    <w:p>
      <w:pPr>
        <w:spacing w:before="320" w:after="160"/>
        <w:jc w:val="center"/>
      </w:pPr>
      <w:r>
        <w:rPr>
          <w:rFonts w:ascii="Times New Roman" w:hAnsi="Times New Roman"/>
          <w:b/>
          <w:sz w:val="20"/>
        </w:rPr>
        <w:t>VIII. DISCUSSION</w:t>
      </w:r>
    </w:p>
    <w:p>
      <w:pPr>
        <w:spacing w:before="200" w:after="80"/>
      </w:pPr>
      <w:r>
        <w:rPr>
          <w:rFonts w:ascii="Times New Roman" w:hAnsi="Times New Roman"/>
          <w:b/>
          <w:i/>
          <w:sz w:val="20"/>
        </w:rPr>
        <w:t>A. Key Contributions</w:t>
      </w:r>
    </w:p>
    <w:p>
      <w:pPr>
        <w:spacing w:after="120"/>
        <w:ind w:firstLine="425"/>
      </w:pPr>
      <w:r>
        <w:rPr>
          <w:rFonts w:ascii="Times New Roman" w:hAnsi="Times New Roman"/>
          <w:sz w:val="20"/>
        </w:rPr>
        <w:t>MediTrack demonstrates that a mobile-first, multi-stakeholder health platform can achieve comprehensive feature coverage while maintaining architectural quality and security rigor. Three aspects warrant further discussion.</w:t>
      </w:r>
    </w:p>
    <w:p>
      <w:pPr>
        <w:spacing w:after="120"/>
        <w:ind w:firstLine="425"/>
      </w:pPr>
      <w:r>
        <w:rPr>
          <w:rFonts w:ascii="Times New Roman" w:hAnsi="Times New Roman"/>
          <w:sz w:val="20"/>
        </w:rPr>
        <w:t>First, on-device analytics as a viable alternative: the analytics pipeline's deterministic, rule-based approach offers advantages over cloud-based ML, including interpretability (physicians can understand why a risk score was assigned), reproducibility (same inputs always produce same outputs), and privacy (no health data leaves the device for analytics). While machine learning approaches may achieve higher predictive accuracy for specific tasks, the rule-based approach is more amenable to clinical validation and regulatory approval.</w:t>
      </w:r>
    </w:p>
    <w:p>
      <w:pPr>
        <w:spacing w:after="120"/>
        <w:ind w:firstLine="425"/>
      </w:pPr>
      <w:r>
        <w:rPr>
          <w:rFonts w:ascii="Times New Roman" w:hAnsi="Times New Roman"/>
          <w:sz w:val="20"/>
        </w:rPr>
        <w:t>Second, server-side security as primary defense: by enforcing access control, data immutability, and workflow validation in Firestore Security Rules, MediTrack ensures that security cannot be bypassed through client-side manipulation—an approach aligned with the zero-trust security model.</w:t>
      </w:r>
    </w:p>
    <w:p>
      <w:pPr>
        <w:spacing w:after="120"/>
        <w:ind w:firstLine="425"/>
      </w:pPr>
      <w:r>
        <w:rPr>
          <w:rFonts w:ascii="Times New Roman" w:hAnsi="Times New Roman"/>
          <w:sz w:val="20"/>
        </w:rPr>
        <w:t>Third, the unified stakeholder platform eliminates data silos between care participants. A prescription created by a doctor is immediately visible to the patient and the fulfilling pharmacy, with every status change audited and validated.</w:t>
      </w:r>
    </w:p>
    <w:p>
      <w:pPr>
        <w:spacing w:before="200" w:after="80"/>
      </w:pPr>
      <w:r>
        <w:rPr>
          <w:rFonts w:ascii="Times New Roman" w:hAnsi="Times New Roman"/>
          <w:b/>
          <w:i/>
          <w:sz w:val="20"/>
        </w:rPr>
        <w:t>B. Limitations</w:t>
      </w:r>
    </w:p>
    <w:p>
      <w:pPr>
        <w:spacing w:after="80"/>
        <w:ind w:left="283"/>
      </w:pPr>
      <w:r>
        <w:rPr>
          <w:rFonts w:ascii="Times New Roman" w:hAnsi="Times New Roman"/>
          <w:b/>
          <w:sz w:val="20"/>
        </w:rPr>
        <w:t xml:space="preserve">1) </w:t>
      </w:r>
      <w:r>
        <w:rPr>
          <w:rFonts w:ascii="Times New Roman" w:hAnsi="Times New Roman"/>
          <w:sz w:val="20"/>
        </w:rPr>
        <w:t>No clinical trial validation: While the analytics thresholds are sourced from established guidelines, the composite risk scoring algorithm has not been validated through a clinical trial. Future work should conduct a prospective study comparing MediTrack's risk assessments against clinician judgments.</w:t>
      </w:r>
    </w:p>
    <w:p>
      <w:pPr>
        <w:spacing w:after="80"/>
        <w:ind w:left="283"/>
      </w:pPr>
      <w:r>
        <w:rPr>
          <w:rFonts w:ascii="Times New Roman" w:hAnsi="Times New Roman"/>
          <w:b/>
          <w:sz w:val="20"/>
        </w:rPr>
        <w:t xml:space="preserve">2) </w:t>
      </w:r>
      <w:r>
        <w:rPr>
          <w:rFonts w:ascii="Times New Roman" w:hAnsi="Times New Roman"/>
          <w:sz w:val="20"/>
        </w:rPr>
        <w:t>Limited interoperability: MediTrack uses a Firebase-specific data model without HL7 FHIR or openEHR support, limiting integration with existing healthcare IT infrastructure.</w:t>
      </w:r>
    </w:p>
    <w:p>
      <w:pPr>
        <w:spacing w:after="80"/>
        <w:ind w:left="283"/>
      </w:pPr>
      <w:r>
        <w:rPr>
          <w:rFonts w:ascii="Times New Roman" w:hAnsi="Times New Roman"/>
          <w:b/>
          <w:sz w:val="20"/>
        </w:rPr>
        <w:t xml:space="preserve">3) </w:t>
      </w:r>
      <w:r>
        <w:rPr>
          <w:rFonts w:ascii="Times New Roman" w:hAnsi="Times New Roman"/>
          <w:sz w:val="20"/>
        </w:rPr>
        <w:t>No end-to-end encryption for chat: While messages are encrypted in transit (TLS) and at rest (Firestore server-side encryption), the platform does not implement end-to-end encryption for doctor-patient communication.</w:t>
      </w:r>
    </w:p>
    <w:p>
      <w:pPr>
        <w:spacing w:after="80"/>
        <w:ind w:left="283"/>
      </w:pPr>
      <w:r>
        <w:rPr>
          <w:rFonts w:ascii="Times New Roman" w:hAnsi="Times New Roman"/>
          <w:b/>
          <w:sz w:val="20"/>
        </w:rPr>
        <w:t xml:space="preserve">4) </w:t>
      </w:r>
      <w:r>
        <w:rPr>
          <w:rFonts w:ascii="Times New Roman" w:hAnsi="Times New Roman"/>
          <w:sz w:val="20"/>
        </w:rPr>
        <w:t>Single-platform implementation: The current implementation targets Android only. A cross-platform approach using Kotlin Multiplatform or Flutter would broaden accessibility.</w:t>
      </w:r>
    </w:p>
    <w:p>
      <w:pPr>
        <w:spacing w:after="80"/>
        <w:ind w:left="283"/>
      </w:pPr>
      <w:r>
        <w:rPr>
          <w:rFonts w:ascii="Times New Roman" w:hAnsi="Times New Roman"/>
          <w:b/>
          <w:sz w:val="20"/>
        </w:rPr>
        <w:t xml:space="preserve">5) </w:t>
      </w:r>
      <w:r>
        <w:rPr>
          <w:rFonts w:ascii="Times New Roman" w:hAnsi="Times New Roman"/>
          <w:sz w:val="20"/>
        </w:rPr>
        <w:t>Rule-based analytics limitations: The deterministic analytics pipeline cannot learn from individual patient patterns or population-level data. Integration with federated learning or on-device ML models could enhance personalization while preserving privacy.</w:t>
      </w:r>
    </w:p>
    <w:p>
      <w:pPr>
        <w:spacing w:before="200" w:after="80"/>
      </w:pPr>
      <w:r>
        <w:rPr>
          <w:rFonts w:ascii="Times New Roman" w:hAnsi="Times New Roman"/>
          <w:b/>
          <w:i/>
          <w:sz w:val="20"/>
        </w:rPr>
        <w:t>C. Future Work</w:t>
      </w:r>
    </w:p>
    <w:p>
      <w:pPr>
        <w:spacing w:after="120"/>
        <w:ind w:firstLine="425"/>
      </w:pPr>
      <w:r>
        <w:rPr>
          <w:rFonts w:ascii="Times New Roman" w:hAnsi="Times New Roman"/>
          <w:sz w:val="20"/>
        </w:rPr>
        <w:t>Based on the identified limitations, we outline the following directions for future development:</w:t>
      </w:r>
    </w:p>
    <w:p>
      <w:pPr>
        <w:spacing w:after="80"/>
        <w:ind w:left="283"/>
      </w:pPr>
      <w:r>
        <w:rPr>
          <w:rFonts w:ascii="Times New Roman" w:hAnsi="Times New Roman"/>
          <w:b/>
          <w:sz w:val="20"/>
        </w:rPr>
        <w:t xml:space="preserve">1) </w:t>
      </w:r>
      <w:r>
        <w:rPr>
          <w:rFonts w:ascii="Times New Roman" w:hAnsi="Times New Roman"/>
          <w:sz w:val="20"/>
        </w:rPr>
        <w:t>Clinical validation study: Conduct a multi-site prospective study to validate the composite risk score against clinician assessments and patient outcomes.</w:t>
      </w:r>
    </w:p>
    <w:p>
      <w:pPr>
        <w:spacing w:after="80"/>
        <w:ind w:left="283"/>
      </w:pPr>
      <w:r>
        <w:rPr>
          <w:rFonts w:ascii="Times New Roman" w:hAnsi="Times New Roman"/>
          <w:b/>
          <w:sz w:val="20"/>
        </w:rPr>
        <w:t xml:space="preserve">2) </w:t>
      </w:r>
      <w:r>
        <w:rPr>
          <w:rFonts w:ascii="Times New Roman" w:hAnsi="Times New Roman"/>
          <w:sz w:val="20"/>
        </w:rPr>
        <w:t>HL7 FHIR integration: Implement FHIR resource mappings for interoperability with hospital EHR systems and health information exchanges.</w:t>
      </w:r>
    </w:p>
    <w:p>
      <w:pPr>
        <w:spacing w:after="80"/>
        <w:ind w:left="283"/>
      </w:pPr>
      <w:r>
        <w:rPr>
          <w:rFonts w:ascii="Times New Roman" w:hAnsi="Times New Roman"/>
          <w:b/>
          <w:sz w:val="20"/>
        </w:rPr>
        <w:t xml:space="preserve">3) </w:t>
      </w:r>
      <w:r>
        <w:rPr>
          <w:rFonts w:ascii="Times New Roman" w:hAnsi="Times New Roman"/>
          <w:sz w:val="20"/>
        </w:rPr>
        <w:t>Federated learning: Integrate on-device federated learning to improve analytics personalization without centralizing patient data.</w:t>
      </w:r>
    </w:p>
    <w:p>
      <w:pPr>
        <w:spacing w:after="80"/>
        <w:ind w:left="283"/>
      </w:pPr>
      <w:r>
        <w:rPr>
          <w:rFonts w:ascii="Times New Roman" w:hAnsi="Times New Roman"/>
          <w:b/>
          <w:sz w:val="20"/>
        </w:rPr>
        <w:t xml:space="preserve">4) </w:t>
      </w:r>
      <w:r>
        <w:rPr>
          <w:rFonts w:ascii="Times New Roman" w:hAnsi="Times New Roman"/>
          <w:sz w:val="20"/>
        </w:rPr>
        <w:t>Wearable device integration: Extend the health log input pipeline to accept continuous data streams from wearables via the Health Connect API.</w:t>
      </w:r>
    </w:p>
    <w:p>
      <w:pPr>
        <w:spacing w:after="80"/>
        <w:ind w:left="283"/>
      </w:pPr>
      <w:r>
        <w:rPr>
          <w:rFonts w:ascii="Times New Roman" w:hAnsi="Times New Roman"/>
          <w:b/>
          <w:sz w:val="20"/>
        </w:rPr>
        <w:t xml:space="preserve">5) </w:t>
      </w:r>
      <w:r>
        <w:rPr>
          <w:rFonts w:ascii="Times New Roman" w:hAnsi="Times New Roman"/>
          <w:sz w:val="20"/>
        </w:rPr>
        <w:t>Cloud Functions for server-side validation: Migrate critical business logic to Firebase Cloud Functions for additional server-side enforcement.</w:t>
      </w:r>
    </w:p>
    <w:p>
      <w:pPr>
        <w:spacing w:after="80"/>
        <w:ind w:left="283"/>
      </w:pPr>
      <w:r>
        <w:rPr>
          <w:rFonts w:ascii="Times New Roman" w:hAnsi="Times New Roman"/>
          <w:b/>
          <w:sz w:val="20"/>
        </w:rPr>
        <w:t xml:space="preserve">6) </w:t>
      </w:r>
      <w:r>
        <w:rPr>
          <w:rFonts w:ascii="Times New Roman" w:hAnsi="Times New Roman"/>
          <w:sz w:val="20"/>
        </w:rPr>
        <w:t>Cross-platform expansion: Extend the platform to iOS using Kotlin Multiplatform for shared business logic.</w:t>
      </w:r>
    </w:p>
    <w:p>
      <w:pPr>
        <w:spacing w:before="320" w:after="160"/>
        <w:jc w:val="center"/>
      </w:pPr>
      <w:r>
        <w:rPr>
          <w:rFonts w:ascii="Times New Roman" w:hAnsi="Times New Roman"/>
          <w:b/>
          <w:sz w:val="20"/>
        </w:rPr>
        <w:t>IX. CONCLUSION</w:t>
      </w:r>
    </w:p>
    <w:p>
      <w:pPr>
        <w:spacing w:after="120"/>
        <w:ind w:firstLine="425"/>
      </w:pPr>
      <w:r>
        <w:rPr>
          <w:rFonts w:ascii="Times New Roman" w:hAnsi="Times New Roman"/>
          <w:sz w:val="20"/>
        </w:rPr>
        <w:t>This paper presented MediTrack, a multi-stakeholder mobile health platform that addresses the critical gap between fragmented, single-role mHealth applications and the integrated needs of healthcare ecosystems. Through its four-role architecture (Patient, Doctor, Pharmacy, Administrator), MediTrack provides a unified platform for medication management, health monitoring, clinical decision support, pharmacy operations, and secure communication.</w:t>
      </w:r>
    </w:p>
    <w:p>
      <w:pPr>
        <w:spacing w:after="120"/>
        <w:ind w:firstLine="425"/>
      </w:pPr>
      <w:r>
        <w:rPr>
          <w:rFonts w:ascii="Times New Roman" w:hAnsi="Times New Roman"/>
          <w:sz w:val="20"/>
        </w:rPr>
        <w:t>The on-device health analytics pipeline—comprising RiskScoreEngine, TrendPredictionEngine, VitalAlertEngine, HealthInsightEngine, and UnifiedAlertPrioritizer—demonstrates that clinically meaningful health intelligence can be delivered without cloud computation dependencies, preserving patient privacy and enabling offline operation. The defense-in-depth security model, anchored by 540 lines of server-side Firestore Security Rules, ensures data integrity through role-based access control, immutable audit trails, and state-machine-validated workflows.</w:t>
      </w:r>
    </w:p>
    <w:p>
      <w:pPr>
        <w:spacing w:after="120"/>
        <w:ind w:firstLine="425"/>
      </w:pPr>
      <w:r>
        <w:rPr>
          <w:rFonts w:ascii="Times New Roman" w:hAnsi="Times New Roman"/>
          <w:sz w:val="20"/>
        </w:rPr>
        <w:t>With 148 source files, 17 Firestore collections, and comprehensive coverage of mHealth requirements identified in the literature, MediTrack represents a substantial engineering contribution to the mobile health domain. The platform's architecture provides a reference implementation for future multi-stakeholder health applications seeking to balance clinical functionality, security rigor, and mobile-first design.</w:t>
      </w:r>
    </w:p>
    <w:p>
      <w:pPr>
        <w:spacing w:before="320" w:after="160"/>
        <w:jc w:val="center"/>
      </w:pPr>
      <w:r>
        <w:rPr>
          <w:rFonts w:ascii="Times New Roman" w:hAnsi="Times New Roman"/>
          <w:b/>
          <w:sz w:val="20"/>
        </w:rPr>
        <w:t>. REFERENCES</w:t>
      </w:r>
    </w:p>
    <w:p>
      <w:pPr>
        <w:spacing w:after="40"/>
        <w:ind w:left="425" w:hanging="425"/>
      </w:pPr>
      <w:r>
        <w:rPr>
          <w:rFonts w:ascii="Times New Roman" w:hAnsi="Times New Roman"/>
          <w:sz w:val="18"/>
        </w:rPr>
        <w:t xml:space="preserve">[1] </w:t>
      </w:r>
      <w:r>
        <w:rPr>
          <w:rFonts w:ascii="Times New Roman" w:hAnsi="Times New Roman"/>
          <w:sz w:val="18"/>
        </w:rPr>
        <w:t>Grand View Research, "mHealth Market Size, Share &amp; Trends Analysis Report, 2024-2032," 2024.</w:t>
      </w:r>
    </w:p>
    <w:p>
      <w:pPr>
        <w:spacing w:after="40"/>
        <w:ind w:left="425" w:hanging="425"/>
      </w:pPr>
      <w:r>
        <w:rPr>
          <w:rFonts w:ascii="Times New Roman" w:hAnsi="Times New Roman"/>
          <w:sz w:val="18"/>
        </w:rPr>
        <w:t xml:space="preserve">[2] </w:t>
      </w:r>
      <w:r>
        <w:rPr>
          <w:rFonts w:ascii="Times New Roman" w:hAnsi="Times New Roman"/>
          <w:sz w:val="18"/>
        </w:rPr>
        <w:t>Medisafe, "Medisafe Medication Management Platform," https://www.medisafe.com.</w:t>
      </w:r>
    </w:p>
    <w:p>
      <w:pPr>
        <w:spacing w:after="40"/>
        <w:ind w:left="425" w:hanging="425"/>
      </w:pPr>
      <w:r>
        <w:rPr>
          <w:rFonts w:ascii="Times New Roman" w:hAnsi="Times New Roman"/>
          <w:sz w:val="18"/>
        </w:rPr>
        <w:t xml:space="preserve">[3] </w:t>
      </w:r>
      <w:r>
        <w:rPr>
          <w:rFonts w:ascii="Times New Roman" w:hAnsi="Times New Roman"/>
          <w:sz w:val="18"/>
        </w:rPr>
        <w:t>MyTherapy, "MyTherapy: Medication Reminder &amp; Health Tracker," https://www.mytherapyapp.com.</w:t>
      </w:r>
    </w:p>
    <w:p>
      <w:pPr>
        <w:spacing w:after="40"/>
        <w:ind w:left="425" w:hanging="425"/>
      </w:pPr>
      <w:r>
        <w:rPr>
          <w:rFonts w:ascii="Times New Roman" w:hAnsi="Times New Roman"/>
          <w:sz w:val="18"/>
        </w:rPr>
        <w:t xml:space="preserve">[4] </w:t>
      </w:r>
      <w:r>
        <w:rPr>
          <w:rFonts w:ascii="Times New Roman" w:hAnsi="Times New Roman"/>
          <w:sz w:val="18"/>
        </w:rPr>
        <w:t>CareZone, "CareZone Medication Management," https://carezone.com.</w:t>
      </w:r>
    </w:p>
    <w:p>
      <w:pPr>
        <w:spacing w:after="40"/>
        <w:ind w:left="425" w:hanging="425"/>
      </w:pPr>
      <w:r>
        <w:rPr>
          <w:rFonts w:ascii="Times New Roman" w:hAnsi="Times New Roman"/>
          <w:sz w:val="18"/>
        </w:rPr>
        <w:t xml:space="preserve">[5] </w:t>
      </w:r>
      <w:r>
        <w:rPr>
          <w:rFonts w:ascii="Times New Roman" w:hAnsi="Times New Roman"/>
          <w:sz w:val="18"/>
        </w:rPr>
        <w:t>Epic Systems, "MyChart Patient Portal," https://www.mychart.com.</w:t>
      </w:r>
    </w:p>
    <w:p>
      <w:pPr>
        <w:spacing w:after="40"/>
        <w:ind w:left="425" w:hanging="425"/>
      </w:pPr>
      <w:r>
        <w:rPr>
          <w:rFonts w:ascii="Times New Roman" w:hAnsi="Times New Roman"/>
          <w:sz w:val="18"/>
        </w:rPr>
        <w:t xml:space="preserve">[6] </w:t>
      </w:r>
      <w:r>
        <w:rPr>
          <w:rFonts w:ascii="Times New Roman" w:hAnsi="Times New Roman"/>
          <w:sz w:val="18"/>
        </w:rPr>
        <w:t>Apple Inc., "Apple Health," https://www.apple.com/health.</w:t>
      </w:r>
    </w:p>
    <w:p>
      <w:pPr>
        <w:spacing w:after="40"/>
        <w:ind w:left="425" w:hanging="425"/>
      </w:pPr>
      <w:r>
        <w:rPr>
          <w:rFonts w:ascii="Times New Roman" w:hAnsi="Times New Roman"/>
          <w:sz w:val="18"/>
        </w:rPr>
        <w:t xml:space="preserve">[7] </w:t>
      </w:r>
      <w:r>
        <w:rPr>
          <w:rFonts w:ascii="Times New Roman" w:hAnsi="Times New Roman"/>
          <w:sz w:val="18"/>
        </w:rPr>
        <w:t>Google LLC, "Health Connect," https://developer.android.com/health-connect.</w:t>
      </w:r>
    </w:p>
    <w:p>
      <w:pPr>
        <w:spacing w:after="40"/>
        <w:ind w:left="425" w:hanging="425"/>
      </w:pPr>
      <w:r>
        <w:rPr>
          <w:rFonts w:ascii="Times New Roman" w:hAnsi="Times New Roman"/>
          <w:sz w:val="18"/>
        </w:rPr>
        <w:t xml:space="preserve">[8] </w:t>
      </w:r>
      <w:r>
        <w:rPr>
          <w:rFonts w:ascii="Times New Roman" w:hAnsi="Times New Roman"/>
          <w:sz w:val="18"/>
        </w:rPr>
        <w:t>B. Middleton, D. F. Sittig, and A. Wright, "Clinical Decision Support: a 25 Year Retrospective and a 25 Year Vision," Yearbook of Medical Informatics, vol. 25, no. S 01, pp. S25-S30, 2016.</w:t>
      </w:r>
    </w:p>
    <w:p>
      <w:pPr>
        <w:spacing w:after="40"/>
        <w:ind w:left="425" w:hanging="425"/>
      </w:pPr>
      <w:r>
        <w:rPr>
          <w:rFonts w:ascii="Times New Roman" w:hAnsi="Times New Roman"/>
          <w:sz w:val="18"/>
        </w:rPr>
        <w:t xml:space="preserve">[9] </w:t>
      </w:r>
      <w:r>
        <w:rPr>
          <w:rFonts w:ascii="Times New Roman" w:hAnsi="Times New Roman"/>
          <w:sz w:val="18"/>
        </w:rPr>
        <w:t>A. X. Garg et al., "Effects of Computerized Clinical Decision Support Systems on Practitioner Performance and Patient Outcomes: A Systematic Review," JAMA, vol. 293, no. 10, pp. 1223-1238, 2005.</w:t>
      </w:r>
    </w:p>
    <w:p>
      <w:pPr>
        <w:spacing w:after="40"/>
        <w:ind w:left="425" w:hanging="425"/>
      </w:pPr>
      <w:r>
        <w:rPr>
          <w:rFonts w:ascii="Times New Roman" w:hAnsi="Times New Roman"/>
          <w:sz w:val="18"/>
        </w:rPr>
        <w:t xml:space="preserve">[10] </w:t>
      </w:r>
      <w:r>
        <w:rPr>
          <w:rFonts w:ascii="Times New Roman" w:hAnsi="Times New Roman"/>
          <w:sz w:val="18"/>
        </w:rPr>
        <w:t>E. J. Topol, "High-performance medicine: the convergence of human and artificial intelligence," Nature Medicine, vol. 25, no. 1, pp. 44-56, 2019.</w:t>
      </w:r>
    </w:p>
    <w:p>
      <w:pPr>
        <w:spacing w:after="40"/>
        <w:ind w:left="425" w:hanging="425"/>
      </w:pPr>
      <w:r>
        <w:rPr>
          <w:rFonts w:ascii="Times New Roman" w:hAnsi="Times New Roman"/>
          <w:sz w:val="18"/>
        </w:rPr>
        <w:t xml:space="preserve">[11] </w:t>
      </w:r>
      <w:r>
        <w:rPr>
          <w:rFonts w:ascii="Times New Roman" w:hAnsi="Times New Roman"/>
          <w:sz w:val="18"/>
        </w:rPr>
        <w:t>K. Chen et al., "HealthAssist: A Mobile Health Application for Activity-Based Health Predictions," IEEE J. Biomed. Health Inform., vol. 25, no. 4, pp. 1087-1096, 2021.</w:t>
      </w:r>
    </w:p>
    <w:p>
      <w:pPr>
        <w:spacing w:after="40"/>
        <w:ind w:left="425" w:hanging="425"/>
      </w:pPr>
      <w:r>
        <w:rPr>
          <w:rFonts w:ascii="Times New Roman" w:hAnsi="Times New Roman"/>
          <w:sz w:val="18"/>
        </w:rPr>
        <w:t xml:space="preserve">[12] </w:t>
      </w:r>
      <w:r>
        <w:rPr>
          <w:rFonts w:ascii="Times New Roman" w:hAnsi="Times New Roman"/>
          <w:sz w:val="18"/>
        </w:rPr>
        <w:t>VitalConnect Inc., "VitalConnect Continuous Monitoring Platform," https://vitalconnect.com.</w:t>
      </w:r>
    </w:p>
    <w:p>
      <w:pPr>
        <w:spacing w:after="40"/>
        <w:ind w:left="425" w:hanging="425"/>
      </w:pPr>
      <w:r>
        <w:rPr>
          <w:rFonts w:ascii="Times New Roman" w:hAnsi="Times New Roman"/>
          <w:sz w:val="18"/>
        </w:rPr>
        <w:t xml:space="preserve">[13] </w:t>
      </w:r>
      <w:r>
        <w:rPr>
          <w:rFonts w:ascii="Times New Roman" w:hAnsi="Times New Roman"/>
          <w:sz w:val="18"/>
        </w:rPr>
        <w:t>L. H. Iwaya et al., "Security and Privacy for mHealth and uHealth Systems: A Systematic Mapping Study," IEEE Access, vol. 8, pp. 150081-150112, 2020.</w:t>
      </w:r>
    </w:p>
    <w:p>
      <w:pPr>
        <w:spacing w:after="40"/>
        <w:ind w:left="425" w:hanging="425"/>
      </w:pPr>
      <w:r>
        <w:rPr>
          <w:rFonts w:ascii="Times New Roman" w:hAnsi="Times New Roman"/>
          <w:sz w:val="18"/>
        </w:rPr>
        <w:t xml:space="preserve">[14] </w:t>
      </w:r>
      <w:r>
        <w:rPr>
          <w:rFonts w:ascii="Times New Roman" w:hAnsi="Times New Roman"/>
          <w:sz w:val="18"/>
        </w:rPr>
        <w:t>OWASP Foundation, "OWASP Mobile Security Testing Guide," https://owasp.org/www-project-mobile-security-testing-guide.</w:t>
      </w:r>
    </w:p>
    <w:p>
      <w:pPr>
        <w:spacing w:after="40"/>
        <w:ind w:left="425" w:hanging="425"/>
      </w:pPr>
      <w:r>
        <w:rPr>
          <w:rFonts w:ascii="Times New Roman" w:hAnsi="Times New Roman"/>
          <w:sz w:val="18"/>
        </w:rPr>
        <w:t xml:space="preserve">[15] </w:t>
      </w:r>
      <w:r>
        <w:rPr>
          <w:rFonts w:ascii="Times New Roman" w:hAnsi="Times New Roman"/>
          <w:sz w:val="18"/>
        </w:rPr>
        <w:t>Google LLC, "Firebase Security Rules Documentation," https://firebase.google.com/docs/rules.</w:t>
      </w:r>
    </w:p>
    <w:p>
      <w:pPr>
        <w:spacing w:after="40"/>
        <w:ind w:left="425" w:hanging="425"/>
      </w:pPr>
      <w:r>
        <w:rPr>
          <w:rFonts w:ascii="Times New Roman" w:hAnsi="Times New Roman"/>
          <w:sz w:val="18"/>
        </w:rPr>
        <w:t xml:space="preserve">[16] </w:t>
      </w:r>
      <w:r>
        <w:rPr>
          <w:rFonts w:ascii="Times New Roman" w:hAnsi="Times New Roman"/>
          <w:sz w:val="18"/>
        </w:rPr>
        <w:t>S. Sudhodanan et al., "Security Analysis of Firebase-backed Mobile Applications," Proc. ACM SIGSAC Conf. Computer and Communications Security, 2020.</w:t>
      </w:r>
    </w:p>
    <w:p>
      <w:pPr>
        <w:spacing w:after="40"/>
        <w:ind w:left="425" w:hanging="425"/>
      </w:pPr>
      <w:r>
        <w:rPr>
          <w:rFonts w:ascii="Times New Roman" w:hAnsi="Times New Roman"/>
          <w:sz w:val="18"/>
        </w:rPr>
        <w:t xml:space="preserve">[17] </w:t>
      </w:r>
      <w:r>
        <w:rPr>
          <w:rFonts w:ascii="Times New Roman" w:hAnsi="Times New Roman"/>
          <w:sz w:val="18"/>
        </w:rPr>
        <w:t>C. Free et al., "The Effectiveness of Mobile-Health Technology-Based Health Behaviour Change or Disease Management Interventions for Health Care Consumers: A Systematic Review," PLoS Medicine, vol. 10, no. 1, e1001362, 2013.</w:t>
      </w:r>
    </w:p>
    <w:p>
      <w:pPr>
        <w:spacing w:after="40"/>
        <w:ind w:left="425" w:hanging="425"/>
      </w:pPr>
      <w:r>
        <w:rPr>
          <w:rFonts w:ascii="Times New Roman" w:hAnsi="Times New Roman"/>
          <w:sz w:val="18"/>
        </w:rPr>
        <w:t xml:space="preserve">[18] </w:t>
      </w:r>
      <w:r>
        <w:rPr>
          <w:rFonts w:ascii="Times New Roman" w:hAnsi="Times New Roman"/>
          <w:sz w:val="18"/>
        </w:rPr>
        <w:t>J. Batista et al., "Requirements for Mobile Health Applications: A Systematic Literature Review," J. Med. Syst., vol. 44, no. 5, pp. 1-13, 2020.</w:t>
      </w:r>
    </w:p>
    <w:p>
      <w:pPr>
        <w:spacing w:after="40"/>
        <w:ind w:left="425" w:hanging="425"/>
      </w:pPr>
      <w:r>
        <w:rPr>
          <w:rFonts w:ascii="Times New Roman" w:hAnsi="Times New Roman"/>
          <w:sz w:val="18"/>
        </w:rPr>
        <w:t xml:space="preserve">[19] </w:t>
      </w:r>
      <w:r>
        <w:rPr>
          <w:rFonts w:ascii="Times New Roman" w:hAnsi="Times New Roman"/>
          <w:sz w:val="18"/>
        </w:rPr>
        <w:t>P. K. Whelton et al., "2017 ACC/AHA Guideline for the Prevention, Detection, Evaluation, and Management of High Blood Pressure in Adults," J. Am. Coll. Cardiol., vol. 71, no. 19, pp. e127-e248, 2018.</w:t>
      </w:r>
    </w:p>
    <w:p>
      <w:pPr>
        <w:spacing w:after="40"/>
        <w:ind w:left="425" w:hanging="425"/>
      </w:pPr>
      <w:r>
        <w:rPr>
          <w:rFonts w:ascii="Times New Roman" w:hAnsi="Times New Roman"/>
          <w:sz w:val="18"/>
        </w:rPr>
        <w:t xml:space="preserve">[20] </w:t>
      </w:r>
      <w:r>
        <w:rPr>
          <w:rFonts w:ascii="Times New Roman" w:hAnsi="Times New Roman"/>
          <w:sz w:val="18"/>
        </w:rPr>
        <w:t>American Diabetes Association, "Standards of Care in Diabetes—2024," Diabetes Care, vol. 47, Suppl. 1, 2024.</w:t>
      </w:r>
    </w:p>
    <w:p>
      <w:pPr>
        <w:spacing w:after="40"/>
        <w:ind w:left="425" w:hanging="425"/>
      </w:pPr>
      <w:r>
        <w:rPr>
          <w:rFonts w:ascii="Times New Roman" w:hAnsi="Times New Roman"/>
          <w:sz w:val="18"/>
        </w:rPr>
        <w:t xml:space="preserve">[21] </w:t>
      </w:r>
      <w:r>
        <w:rPr>
          <w:rFonts w:ascii="Times New Roman" w:hAnsi="Times New Roman"/>
          <w:sz w:val="18"/>
        </w:rPr>
        <w:t>G. D. Perkins et al., "European Resuscitation Council Guidelines 2021: Executive Summary," Resuscitation, vol. 161, pp. 1-60, 2021.</w:t>
      </w:r>
    </w:p>
    <w:p>
      <w:pPr>
        <w:spacing w:after="40"/>
        <w:ind w:left="425" w:hanging="425"/>
      </w:pPr>
      <w:r>
        <w:rPr>
          <w:rFonts w:ascii="Times New Roman" w:hAnsi="Times New Roman"/>
          <w:sz w:val="18"/>
        </w:rPr>
        <w:t xml:space="preserve">[22] </w:t>
      </w:r>
      <w:r>
        <w:rPr>
          <w:rFonts w:ascii="Times New Roman" w:hAnsi="Times New Roman"/>
          <w:sz w:val="18"/>
        </w:rPr>
        <w:t>World Health Organization, "Integrated Management of Childhood Illness Chart Booklet," WHO Press, 2014.</w:t>
      </w:r>
    </w:p>
    <w:p>
      <w:pPr>
        <w:spacing w:after="40"/>
        <w:ind w:left="425" w:hanging="425"/>
      </w:pPr>
      <w:r>
        <w:rPr>
          <w:rFonts w:ascii="Times New Roman" w:hAnsi="Times New Roman"/>
          <w:sz w:val="18"/>
        </w:rPr>
        <w:t xml:space="preserve">[23] </w:t>
      </w:r>
      <w:r>
        <w:rPr>
          <w:rFonts w:ascii="Times New Roman" w:hAnsi="Times New Roman"/>
          <w:sz w:val="18"/>
        </w:rPr>
        <w:t>S. M. Grundy et al., "Definition of Metabolic Syndrome," Circulation, vol. 109, no. 3, pp. 433-438, 2004.</w:t>
      </w:r>
    </w:p>
    <w:p>
      <w:pPr>
        <w:spacing w:after="40"/>
        <w:ind w:left="425" w:hanging="425"/>
      </w:pPr>
      <w:r>
        <w:rPr>
          <w:rFonts w:ascii="Times New Roman" w:hAnsi="Times New Roman"/>
          <w:sz w:val="18"/>
        </w:rPr>
        <w:t xml:space="preserve">[24] </w:t>
      </w:r>
      <w:r>
        <w:rPr>
          <w:rFonts w:ascii="Times New Roman" w:hAnsi="Times New Roman"/>
          <w:sz w:val="18"/>
        </w:rPr>
        <w:t>C. P. Cannon, "Cardiovascular Disease and Modifiable Cardiometabolic Risk Factors," Clin. Cornerstone, vol. 8, no. 3, pp. 11-28, 2007.</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