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6"/>
          <w:szCs w:val="36"/>
        </w:rPr>
        <w:t xml:space="preserve">Frappe Internship — Week 3 &amp; Week 4 Assessment Answers</w:t>
      </w:r>
    </w:p>
    <w:p>
      <w:pPr>
        <w:spacing w:after="400"/>
      </w:pPr>
      <w:r>
        <w:rPr>
          <w:rFonts w:ascii="Calibri" w:cs="Calibri" w:eastAsia="Calibri" w:hAnsi="Calibri"/>
          <w:i/>
          <w:iCs/>
          <w:sz w:val="22"/>
          <w:szCs w:val="22"/>
        </w:rPr>
        <w:t xml:space="preserve">Prepared by: Krish Padaliya  |  Custom App: student_management  |  Module: Student Management</w:t>
      </w:r>
    </w:p>
    <w:p>
      <w:pPr>
        <w:pStyle w:val="Heading1"/>
        <w:spacing w:after="200" w:before="400"/>
      </w:pPr>
      <w:r>
        <w:t xml:space="preserve">1. Explain the role of DocTypes in ERPNext</w:t>
      </w:r>
    </w:p>
    <w:p>
      <w:pPr>
        <w:pStyle w:val="Heading2"/>
        <w:spacing w:after="150" w:before="300"/>
      </w:pPr>
      <w:r>
        <w:t xml:space="preserve">Definition</w:t>
      </w:r>
    </w:p>
    <w:p>
      <w:pPr>
        <w:spacing w:after="160"/>
      </w:pPr>
      <w:r>
        <w:rPr>
          <w:rFonts w:ascii="Calibri" w:cs="Calibri" w:eastAsia="Calibri" w:hAnsi="Calibri"/>
          <w:b w:val="false"/>
          <w:bCs w:val="false"/>
          <w:i w:val="false"/>
          <w:iCs w:val="false"/>
          <w:sz w:val="22"/>
          <w:szCs w:val="22"/>
        </w:rPr>
        <w:t xml:space="preserve">A DocType (short for 'Document Type') is the fundamental building block of the Frappe Framework, on which ERPNext is built. It is a metadata definition that describes a type of record — what data it holds, how that data behaves, how it is validated, how it is displayed, and who is allowed to access it. Every entity in ERPNext — a Customer, an Invoice, a Student, a Sales Order — is defined as a DocType.</w:t>
      </w:r>
    </w:p>
    <w:p>
      <w:pPr>
        <w:spacing w:after="160"/>
      </w:pPr>
      <w:r>
        <w:rPr>
          <w:rFonts w:ascii="Calibri" w:cs="Calibri" w:eastAsia="Calibri" w:hAnsi="Calibri"/>
          <w:b w:val="false"/>
          <w:bCs w:val="false"/>
          <w:i w:val="false"/>
          <w:iCs w:val="false"/>
          <w:sz w:val="22"/>
          <w:szCs w:val="22"/>
        </w:rPr>
        <w:t xml:space="preserve">In simple terms: a DocType is a blueprint. Frappe reads this blueprint and automatically generates the database table, the input form, the list view, the report view, the permission rules, and the API endpoints for that entity — without the developer writing manual SQL or manual HTML forms.</w:t>
      </w:r>
    </w:p>
    <w:p>
      <w:pPr>
        <w:pStyle w:val="Heading2"/>
        <w:spacing w:after="150" w:before="300"/>
      </w:pPr>
      <w:r>
        <w:t xml:space="preserve">Types of DocTypes</w:t>
      </w:r>
    </w:p>
    <w:p>
      <w:pPr>
        <w:pStyle w:val="ListParagraph"/>
        <w:numPr>
          <w:ilvl w:val="0"/>
          <w:numId w:val="1"/>
        </w:numPr>
        <w:spacing w:after="80"/>
      </w:pPr>
      <w:r>
        <w:rPr>
          <w:rFonts w:ascii="Calibri" w:cs="Calibri" w:eastAsia="Calibri" w:hAnsi="Calibri"/>
          <w:sz w:val="22"/>
          <w:szCs w:val="22"/>
        </w:rPr>
        <w:t xml:space="preserve">Standard/Normal DocType — the most common type. Each saved record becomes its own row in a dedicated database table (e.g. Student, Customer, Sales Invoice). Supports full CRUD (Create, Read, Update, Delete).</w:t>
      </w:r>
    </w:p>
    <w:p>
      <w:pPr>
        <w:pStyle w:val="ListParagraph"/>
        <w:numPr>
          <w:ilvl w:val="0"/>
          <w:numId w:val="1"/>
        </w:numPr>
        <w:spacing w:after="80"/>
      </w:pPr>
      <w:r>
        <w:rPr>
          <w:rFonts w:ascii="Calibri" w:cs="Calibri" w:eastAsia="Calibri" w:hAnsi="Calibri"/>
          <w:sz w:val="22"/>
          <w:szCs w:val="22"/>
        </w:rPr>
        <w:t xml:space="preserve">Child Table DocType — used to store one-to-many relationships. A child DocType's records only exist inside a parent document's Table field; they cannot exist independently. Example: Student Subject exists only inside a Student record.</w:t>
      </w:r>
    </w:p>
    <w:p>
      <w:pPr>
        <w:pStyle w:val="ListParagraph"/>
        <w:numPr>
          <w:ilvl w:val="0"/>
          <w:numId w:val="1"/>
        </w:numPr>
        <w:spacing w:after="80"/>
      </w:pPr>
      <w:r>
        <w:rPr>
          <w:rFonts w:ascii="Calibri" w:cs="Calibri" w:eastAsia="Calibri" w:hAnsi="Calibri"/>
          <w:sz w:val="22"/>
          <w:szCs w:val="22"/>
        </w:rPr>
        <w:t xml:space="preserve">Single DocType — a DocType that has only ONE record ever, used for global settings (e.g. Student Management Settings, System Settings). There's no list view; it behaves like a single configuration form.</w:t>
      </w:r>
    </w:p>
    <w:p>
      <w:pPr>
        <w:pStyle w:val="ListParagraph"/>
        <w:numPr>
          <w:ilvl w:val="0"/>
          <w:numId w:val="1"/>
        </w:numPr>
        <w:spacing w:after="80"/>
      </w:pPr>
      <w:r>
        <w:rPr>
          <w:rFonts w:ascii="Calibri" w:cs="Calibri" w:eastAsia="Calibri" w:hAnsi="Calibri"/>
          <w:sz w:val="22"/>
          <w:szCs w:val="22"/>
        </w:rPr>
        <w:t xml:space="preserve">Virtual DocType — a DocType whose data is NOT stored in the Frappe database at all; instead, its data is fetched live from an external source (an API, another database) via custom Python methods. Used for integrating external systems without duplicating data.</w:t>
      </w:r>
    </w:p>
    <w:p>
      <w:pPr>
        <w:pStyle w:val="ListParagraph"/>
        <w:numPr>
          <w:ilvl w:val="0"/>
          <w:numId w:val="1"/>
        </w:numPr>
        <w:spacing w:after="80"/>
      </w:pPr>
      <w:r>
        <w:rPr>
          <w:rFonts w:ascii="Calibri" w:cs="Calibri" w:eastAsia="Calibri" w:hAnsi="Calibri"/>
          <w:sz w:val="22"/>
          <w:szCs w:val="22"/>
        </w:rPr>
        <w:t xml:space="preserve">Submittable DocType — a special property (is_submittable) that can be added to a Standard DocType, giving it a formal lifecycle of Draft → Submitted → Cancelled, common for transactional documents like Invoices or Orders where changes after submission must be tightly controlled.</w:t>
      </w:r>
    </w:p>
    <w:p>
      <w:pPr>
        <w:pStyle w:val="Heading2"/>
        <w:spacing w:after="150" w:before="300"/>
      </w:pPr>
      <w:r>
        <w:t xml:space="preserve">Real-time / real-life usage</w:t>
      </w:r>
    </w:p>
    <w:p>
      <w:pPr>
        <w:spacing w:after="160"/>
      </w:pPr>
      <w:r>
        <w:rPr>
          <w:rFonts w:ascii="Calibri" w:cs="Calibri" w:eastAsia="Calibri" w:hAnsi="Calibri"/>
          <w:b w:val="false"/>
          <w:bCs w:val="false"/>
          <w:i w:val="false"/>
          <w:iCs w:val="false"/>
          <w:sz w:val="22"/>
          <w:szCs w:val="22"/>
        </w:rPr>
        <w:t xml:space="preserve">Think of a DocType like a form template used across an organisation. A hospital's 'Patient Registration' form, a bank's 'Loan Application' form, or a college's 'Student Admission' form are all real-life equivalents — each defines fixed fields, validation rules (e.g. age must be a number, date of birth can't be in the future), and who is authorised to fill or view it (only reception staff, not the general public). In your project, the Student DocType plays this exact role: it is the digital admission/record form for the Student Management system, and every Student record (ST001, ST002, etc.) is one filled instance of that form.</w:t>
      </w:r>
    </w:p>
    <w:p>
      <w:pPr>
        <w:pStyle w:val="Heading2"/>
        <w:spacing w:after="150" w:before="300"/>
      </w:pPr>
      <w:r>
        <w:t xml:space="preserve">How a DocType manages data</w:t>
      </w:r>
    </w:p>
    <w:p>
      <w:pPr>
        <w:pStyle w:val="ListParagraph"/>
        <w:numPr>
          <w:ilvl w:val="0"/>
          <w:numId w:val="1"/>
        </w:numPr>
        <w:spacing w:after="80"/>
      </w:pPr>
      <w:r>
        <w:rPr>
          <w:rFonts w:ascii="Calibri" w:cs="Calibri" w:eastAsia="Calibri" w:hAnsi="Calibri"/>
          <w:sz w:val="22"/>
          <w:szCs w:val="22"/>
        </w:rPr>
        <w:t xml:space="preserve">Storage: Every Standard DocType maps 1:1 to a MariaDB table, automatically named with a 'tab' prefix — your Student DocType maps to the table tabStudent, Student Subject maps to tabStudent Subject (technically stored with an internal parent/parentfield/parenttype linkage for child tables).</w:t>
      </w:r>
    </w:p>
    <w:p>
      <w:pPr>
        <w:pStyle w:val="ListParagraph"/>
        <w:numPr>
          <w:ilvl w:val="0"/>
          <w:numId w:val="1"/>
        </w:numPr>
        <w:spacing w:after="80"/>
      </w:pPr>
      <w:r>
        <w:rPr>
          <w:rFonts w:ascii="Calibri" w:cs="Calibri" w:eastAsia="Calibri" w:hAnsi="Calibri"/>
          <w:sz w:val="22"/>
          <w:szCs w:val="22"/>
        </w:rPr>
        <w:t xml:space="preserve">Schema generation: Fields defined in the DocType's JSON become actual database columns with matching types (Data → varchar, Int → int, Date → date, etc.).</w:t>
      </w:r>
    </w:p>
    <w:p>
      <w:pPr>
        <w:pStyle w:val="ListParagraph"/>
        <w:numPr>
          <w:ilvl w:val="0"/>
          <w:numId w:val="1"/>
        </w:numPr>
        <w:spacing w:after="80"/>
      </w:pPr>
      <w:r>
        <w:rPr>
          <w:rFonts w:ascii="Calibri" w:cs="Calibri" w:eastAsia="Calibri" w:hAnsi="Calibri"/>
          <w:sz w:val="22"/>
          <w:szCs w:val="22"/>
        </w:rPr>
        <w:t xml:space="preserve">Validation pipeline: Before any record is saved, Frappe runs through a defined lifecycle (validate, before_save, etc.) where both core validation (mandatory fields, valid Select options, Link existence) and your own custom logic (Client Script, Server Script, Controller method) execute.</w:t>
      </w:r>
    </w:p>
    <w:p>
      <w:pPr>
        <w:pStyle w:val="ListParagraph"/>
        <w:numPr>
          <w:ilvl w:val="0"/>
          <w:numId w:val="1"/>
        </w:numPr>
        <w:spacing w:after="80"/>
      </w:pPr>
      <w:r>
        <w:rPr>
          <w:rFonts w:ascii="Calibri" w:cs="Calibri" w:eastAsia="Calibri" w:hAnsi="Calibri"/>
          <w:sz w:val="22"/>
          <w:szCs w:val="22"/>
        </w:rPr>
        <w:t xml:space="preserve">Permission enforcement: Every read/write/delete operation is checked against the Role Permission Manager rules configured on that DocType — so even though many people can create records, only permitted roles can actually save/view/delete them.</w:t>
      </w:r>
    </w:p>
    <w:p>
      <w:pPr>
        <w:pStyle w:val="ListParagraph"/>
        <w:numPr>
          <w:ilvl w:val="0"/>
          <w:numId w:val="1"/>
        </w:numPr>
        <w:spacing w:after="80"/>
      </w:pPr>
      <w:r>
        <w:rPr>
          <w:rFonts w:ascii="Calibri" w:cs="Calibri" w:eastAsia="Calibri" w:hAnsi="Calibri"/>
          <w:sz w:val="22"/>
          <w:szCs w:val="22"/>
        </w:rPr>
        <w:t xml:space="preserve">Change tracking: If 'Track Changes' is enabled, every field-level modification is version-logged automatically, without any extra code.</w:t>
      </w:r>
    </w:p>
    <w:p>
      <w:pPr>
        <w:pStyle w:val="Heading1"/>
        <w:spacing w:after="200" w:before="400"/>
      </w:pPr>
      <w:r>
        <w:t xml:space="preserve">2. What are the key features of a DocType and how does it manage data?</w:t>
      </w:r>
    </w:p>
    <w:p>
      <w:pPr>
        <w:pStyle w:val="Heading2"/>
        <w:spacing w:after="150" w:before="300"/>
      </w:pPr>
      <w:r>
        <w:t xml:space="preserve">Key features</w:t>
      </w:r>
    </w:p>
    <w:p>
      <w:pPr>
        <w:pStyle w:val="ListParagraph"/>
        <w:numPr>
          <w:ilvl w:val="0"/>
          <w:numId w:val="1"/>
        </w:numPr>
        <w:spacing w:after="80"/>
      </w:pPr>
      <w:r>
        <w:rPr>
          <w:rFonts w:ascii="Calibri" w:cs="Calibri" w:eastAsia="Calibri" w:hAnsi="Calibri"/>
          <w:sz w:val="22"/>
          <w:szCs w:val="22"/>
        </w:rPr>
        <w:t xml:space="preserve">Fields — the core definition of what data is captured and its type (Data, Date, Link, Select, Table, etc.). Each field has a fieldname (internal, used in code) and a label (what the user sees).</w:t>
      </w:r>
    </w:p>
    <w:p>
      <w:pPr>
        <w:pStyle w:val="ListParagraph"/>
        <w:numPr>
          <w:ilvl w:val="0"/>
          <w:numId w:val="1"/>
        </w:numPr>
        <w:spacing w:after="80"/>
      </w:pPr>
      <w:r>
        <w:rPr>
          <w:rFonts w:ascii="Calibri" w:cs="Calibri" w:eastAsia="Calibri" w:hAnsi="Calibri"/>
          <w:sz w:val="22"/>
          <w:szCs w:val="22"/>
        </w:rPr>
        <w:t xml:space="preserve">Naming Rule (autoname) — decides how each new record gets its unique identifier: Series (e.g. STU-.YYYY.-.#####), Field-based (use another field's value as the name), Prompt (ask the user to type it), Format, or (in v16) UUID-based random naming.</w:t>
      </w:r>
    </w:p>
    <w:p>
      <w:pPr>
        <w:pStyle w:val="ListParagraph"/>
        <w:numPr>
          <w:ilvl w:val="0"/>
          <w:numId w:val="1"/>
        </w:numPr>
        <w:spacing w:after="80"/>
      </w:pPr>
      <w:r>
        <w:rPr>
          <w:rFonts w:ascii="Calibri" w:cs="Calibri" w:eastAsia="Calibri" w:hAnsi="Calibri"/>
          <w:sz w:val="22"/>
          <w:szCs w:val="22"/>
        </w:rPr>
        <w:t xml:space="preserve">Permissions — a role-based access matrix (Create, Read, Write, Delete, Submit, Cancel, Amend, Print, Email, Report, Export, Import) configured per Role, so different user types see and can do different things with the same DocType.</w:t>
      </w:r>
    </w:p>
    <w:p>
      <w:pPr>
        <w:pStyle w:val="ListParagraph"/>
        <w:numPr>
          <w:ilvl w:val="0"/>
          <w:numId w:val="1"/>
        </w:numPr>
        <w:spacing w:after="80"/>
      </w:pPr>
      <w:r>
        <w:rPr>
          <w:rFonts w:ascii="Calibri" w:cs="Calibri" w:eastAsia="Calibri" w:hAnsi="Calibri"/>
          <w:sz w:val="22"/>
          <w:szCs w:val="22"/>
        </w:rPr>
        <w:t xml:space="preserve">Controller hooks (Python) — lifecycle methods inside the DocType's .py file such as validate(), before_save(), on_submit(), autoname(), etc. that let a developer inject custom business logic at exact points in the save/submit/cancel process.</w:t>
      </w:r>
    </w:p>
    <w:p>
      <w:pPr>
        <w:pStyle w:val="ListParagraph"/>
        <w:numPr>
          <w:ilvl w:val="0"/>
          <w:numId w:val="1"/>
        </w:numPr>
        <w:spacing w:after="80"/>
      </w:pPr>
      <w:r>
        <w:rPr>
          <w:rFonts w:ascii="Calibri" w:cs="Calibri" w:eastAsia="Calibri" w:hAnsi="Calibri"/>
          <w:sz w:val="22"/>
          <w:szCs w:val="22"/>
        </w:rPr>
        <w:t xml:space="preserve">Client Scripts (JavaScript) — browser-side logic tied to the DocType's form: field-change handlers, show/hide logic, real-time UI feedback.</w:t>
      </w:r>
    </w:p>
    <w:p>
      <w:pPr>
        <w:pStyle w:val="ListParagraph"/>
        <w:numPr>
          <w:ilvl w:val="0"/>
          <w:numId w:val="1"/>
        </w:numPr>
        <w:spacing w:after="80"/>
      </w:pPr>
      <w:r>
        <w:rPr>
          <w:rFonts w:ascii="Calibri" w:cs="Calibri" w:eastAsia="Calibri" w:hAnsi="Calibri"/>
          <w:sz w:val="22"/>
          <w:szCs w:val="22"/>
        </w:rPr>
        <w:t xml:space="preserve">Print Formats — templates (Jinja or JS) that define how a saved record looks when printed or exported to PDF.</w:t>
      </w:r>
    </w:p>
    <w:p>
      <w:pPr>
        <w:pStyle w:val="ListParagraph"/>
        <w:numPr>
          <w:ilvl w:val="0"/>
          <w:numId w:val="1"/>
        </w:numPr>
        <w:spacing w:after="80"/>
      </w:pPr>
      <w:r>
        <w:rPr>
          <w:rFonts w:ascii="Calibri" w:cs="Calibri" w:eastAsia="Calibri" w:hAnsi="Calibri"/>
          <w:sz w:val="22"/>
          <w:szCs w:val="22"/>
        </w:rPr>
        <w:t xml:space="preserve">Workflow / States — optional formal approval-chain configuration (e.g. Draft → Pending Approval → Approved) layered on top of the DocType.</w:t>
      </w:r>
    </w:p>
    <w:p>
      <w:pPr>
        <w:pStyle w:val="ListParagraph"/>
        <w:numPr>
          <w:ilvl w:val="0"/>
          <w:numId w:val="1"/>
        </w:numPr>
        <w:spacing w:after="80"/>
      </w:pPr>
      <w:r>
        <w:rPr>
          <w:rFonts w:ascii="Calibri" w:cs="Calibri" w:eastAsia="Calibri" w:hAnsi="Calibri"/>
          <w:sz w:val="22"/>
          <w:szCs w:val="22"/>
        </w:rPr>
        <w:t xml:space="preserve">List View / Report View settings — sort_field, in_list_view flags on fields, search_fields — controlling how records are displayed in list/grid views.</w:t>
      </w:r>
    </w:p>
    <w:p>
      <w:pPr>
        <w:pStyle w:val="ListParagraph"/>
        <w:numPr>
          <w:ilvl w:val="0"/>
          <w:numId w:val="1"/>
        </w:numPr>
        <w:spacing w:after="80"/>
      </w:pPr>
      <w:r>
        <w:rPr>
          <w:rFonts w:ascii="Calibri" w:cs="Calibri" w:eastAsia="Calibri" w:hAnsi="Calibri"/>
          <w:sz w:val="22"/>
          <w:szCs w:val="22"/>
        </w:rPr>
        <w:t xml:space="preserve">Links / Connections — declares relationships to other DocTypes (shown as a 'Connections' tab), helping users navigate from one record to related records.</w:t>
      </w:r>
    </w:p>
    <w:p>
      <w:pPr>
        <w:pStyle w:val="Heading2"/>
        <w:spacing w:after="150" w:before="300"/>
      </w:pPr>
      <w:r>
        <w:t xml:space="preserve">How it manages data — step by step</w:t>
      </w:r>
    </w:p>
    <w:p>
      <w:pPr>
        <w:pStyle w:val="ListParagraph"/>
        <w:numPr>
          <w:ilvl w:val="0"/>
          <w:numId w:val="1"/>
        </w:numPr>
        <w:spacing w:after="80"/>
      </w:pPr>
      <w:r>
        <w:rPr>
          <w:rFonts w:ascii="Calibri" w:cs="Calibri" w:eastAsia="Calibri" w:hAnsi="Calibri"/>
          <w:sz w:val="22"/>
          <w:szCs w:val="22"/>
        </w:rPr>
        <w:t xml:space="preserve">1. Definition stage: developer/admin defines fields + rules in the DocType (via UI or JSON file in code).</w:t>
      </w:r>
    </w:p>
    <w:p>
      <w:pPr>
        <w:pStyle w:val="ListParagraph"/>
        <w:numPr>
          <w:ilvl w:val="0"/>
          <w:numId w:val="1"/>
        </w:numPr>
        <w:spacing w:after="80"/>
      </w:pPr>
      <w:r>
        <w:rPr>
          <w:rFonts w:ascii="Calibri" w:cs="Calibri" w:eastAsia="Calibri" w:hAnsi="Calibri"/>
          <w:sz w:val="22"/>
          <w:szCs w:val="22"/>
        </w:rPr>
        <w:t xml:space="preserve">2. Migration: running 'bench migrate' (or saving the DocType via UI in developer mode) synchronises this definition into an actual MariaDB table — creating columns, adding indexes on Link fields, etc.</w:t>
      </w:r>
    </w:p>
    <w:p>
      <w:pPr>
        <w:pStyle w:val="ListParagraph"/>
        <w:numPr>
          <w:ilvl w:val="0"/>
          <w:numId w:val="1"/>
        </w:numPr>
        <w:spacing w:after="80"/>
      </w:pPr>
      <w:r>
        <w:rPr>
          <w:rFonts w:ascii="Calibri" w:cs="Calibri" w:eastAsia="Calibri" w:hAnsi="Calibri"/>
          <w:sz w:val="22"/>
          <w:szCs w:val="22"/>
        </w:rPr>
        <w:t xml:space="preserve">3. Data entry: a user fills the auto-generated form; Frappe's client-side JS enforces field types and any Client Script logic live.</w:t>
      </w:r>
    </w:p>
    <w:p>
      <w:pPr>
        <w:pStyle w:val="ListParagraph"/>
        <w:numPr>
          <w:ilvl w:val="0"/>
          <w:numId w:val="1"/>
        </w:numPr>
        <w:spacing w:after="80"/>
      </w:pPr>
      <w:r>
        <w:rPr>
          <w:rFonts w:ascii="Calibri" w:cs="Calibri" w:eastAsia="Calibri" w:hAnsi="Calibri"/>
          <w:sz w:val="22"/>
          <w:szCs w:val="22"/>
        </w:rPr>
        <w:t xml:space="preserve">4. Server-side validation: on Save, Frappe calls the document's lifecycle methods in strict order (validate → before_save → ...); Server Scripts and controller code run here.</w:t>
      </w:r>
    </w:p>
    <w:p>
      <w:pPr>
        <w:pStyle w:val="ListParagraph"/>
        <w:numPr>
          <w:ilvl w:val="0"/>
          <w:numId w:val="1"/>
        </w:numPr>
        <w:spacing w:after="80"/>
      </w:pPr>
      <w:r>
        <w:rPr>
          <w:rFonts w:ascii="Calibri" w:cs="Calibri" w:eastAsia="Calibri" w:hAnsi="Calibri"/>
          <w:sz w:val="22"/>
          <w:szCs w:val="22"/>
        </w:rPr>
        <w:t xml:space="preserve">5. Persistence: once validation passes, Frappe writes/updates the row in the corresponding table, and (if Track Changes is on) logs a version diff.</w:t>
      </w:r>
    </w:p>
    <w:p>
      <w:pPr>
        <w:pStyle w:val="ListParagraph"/>
        <w:numPr>
          <w:ilvl w:val="0"/>
          <w:numId w:val="1"/>
        </w:numPr>
        <w:spacing w:after="80"/>
      </w:pPr>
      <w:r>
        <w:rPr>
          <w:rFonts w:ascii="Calibri" w:cs="Calibri" w:eastAsia="Calibri" w:hAnsi="Calibri"/>
          <w:sz w:val="22"/>
          <w:szCs w:val="22"/>
        </w:rPr>
        <w:t xml:space="preserve">6. Retrieval: reading data respects the Permission engine — a query filtering by user permissions is automatically layered on top of any list/report call.</w:t>
      </w:r>
    </w:p>
    <w:p>
      <w:pPr>
        <w:pStyle w:val="Heading1"/>
        <w:spacing w:after="200" w:before="400"/>
      </w:pPr>
      <w:r>
        <w:t xml:space="preserve">3. Explain how you structured the Student DocType and the purpose of each field</w:t>
      </w:r>
    </w:p>
    <w:p>
      <w:pPr>
        <w:spacing w:after="160"/>
      </w:pPr>
      <w:r>
        <w:rPr>
          <w:rFonts w:ascii="Calibri" w:cs="Calibri" w:eastAsia="Calibri" w:hAnsi="Calibri"/>
          <w:b w:val="false"/>
          <w:bCs w:val="false"/>
          <w:i w:val="false"/>
          <w:iCs w:val="false"/>
          <w:sz w:val="22"/>
          <w:szCs w:val="22"/>
        </w:rPr>
        <w:t xml:space="preserve">The Student DocType was structured to capture identity information, academic information, and contact information, using Section Breaks to visually and logically group related fields. Fields were chosen with the correct field type so that Frappe enforces the right kind of validation automatically (e.g. Date fields reject invalid dates, Link fields reject values that don't exist in the referenced DocType).</w:t>
      </w:r>
    </w:p>
    <w:p>
      <w:pPr>
        <w:pStyle w:val="Heading2"/>
        <w:spacing w:after="150" w:before="300"/>
      </w:pPr>
      <w:r>
        <w:t xml:space="preserve">Field-by-field breakdown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200"/>
      </w:tblGrid>
      <w:tr>
        <w:tc>
          <w:tcPr>
            <w:tcW w:type="dxa" w:w="3200"/>
            <w:shd w:fill="1F3864" w:color="auto" w:val="clear"/>
          </w:tcPr>
          <w:p>
            <w:r>
              <w:rPr>
                <w:rFonts w:ascii="Calibri" w:cs="Calibri" w:eastAsia="Calibri" w:hAnsi="Calibri"/>
                <w:b/>
                <w:bCs/>
                <w:color w:val="FFFFFF"/>
                <w:sz w:val="20"/>
                <w:szCs w:val="20"/>
              </w:rPr>
              <w:t xml:space="preserve">Field (fieldname)</w:t>
            </w:r>
          </w:p>
        </w:tc>
        <w:tc>
          <w:tcPr>
            <w:tcW w:type="dxa" w:w="2000"/>
            <w:shd w:fill="1F3864" w:color="auto" w:val="clear"/>
          </w:tcPr>
          <w:p>
            <w:r>
              <w:rPr>
                <w:rFonts w:ascii="Calibri" w:cs="Calibri" w:eastAsia="Calibri" w:hAnsi="Calibri"/>
                <w:b/>
                <w:bCs/>
                <w:color w:val="FFFFFF"/>
                <w:sz w:val="20"/>
                <w:szCs w:val="20"/>
              </w:rPr>
              <w:t xml:space="preserve">Type</w:t>
            </w:r>
          </w:p>
        </w:tc>
        <w:tc>
          <w:tcPr>
            <w:tcW w:type="dxa" w:w="4200"/>
            <w:shd w:fill="1F3864" w:color="auto" w:val="clear"/>
          </w:tcPr>
          <w:p>
            <w:r>
              <w:rPr>
                <w:rFonts w:ascii="Calibri" w:cs="Calibri" w:eastAsia="Calibri" w:hAnsi="Calibri"/>
                <w:b/>
                <w:bCs/>
                <w:color w:val="FFFFFF"/>
                <w:sz w:val="20"/>
                <w:szCs w:val="20"/>
              </w:rPr>
              <w:t xml:space="preserve">Purpose / Why this type</w:t>
            </w:r>
          </w:p>
        </w:tc>
      </w:tr>
      <w:tr>
        <w:tc>
          <w:tcPr>
            <w:tcW w:type="dxa" w:w="3200"/>
          </w:tcPr>
          <w:p>
            <w:r>
              <w:rPr>
                <w:rFonts w:ascii="Calibri" w:cs="Calibri" w:eastAsia="Calibri" w:hAnsi="Calibri"/>
                <w:b w:val="false"/>
                <w:bCs w:val="false"/>
                <w:color w:val="000000"/>
                <w:sz w:val="20"/>
                <w:szCs w:val="20"/>
              </w:rPr>
              <w:t xml:space="preserve">student_id</w:t>
            </w:r>
          </w:p>
        </w:tc>
        <w:tc>
          <w:tcPr>
            <w:tcW w:type="dxa" w:w="2000"/>
          </w:tcPr>
          <w:p>
            <w:r>
              <w:rPr>
                <w:rFonts w:ascii="Calibri" w:cs="Calibri" w:eastAsia="Calibri" w:hAnsi="Calibri"/>
                <w:b w:val="false"/>
                <w:bCs w:val="false"/>
                <w:color w:val="000000"/>
                <w:sz w:val="20"/>
                <w:szCs w:val="20"/>
              </w:rPr>
              <w:t xml:space="preserve">Data</w:t>
            </w:r>
          </w:p>
        </w:tc>
        <w:tc>
          <w:tcPr>
            <w:tcW w:type="dxa" w:w="4200"/>
          </w:tcPr>
          <w:p>
            <w:r>
              <w:rPr>
                <w:rFonts w:ascii="Calibri" w:cs="Calibri" w:eastAsia="Calibri" w:hAnsi="Calibri"/>
                <w:b w:val="false"/>
                <w:bCs w:val="false"/>
                <w:color w:val="000000"/>
                <w:sz w:val="20"/>
                <w:szCs w:val="20"/>
              </w:rPr>
              <w:t xml:space="preserve">Human-readable unique student code — a plain short-text identifier.</w:t>
            </w:r>
          </w:p>
        </w:tc>
      </w:tr>
      <w:tr>
        <w:tc>
          <w:tcPr>
            <w:tcW w:type="dxa" w:w="3200"/>
          </w:tcPr>
          <w:p>
            <w:r>
              <w:rPr>
                <w:rFonts w:ascii="Calibri" w:cs="Calibri" w:eastAsia="Calibri" w:hAnsi="Calibri"/>
                <w:b w:val="false"/>
                <w:bCs w:val="false"/>
                <w:color w:val="000000"/>
                <w:sz w:val="20"/>
                <w:szCs w:val="20"/>
              </w:rPr>
              <w:t xml:space="preserve">student_name</w:t>
            </w:r>
          </w:p>
        </w:tc>
        <w:tc>
          <w:tcPr>
            <w:tcW w:type="dxa" w:w="2000"/>
          </w:tcPr>
          <w:p>
            <w:r>
              <w:rPr>
                <w:rFonts w:ascii="Calibri" w:cs="Calibri" w:eastAsia="Calibri" w:hAnsi="Calibri"/>
                <w:b w:val="false"/>
                <w:bCs w:val="false"/>
                <w:color w:val="000000"/>
                <w:sz w:val="20"/>
                <w:szCs w:val="20"/>
              </w:rPr>
              <w:t xml:space="preserve">Data</w:t>
            </w:r>
          </w:p>
        </w:tc>
        <w:tc>
          <w:tcPr>
            <w:tcW w:type="dxa" w:w="4200"/>
          </w:tcPr>
          <w:p>
            <w:r>
              <w:rPr>
                <w:rFonts w:ascii="Calibri" w:cs="Calibri" w:eastAsia="Calibri" w:hAnsi="Calibri"/>
                <w:b w:val="false"/>
                <w:bCs w:val="false"/>
                <w:color w:val="000000"/>
                <w:sz w:val="20"/>
                <w:szCs w:val="20"/>
              </w:rPr>
              <w:t xml:space="preserve">Full name of the student — free text, since names vary in structure.</w:t>
            </w:r>
          </w:p>
        </w:tc>
      </w:tr>
      <w:tr>
        <w:tc>
          <w:tcPr>
            <w:tcW w:type="dxa" w:w="3200"/>
          </w:tcPr>
          <w:p>
            <w:r>
              <w:rPr>
                <w:rFonts w:ascii="Calibri" w:cs="Calibri" w:eastAsia="Calibri" w:hAnsi="Calibri"/>
                <w:b w:val="false"/>
                <w:bCs w:val="false"/>
                <w:color w:val="000000"/>
                <w:sz w:val="20"/>
                <w:szCs w:val="20"/>
              </w:rPr>
              <w:t xml:space="preserve">date_of_birth</w:t>
            </w:r>
          </w:p>
        </w:tc>
        <w:tc>
          <w:tcPr>
            <w:tcW w:type="dxa" w:w="2000"/>
          </w:tcPr>
          <w:p>
            <w:r>
              <w:rPr>
                <w:rFonts w:ascii="Calibri" w:cs="Calibri" w:eastAsia="Calibri" w:hAnsi="Calibri"/>
                <w:b w:val="false"/>
                <w:bCs w:val="false"/>
                <w:color w:val="000000"/>
                <w:sz w:val="20"/>
                <w:szCs w:val="20"/>
              </w:rPr>
              <w:t xml:space="preserve">Date</w:t>
            </w:r>
          </w:p>
        </w:tc>
        <w:tc>
          <w:tcPr>
            <w:tcW w:type="dxa" w:w="4200"/>
          </w:tcPr>
          <w:p>
            <w:r>
              <w:rPr>
                <w:rFonts w:ascii="Calibri" w:cs="Calibri" w:eastAsia="Calibri" w:hAnsi="Calibri"/>
                <w:b w:val="false"/>
                <w:bCs w:val="false"/>
                <w:color w:val="000000"/>
                <w:sz w:val="20"/>
                <w:szCs w:val="20"/>
              </w:rPr>
              <w:t xml:space="preserve">Stores DOB with a date-picker; enables date-based validation (e.g. blocking future dates) and age calculations.</w:t>
            </w:r>
          </w:p>
        </w:tc>
      </w:tr>
      <w:tr>
        <w:tc>
          <w:tcPr>
            <w:tcW w:type="dxa" w:w="3200"/>
          </w:tcPr>
          <w:p>
            <w:r>
              <w:rPr>
                <w:rFonts w:ascii="Calibri" w:cs="Calibri" w:eastAsia="Calibri" w:hAnsi="Calibri"/>
                <w:b w:val="false"/>
                <w:bCs w:val="false"/>
                <w:color w:val="000000"/>
                <w:sz w:val="20"/>
                <w:szCs w:val="20"/>
              </w:rPr>
              <w:t xml:space="preserve">gender</w:t>
            </w:r>
          </w:p>
        </w:tc>
        <w:tc>
          <w:tcPr>
            <w:tcW w:type="dxa" w:w="2000"/>
          </w:tcPr>
          <w:p>
            <w:r>
              <w:rPr>
                <w:rFonts w:ascii="Calibri" w:cs="Calibri" w:eastAsia="Calibri" w:hAnsi="Calibri"/>
                <w:b w:val="false"/>
                <w:bCs w:val="false"/>
                <w:color w:val="000000"/>
                <w:sz w:val="20"/>
                <w:szCs w:val="20"/>
              </w:rPr>
              <w:t xml:space="preserve">Select</w:t>
            </w:r>
          </w:p>
        </w:tc>
        <w:tc>
          <w:tcPr>
            <w:tcW w:type="dxa" w:w="4200"/>
          </w:tcPr>
          <w:p>
            <w:r>
              <w:rPr>
                <w:rFonts w:ascii="Calibri" w:cs="Calibri" w:eastAsia="Calibri" w:hAnsi="Calibri"/>
                <w:b w:val="false"/>
                <w:bCs w:val="false"/>
                <w:color w:val="000000"/>
                <w:sz w:val="20"/>
                <w:szCs w:val="20"/>
              </w:rPr>
              <w:t xml:space="preserve">Restricts input to a fixed, valid list (Male/Female) — prevents inconsistent free-text entries like 'M', 'male', 'Male '.</w:t>
            </w:r>
          </w:p>
        </w:tc>
      </w:tr>
      <w:tr>
        <w:tc>
          <w:tcPr>
            <w:tcW w:type="dxa" w:w="3200"/>
          </w:tcPr>
          <w:p>
            <w:r>
              <w:rPr>
                <w:rFonts w:ascii="Calibri" w:cs="Calibri" w:eastAsia="Calibri" w:hAnsi="Calibri"/>
                <w:b w:val="false"/>
                <w:bCs w:val="false"/>
                <w:color w:val="000000"/>
                <w:sz w:val="20"/>
                <w:szCs w:val="20"/>
              </w:rPr>
              <w:t xml:space="preserve">department</w:t>
            </w:r>
          </w:p>
        </w:tc>
        <w:tc>
          <w:tcPr>
            <w:tcW w:type="dxa" w:w="2000"/>
          </w:tcPr>
          <w:p>
            <w:r>
              <w:rPr>
                <w:rFonts w:ascii="Calibri" w:cs="Calibri" w:eastAsia="Calibri" w:hAnsi="Calibri"/>
                <w:b w:val="false"/>
                <w:bCs w:val="false"/>
                <w:color w:val="000000"/>
                <w:sz w:val="20"/>
                <w:szCs w:val="20"/>
              </w:rPr>
              <w:t xml:space="preserve">Link</w:t>
            </w:r>
          </w:p>
        </w:tc>
        <w:tc>
          <w:tcPr>
            <w:tcW w:type="dxa" w:w="4200"/>
          </w:tcPr>
          <w:p>
            <w:r>
              <w:rPr>
                <w:rFonts w:ascii="Calibri" w:cs="Calibri" w:eastAsia="Calibri" w:hAnsi="Calibri"/>
                <w:b w:val="false"/>
                <w:bCs w:val="false"/>
                <w:color w:val="000000"/>
                <w:sz w:val="20"/>
                <w:szCs w:val="20"/>
              </w:rPr>
              <w:t xml:space="preserve">References a Student Department record instead of retyping department details — keeps department data centralised and consistent; if a department's info changes, every linked student automatically reflects it.</w:t>
            </w:r>
          </w:p>
        </w:tc>
      </w:tr>
      <w:tr>
        <w:tc>
          <w:tcPr>
            <w:tcW w:type="dxa" w:w="3200"/>
          </w:tcPr>
          <w:p>
            <w:r>
              <w:rPr>
                <w:rFonts w:ascii="Calibri" w:cs="Calibri" w:eastAsia="Calibri" w:hAnsi="Calibri"/>
                <w:b w:val="false"/>
                <w:bCs w:val="false"/>
                <w:color w:val="000000"/>
                <w:sz w:val="20"/>
                <w:szCs w:val="20"/>
              </w:rPr>
              <w:t xml:space="preserve">reference_doctype / reference_docname</w:t>
            </w:r>
          </w:p>
        </w:tc>
        <w:tc>
          <w:tcPr>
            <w:tcW w:type="dxa" w:w="2000"/>
          </w:tcPr>
          <w:p>
            <w:r>
              <w:rPr>
                <w:rFonts w:ascii="Calibri" w:cs="Calibri" w:eastAsia="Calibri" w:hAnsi="Calibri"/>
                <w:b w:val="false"/>
                <w:bCs w:val="false"/>
                <w:color w:val="000000"/>
                <w:sz w:val="20"/>
                <w:szCs w:val="20"/>
              </w:rPr>
              <w:t xml:space="preserve">Link (to DocType) / Dynamic Link</w:t>
            </w:r>
          </w:p>
        </w:tc>
        <w:tc>
          <w:tcPr>
            <w:tcW w:type="dxa" w:w="4200"/>
          </w:tcPr>
          <w:p>
            <w:r>
              <w:rPr>
                <w:rFonts w:ascii="Calibri" w:cs="Calibri" w:eastAsia="Calibri" w:hAnsi="Calibri"/>
                <w:b w:val="false"/>
                <w:bCs w:val="false"/>
                <w:color w:val="000000"/>
                <w:sz w:val="20"/>
                <w:szCs w:val="20"/>
              </w:rPr>
              <w:t xml:space="preserve">A generic reference pair that can point to ANY DocType decided at runtime (e.g. sometimes a Teacher, sometimes a Department) — demonstrates the Dynamic Link pattern for flexible relationships.</w:t>
            </w:r>
          </w:p>
        </w:tc>
      </w:tr>
      <w:tr>
        <w:tc>
          <w:tcPr>
            <w:tcW w:type="dxa" w:w="3200"/>
          </w:tcPr>
          <w:p>
            <w:r>
              <w:rPr>
                <w:rFonts w:ascii="Calibri" w:cs="Calibri" w:eastAsia="Calibri" w:hAnsi="Calibri"/>
                <w:b w:val="false"/>
                <w:bCs w:val="false"/>
                <w:color w:val="000000"/>
                <w:sz w:val="20"/>
                <w:szCs w:val="20"/>
              </w:rPr>
              <w:t xml:space="preserve">enrollment_date</w:t>
            </w:r>
          </w:p>
        </w:tc>
        <w:tc>
          <w:tcPr>
            <w:tcW w:type="dxa" w:w="2000"/>
          </w:tcPr>
          <w:p>
            <w:r>
              <w:rPr>
                <w:rFonts w:ascii="Calibri" w:cs="Calibri" w:eastAsia="Calibri" w:hAnsi="Calibri"/>
                <w:b w:val="false"/>
                <w:bCs w:val="false"/>
                <w:color w:val="000000"/>
                <w:sz w:val="20"/>
                <w:szCs w:val="20"/>
              </w:rPr>
              <w:t xml:space="preserve">Date</w:t>
            </w:r>
          </w:p>
        </w:tc>
        <w:tc>
          <w:tcPr>
            <w:tcW w:type="dxa" w:w="4200"/>
          </w:tcPr>
          <w:p>
            <w:r>
              <w:rPr>
                <w:rFonts w:ascii="Calibri" w:cs="Calibri" w:eastAsia="Calibri" w:hAnsi="Calibri"/>
                <w:b w:val="false"/>
                <w:bCs w:val="false"/>
                <w:color w:val="000000"/>
                <w:sz w:val="20"/>
                <w:szCs w:val="20"/>
              </w:rPr>
              <w:t xml:space="preserve">Records when the student joined — used for reporting/filtering by academic year.</w:t>
            </w:r>
          </w:p>
        </w:tc>
      </w:tr>
      <w:tr>
        <w:tc>
          <w:tcPr>
            <w:tcW w:type="dxa" w:w="3200"/>
          </w:tcPr>
          <w:p>
            <w:r>
              <w:rPr>
                <w:rFonts w:ascii="Calibri" w:cs="Calibri" w:eastAsia="Calibri" w:hAnsi="Calibri"/>
                <w:b w:val="false"/>
                <w:bCs w:val="false"/>
                <w:color w:val="000000"/>
                <w:sz w:val="20"/>
                <w:szCs w:val="20"/>
              </w:rPr>
              <w:t xml:space="preserve">status</w:t>
            </w:r>
          </w:p>
        </w:tc>
        <w:tc>
          <w:tcPr>
            <w:tcW w:type="dxa" w:w="2000"/>
          </w:tcPr>
          <w:p>
            <w:r>
              <w:rPr>
                <w:rFonts w:ascii="Calibri" w:cs="Calibri" w:eastAsia="Calibri" w:hAnsi="Calibri"/>
                <w:b w:val="false"/>
                <w:bCs w:val="false"/>
                <w:color w:val="000000"/>
                <w:sz w:val="20"/>
                <w:szCs w:val="20"/>
              </w:rPr>
              <w:t xml:space="preserve">Select</w:t>
            </w:r>
          </w:p>
        </w:tc>
        <w:tc>
          <w:tcPr>
            <w:tcW w:type="dxa" w:w="4200"/>
          </w:tcPr>
          <w:p>
            <w:r>
              <w:rPr>
                <w:rFonts w:ascii="Calibri" w:cs="Calibri" w:eastAsia="Calibri" w:hAnsi="Calibri"/>
                <w:b w:val="false"/>
                <w:bCs w:val="false"/>
                <w:color w:val="000000"/>
                <w:sz w:val="20"/>
                <w:szCs w:val="20"/>
              </w:rPr>
              <w:t xml:space="preserve">Active/Inactive — drives conditional UI logic (e.g. hides the Notes field when Inactive).</w:t>
            </w:r>
          </w:p>
        </w:tc>
      </w:tr>
      <w:tr>
        <w:tc>
          <w:tcPr>
            <w:tcW w:type="dxa" w:w="3200"/>
          </w:tcPr>
          <w:p>
            <w:r>
              <w:rPr>
                <w:rFonts w:ascii="Calibri" w:cs="Calibri" w:eastAsia="Calibri" w:hAnsi="Calibri"/>
                <w:b w:val="false"/>
                <w:bCs w:val="false"/>
                <w:color w:val="000000"/>
                <w:sz w:val="20"/>
                <w:szCs w:val="20"/>
              </w:rPr>
              <w:t xml:space="preserve">notes</w:t>
            </w:r>
          </w:p>
        </w:tc>
        <w:tc>
          <w:tcPr>
            <w:tcW w:type="dxa" w:w="2000"/>
          </w:tcPr>
          <w:p>
            <w:r>
              <w:rPr>
                <w:rFonts w:ascii="Calibri" w:cs="Calibri" w:eastAsia="Calibri" w:hAnsi="Calibri"/>
                <w:b w:val="false"/>
                <w:bCs w:val="false"/>
                <w:color w:val="000000"/>
                <w:sz w:val="20"/>
                <w:szCs w:val="20"/>
              </w:rPr>
              <w:t xml:space="preserve">Text Editor</w:t>
            </w:r>
          </w:p>
        </w:tc>
        <w:tc>
          <w:tcPr>
            <w:tcW w:type="dxa" w:w="4200"/>
          </w:tcPr>
          <w:p>
            <w:r>
              <w:rPr>
                <w:rFonts w:ascii="Calibri" w:cs="Calibri" w:eastAsia="Calibri" w:hAnsi="Calibri"/>
                <w:b w:val="false"/>
                <w:bCs w:val="false"/>
                <w:color w:val="000000"/>
                <w:sz w:val="20"/>
                <w:szCs w:val="20"/>
              </w:rPr>
              <w:t xml:space="preserve">Free-form rich-text remarks about the student; conditionally shown/hidden based on status.</w:t>
            </w:r>
          </w:p>
        </w:tc>
      </w:tr>
      <w:tr>
        <w:tc>
          <w:tcPr>
            <w:tcW w:type="dxa" w:w="3200"/>
          </w:tcPr>
          <w:p>
            <w:r>
              <w:rPr>
                <w:rFonts w:ascii="Calibri" w:cs="Calibri" w:eastAsia="Calibri" w:hAnsi="Calibri"/>
                <w:b w:val="false"/>
                <w:bCs w:val="false"/>
                <w:color w:val="000000"/>
                <w:sz w:val="20"/>
                <w:szCs w:val="20"/>
              </w:rPr>
              <w:t xml:space="preserve">subjects</w:t>
            </w:r>
          </w:p>
        </w:tc>
        <w:tc>
          <w:tcPr>
            <w:tcW w:type="dxa" w:w="2000"/>
          </w:tcPr>
          <w:p>
            <w:r>
              <w:rPr>
                <w:rFonts w:ascii="Calibri" w:cs="Calibri" w:eastAsia="Calibri" w:hAnsi="Calibri"/>
                <w:b w:val="false"/>
                <w:bCs w:val="false"/>
                <w:color w:val="000000"/>
                <w:sz w:val="20"/>
                <w:szCs w:val="20"/>
              </w:rPr>
              <w:t xml:space="preserve">Table (child: Student Subject)</w:t>
            </w:r>
          </w:p>
        </w:tc>
        <w:tc>
          <w:tcPr>
            <w:tcW w:type="dxa" w:w="4200"/>
          </w:tcPr>
          <w:p>
            <w:r>
              <w:rPr>
                <w:rFonts w:ascii="Calibri" w:cs="Calibri" w:eastAsia="Calibri" w:hAnsi="Calibri"/>
                <w:b w:val="false"/>
                <w:bCs w:val="false"/>
                <w:color w:val="000000"/>
                <w:sz w:val="20"/>
                <w:szCs w:val="20"/>
              </w:rPr>
              <w:t xml:space="preserve">Holds the one-to-many relationship between a Student and their multiple subject-marks — this is the core child table demonstrating one-to-many modelling.</w:t>
            </w:r>
          </w:p>
        </w:tc>
      </w:tr>
      <w:tr>
        <w:tc>
          <w:tcPr>
            <w:tcW w:type="dxa" w:w="3200"/>
          </w:tcPr>
          <w:p>
            <w:r>
              <w:rPr>
                <w:rFonts w:ascii="Calibri" w:cs="Calibri" w:eastAsia="Calibri" w:hAnsi="Calibri"/>
                <w:b w:val="false"/>
                <w:bCs w:val="false"/>
                <w:color w:val="000000"/>
                <w:sz w:val="20"/>
                <w:szCs w:val="20"/>
              </w:rPr>
              <w:t xml:space="preserve">total_marks</w:t>
            </w:r>
          </w:p>
        </w:tc>
        <w:tc>
          <w:tcPr>
            <w:tcW w:type="dxa" w:w="2000"/>
          </w:tcPr>
          <w:p>
            <w:r>
              <w:rPr>
                <w:rFonts w:ascii="Calibri" w:cs="Calibri" w:eastAsia="Calibri" w:hAnsi="Calibri"/>
                <w:b w:val="false"/>
                <w:bCs w:val="false"/>
                <w:color w:val="000000"/>
                <w:sz w:val="20"/>
                <w:szCs w:val="20"/>
              </w:rPr>
              <w:t xml:space="preserve">Float</w:t>
            </w:r>
          </w:p>
        </w:tc>
        <w:tc>
          <w:tcPr>
            <w:tcW w:type="dxa" w:w="4200"/>
          </w:tcPr>
          <w:p>
            <w:r>
              <w:rPr>
                <w:rFonts w:ascii="Calibri" w:cs="Calibri" w:eastAsia="Calibri" w:hAnsi="Calibri"/>
                <w:b w:val="false"/>
                <w:bCs w:val="false"/>
                <w:color w:val="000000"/>
                <w:sz w:val="20"/>
                <w:szCs w:val="20"/>
              </w:rPr>
              <w:t xml:space="preserve">Computed field — sum of marks across all subject rows; calculated server-side, not typed by the user.</w:t>
            </w:r>
          </w:p>
        </w:tc>
      </w:tr>
      <w:tr>
        <w:tc>
          <w:tcPr>
            <w:tcW w:type="dxa" w:w="3200"/>
          </w:tcPr>
          <w:p>
            <w:r>
              <w:rPr>
                <w:rFonts w:ascii="Calibri" w:cs="Calibri" w:eastAsia="Calibri" w:hAnsi="Calibri"/>
                <w:b w:val="false"/>
                <w:bCs w:val="false"/>
                <w:color w:val="000000"/>
                <w:sz w:val="20"/>
                <w:szCs w:val="20"/>
              </w:rPr>
              <w:t xml:space="preserve">maximum_marks</w:t>
            </w:r>
          </w:p>
        </w:tc>
        <w:tc>
          <w:tcPr>
            <w:tcW w:type="dxa" w:w="2000"/>
          </w:tcPr>
          <w:p>
            <w:r>
              <w:rPr>
                <w:rFonts w:ascii="Calibri" w:cs="Calibri" w:eastAsia="Calibri" w:hAnsi="Calibri"/>
                <w:b w:val="false"/>
                <w:bCs w:val="false"/>
                <w:color w:val="000000"/>
                <w:sz w:val="20"/>
                <w:szCs w:val="20"/>
              </w:rPr>
              <w:t xml:space="preserve">Float</w:t>
            </w:r>
          </w:p>
        </w:tc>
        <w:tc>
          <w:tcPr>
            <w:tcW w:type="dxa" w:w="4200"/>
          </w:tcPr>
          <w:p>
            <w:r>
              <w:rPr>
                <w:rFonts w:ascii="Calibri" w:cs="Calibri" w:eastAsia="Calibri" w:hAnsi="Calibri"/>
                <w:b w:val="false"/>
                <w:bCs w:val="false"/>
                <w:color w:val="000000"/>
                <w:sz w:val="20"/>
                <w:szCs w:val="20"/>
              </w:rPr>
              <w:t xml:space="preserve">Computed field — sum of maximum possible marks across subjects.</w:t>
            </w:r>
          </w:p>
        </w:tc>
      </w:tr>
      <w:tr>
        <w:tc>
          <w:tcPr>
            <w:tcW w:type="dxa" w:w="3200"/>
          </w:tcPr>
          <w:p>
            <w:r>
              <w:rPr>
                <w:rFonts w:ascii="Calibri" w:cs="Calibri" w:eastAsia="Calibri" w:hAnsi="Calibri"/>
                <w:b w:val="false"/>
                <w:bCs w:val="false"/>
                <w:color w:val="000000"/>
                <w:sz w:val="20"/>
                <w:szCs w:val="20"/>
              </w:rPr>
              <w:t xml:space="preserve">percentage</w:t>
            </w:r>
          </w:p>
        </w:tc>
        <w:tc>
          <w:tcPr>
            <w:tcW w:type="dxa" w:w="2000"/>
          </w:tcPr>
          <w:p>
            <w:r>
              <w:rPr>
                <w:rFonts w:ascii="Calibri" w:cs="Calibri" w:eastAsia="Calibri" w:hAnsi="Calibri"/>
                <w:b w:val="false"/>
                <w:bCs w:val="false"/>
                <w:color w:val="000000"/>
                <w:sz w:val="20"/>
                <w:szCs w:val="20"/>
              </w:rPr>
              <w:t xml:space="preserve">Percent</w:t>
            </w:r>
          </w:p>
        </w:tc>
        <w:tc>
          <w:tcPr>
            <w:tcW w:type="dxa" w:w="4200"/>
          </w:tcPr>
          <w:p>
            <w:r>
              <w:rPr>
                <w:rFonts w:ascii="Calibri" w:cs="Calibri" w:eastAsia="Calibri" w:hAnsi="Calibri"/>
                <w:b w:val="false"/>
                <w:bCs w:val="false"/>
                <w:color w:val="000000"/>
                <w:sz w:val="20"/>
                <w:szCs w:val="20"/>
              </w:rPr>
              <w:t xml:space="preserve">Computed field — (total_marks / maximum_marks) × 100; uses the Percent type for correct display formatting (e.g. with a % suffix and progress-bar-style rendering in some views).</w:t>
            </w:r>
          </w:p>
        </w:tc>
      </w:tr>
      <w:tr>
        <w:tc>
          <w:tcPr>
            <w:tcW w:type="dxa" w:w="3200"/>
          </w:tcPr>
          <w:p>
            <w:r>
              <w:rPr>
                <w:rFonts w:ascii="Calibri" w:cs="Calibri" w:eastAsia="Calibri" w:hAnsi="Calibri"/>
                <w:b w:val="false"/>
                <w:bCs w:val="false"/>
                <w:color w:val="000000"/>
                <w:sz w:val="20"/>
                <w:szCs w:val="20"/>
              </w:rPr>
              <w:t xml:space="preserve">email</w:t>
            </w:r>
          </w:p>
        </w:tc>
        <w:tc>
          <w:tcPr>
            <w:tcW w:type="dxa" w:w="2000"/>
          </w:tcPr>
          <w:p>
            <w:r>
              <w:rPr>
                <w:rFonts w:ascii="Calibri" w:cs="Calibri" w:eastAsia="Calibri" w:hAnsi="Calibri"/>
                <w:b w:val="false"/>
                <w:bCs w:val="false"/>
                <w:color w:val="000000"/>
                <w:sz w:val="20"/>
                <w:szCs w:val="20"/>
              </w:rPr>
              <w:t xml:space="preserve">Data</w:t>
            </w:r>
          </w:p>
        </w:tc>
        <w:tc>
          <w:tcPr>
            <w:tcW w:type="dxa" w:w="4200"/>
          </w:tcPr>
          <w:p>
            <w:r>
              <w:rPr>
                <w:rFonts w:ascii="Calibri" w:cs="Calibri" w:eastAsia="Calibri" w:hAnsi="Calibri"/>
                <w:b w:val="false"/>
                <w:bCs w:val="false"/>
                <w:color w:val="000000"/>
                <w:sz w:val="20"/>
                <w:szCs w:val="20"/>
              </w:rPr>
              <w:t xml:space="preserve">Contact email address.</w:t>
            </w:r>
          </w:p>
        </w:tc>
      </w:tr>
      <w:tr>
        <w:tc>
          <w:tcPr>
            <w:tcW w:type="dxa" w:w="3200"/>
          </w:tcPr>
          <w:p>
            <w:r>
              <w:rPr>
                <w:rFonts w:ascii="Calibri" w:cs="Calibri" w:eastAsia="Calibri" w:hAnsi="Calibri"/>
                <w:b w:val="false"/>
                <w:bCs w:val="false"/>
                <w:color w:val="000000"/>
                <w:sz w:val="20"/>
                <w:szCs w:val="20"/>
              </w:rPr>
              <w:t xml:space="preserve">mobile_number</w:t>
            </w:r>
          </w:p>
        </w:tc>
        <w:tc>
          <w:tcPr>
            <w:tcW w:type="dxa" w:w="2000"/>
          </w:tcPr>
          <w:p>
            <w:r>
              <w:rPr>
                <w:rFonts w:ascii="Calibri" w:cs="Calibri" w:eastAsia="Calibri" w:hAnsi="Calibri"/>
                <w:b w:val="false"/>
                <w:bCs w:val="false"/>
                <w:color w:val="000000"/>
                <w:sz w:val="20"/>
                <w:szCs w:val="20"/>
              </w:rPr>
              <w:t xml:space="preserve">Phone</w:t>
            </w:r>
          </w:p>
        </w:tc>
        <w:tc>
          <w:tcPr>
            <w:tcW w:type="dxa" w:w="4200"/>
          </w:tcPr>
          <w:p>
            <w:r>
              <w:rPr>
                <w:rFonts w:ascii="Calibri" w:cs="Calibri" w:eastAsia="Calibri" w:hAnsi="Calibri"/>
                <w:b w:val="false"/>
                <w:bCs w:val="false"/>
                <w:color w:val="000000"/>
                <w:sz w:val="20"/>
                <w:szCs w:val="20"/>
              </w:rPr>
              <w:t xml:space="preserve">Contact number — Phone type enables country-code formatting.</w:t>
            </w:r>
          </w:p>
        </w:tc>
      </w:tr>
    </w:tbl>
    <w:p>
      <w:pPr>
        <w:spacing w:after="100"/>
      </w:pPr>
    </w:p>
    <w:p>
      <w:pPr>
        <w:spacing w:after="160"/>
      </w:pPr>
      <w:r>
        <w:rPr>
          <w:rFonts w:ascii="Calibri" w:cs="Calibri" w:eastAsia="Calibri" w:hAnsi="Calibri"/>
          <w:b w:val="false"/>
          <w:bCs w:val="false"/>
          <w:i w:val="false"/>
          <w:iCs w:val="false"/>
          <w:sz w:val="22"/>
          <w:szCs w:val="22"/>
        </w:rPr>
        <w:t xml:space="preserve">Section Breaks (Contact Details, etc.) were used purely for visual organisation — they do not store data themselves but group related fields together so the form is easier to read and fill, similar to how a paper form uses headings like 'Personal Details' and 'Contact Details' to separate sections.</w:t>
      </w:r>
    </w:p>
    <w:p>
      <w:pPr>
        <w:pStyle w:val="Heading1"/>
        <w:spacing w:after="200" w:before="400"/>
      </w:pPr>
      <w:r>
        <w:t xml:space="preserve">4. Difference between a Client Script and a Server Script — with examples</w:t>
      </w:r>
    </w:p>
    <w:p>
      <w:pPr>
        <w:pStyle w:val="Heading2"/>
        <w:spacing w:after="150" w:before="300"/>
      </w:pPr>
      <w:r>
        <w:t xml:space="preserve">Definitions</w:t>
      </w:r>
    </w:p>
    <w:p>
      <w:pPr>
        <w:spacing w:after="160"/>
      </w:pPr>
      <w:r>
        <w:rPr>
          <w:rFonts w:ascii="Calibri" w:cs="Calibri" w:eastAsia="Calibri" w:hAnsi="Calibri"/>
          <w:b w:val="false"/>
          <w:bCs w:val="false"/>
          <w:i w:val="false"/>
          <w:iCs w:val="false"/>
          <w:sz w:val="22"/>
          <w:szCs w:val="22"/>
        </w:rPr>
        <w:t xml:space="preserve">A Client Script is JavaScript code that runs entirely in the user's web browser, tied to a specific DocType's form. It controls the User Interface — showing/hiding fields, giving instant feedback, auto-filling values — and executes the moment a user interacts with the form (typing, selecting a value, clicking Save), without needing to contact the server first.</w:t>
      </w:r>
    </w:p>
    <w:p>
      <w:pPr>
        <w:spacing w:after="160"/>
      </w:pPr>
      <w:r>
        <w:rPr>
          <w:rFonts w:ascii="Calibri" w:cs="Calibri" w:eastAsia="Calibri" w:hAnsi="Calibri"/>
          <w:b w:val="false"/>
          <w:bCs w:val="false"/>
          <w:i w:val="false"/>
          <w:iCs w:val="false"/>
          <w:sz w:val="22"/>
          <w:szCs w:val="22"/>
        </w:rPr>
        <w:t xml:space="preserve">A Server Script (or a controller method in a DocType's .py file) is Python code that runs on the Frappe server, executed during specific points of the document's save/submit/cancel lifecycle. It enforces business rules and performs calculations that must ALWAYS be correct and cannot be skipped, because it runs regardless of how the data arrived — through the web form, a REST API call, a data import, or a background job.</w:t>
      </w:r>
    </w:p>
    <w:p>
      <w:pPr>
        <w:pStyle w:val="Heading2"/>
        <w:spacing w:after="150" w:before="300"/>
      </w:pPr>
      <w:r>
        <w:t xml:space="preserve">Detailed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c>
          <w:tcPr>
            <w:tcW w:type="dxa" w:w="1800"/>
            <w:shd w:fill="1F3864" w:color="auto" w:val="clear"/>
          </w:tcPr>
          <w:p>
            <w:r>
              <w:rPr>
                <w:rFonts w:ascii="Calibri" w:cs="Calibri" w:eastAsia="Calibri" w:hAnsi="Calibri"/>
                <w:b/>
                <w:bCs/>
                <w:color w:val="FFFFFF"/>
                <w:sz w:val="20"/>
                <w:szCs w:val="20"/>
              </w:rPr>
              <w:t xml:space="preserve">Aspect</w:t>
            </w:r>
          </w:p>
        </w:tc>
        <w:tc>
          <w:tcPr>
            <w:tcW w:type="dxa" w:w="3800"/>
            <w:shd w:fill="1F3864" w:color="auto" w:val="clear"/>
          </w:tcPr>
          <w:p>
            <w:r>
              <w:rPr>
                <w:rFonts w:ascii="Calibri" w:cs="Calibri" w:eastAsia="Calibri" w:hAnsi="Calibri"/>
                <w:b/>
                <w:bCs/>
                <w:color w:val="FFFFFF"/>
                <w:sz w:val="20"/>
                <w:szCs w:val="20"/>
              </w:rPr>
              <w:t xml:space="preserve">Client Script</w:t>
            </w:r>
          </w:p>
        </w:tc>
        <w:tc>
          <w:tcPr>
            <w:tcW w:type="dxa" w:w="3800"/>
            <w:shd w:fill="1F3864" w:color="auto" w:val="clear"/>
          </w:tcPr>
          <w:p>
            <w:r>
              <w:rPr>
                <w:rFonts w:ascii="Calibri" w:cs="Calibri" w:eastAsia="Calibri" w:hAnsi="Calibri"/>
                <w:b/>
                <w:bCs/>
                <w:color w:val="FFFFFF"/>
                <w:sz w:val="20"/>
                <w:szCs w:val="20"/>
              </w:rPr>
              <w:t xml:space="preserve">Server Script</w:t>
            </w:r>
          </w:p>
        </w:tc>
      </w:tr>
      <w:tr>
        <w:tc>
          <w:tcPr>
            <w:tcW w:type="dxa" w:w="1800"/>
          </w:tcPr>
          <w:p>
            <w:r>
              <w:rPr>
                <w:rFonts w:ascii="Calibri" w:cs="Calibri" w:eastAsia="Calibri" w:hAnsi="Calibri"/>
                <w:b w:val="false"/>
                <w:bCs w:val="false"/>
                <w:color w:val="000000"/>
                <w:sz w:val="20"/>
                <w:szCs w:val="20"/>
              </w:rPr>
              <w:t xml:space="preserve">Language</w:t>
            </w:r>
          </w:p>
        </w:tc>
        <w:tc>
          <w:tcPr>
            <w:tcW w:type="dxa" w:w="3800"/>
          </w:tcPr>
          <w:p>
            <w:r>
              <w:rPr>
                <w:rFonts w:ascii="Calibri" w:cs="Calibri" w:eastAsia="Calibri" w:hAnsi="Calibri"/>
                <w:b w:val="false"/>
                <w:bCs w:val="false"/>
                <w:color w:val="000000"/>
                <w:sz w:val="20"/>
                <w:szCs w:val="20"/>
              </w:rPr>
              <w:t xml:space="preserve">JavaScript</w:t>
            </w:r>
          </w:p>
        </w:tc>
        <w:tc>
          <w:tcPr>
            <w:tcW w:type="dxa" w:w="3800"/>
          </w:tcPr>
          <w:p>
            <w:r>
              <w:rPr>
                <w:rFonts w:ascii="Calibri" w:cs="Calibri" w:eastAsia="Calibri" w:hAnsi="Calibri"/>
                <w:b w:val="false"/>
                <w:bCs w:val="false"/>
                <w:color w:val="000000"/>
                <w:sz w:val="20"/>
                <w:szCs w:val="20"/>
              </w:rPr>
              <w:t xml:space="preserve">Python</w:t>
            </w:r>
          </w:p>
        </w:tc>
      </w:tr>
      <w:tr>
        <w:tc>
          <w:tcPr>
            <w:tcW w:type="dxa" w:w="1800"/>
          </w:tcPr>
          <w:p>
            <w:r>
              <w:rPr>
                <w:rFonts w:ascii="Calibri" w:cs="Calibri" w:eastAsia="Calibri" w:hAnsi="Calibri"/>
                <w:b w:val="false"/>
                <w:bCs w:val="false"/>
                <w:color w:val="000000"/>
                <w:sz w:val="20"/>
                <w:szCs w:val="20"/>
              </w:rPr>
              <w:t xml:space="preserve">Execution location</w:t>
            </w:r>
          </w:p>
        </w:tc>
        <w:tc>
          <w:tcPr>
            <w:tcW w:type="dxa" w:w="3800"/>
          </w:tcPr>
          <w:p>
            <w:r>
              <w:rPr>
                <w:rFonts w:ascii="Calibri" w:cs="Calibri" w:eastAsia="Calibri" w:hAnsi="Calibri"/>
                <w:b w:val="false"/>
                <w:bCs w:val="false"/>
                <w:color w:val="000000"/>
                <w:sz w:val="20"/>
                <w:szCs w:val="20"/>
              </w:rPr>
              <w:t xml:space="preserve">Browser (client-side)</w:t>
            </w:r>
          </w:p>
        </w:tc>
        <w:tc>
          <w:tcPr>
            <w:tcW w:type="dxa" w:w="3800"/>
          </w:tcPr>
          <w:p>
            <w:r>
              <w:rPr>
                <w:rFonts w:ascii="Calibri" w:cs="Calibri" w:eastAsia="Calibri" w:hAnsi="Calibri"/>
                <w:b w:val="false"/>
                <w:bCs w:val="false"/>
                <w:color w:val="000000"/>
                <w:sz w:val="20"/>
                <w:szCs w:val="20"/>
              </w:rPr>
              <w:t xml:space="preserve">Server (Frappe backend)</w:t>
            </w:r>
          </w:p>
        </w:tc>
      </w:tr>
      <w:tr>
        <w:tc>
          <w:tcPr>
            <w:tcW w:type="dxa" w:w="1800"/>
          </w:tcPr>
          <w:p>
            <w:r>
              <w:rPr>
                <w:rFonts w:ascii="Calibri" w:cs="Calibri" w:eastAsia="Calibri" w:hAnsi="Calibri"/>
                <w:b w:val="false"/>
                <w:bCs w:val="false"/>
                <w:color w:val="000000"/>
                <w:sz w:val="20"/>
                <w:szCs w:val="20"/>
              </w:rPr>
              <w:t xml:space="preserve">Can be bypassed?</w:t>
            </w:r>
          </w:p>
        </w:tc>
        <w:tc>
          <w:tcPr>
            <w:tcW w:type="dxa" w:w="3800"/>
          </w:tcPr>
          <w:p>
            <w:r>
              <w:rPr>
                <w:rFonts w:ascii="Calibri" w:cs="Calibri" w:eastAsia="Calibri" w:hAnsi="Calibri"/>
                <w:b w:val="false"/>
                <w:bCs w:val="false"/>
                <w:color w:val="000000"/>
                <w:sz w:val="20"/>
                <w:szCs w:val="20"/>
              </w:rPr>
              <w:t xml:space="preserve">Yes — via browser console, disabling JS, or calling the REST API directly</w:t>
            </w:r>
          </w:p>
        </w:tc>
        <w:tc>
          <w:tcPr>
            <w:tcW w:type="dxa" w:w="3800"/>
          </w:tcPr>
          <w:p>
            <w:r>
              <w:rPr>
                <w:rFonts w:ascii="Calibri" w:cs="Calibri" w:eastAsia="Calibri" w:hAnsi="Calibri"/>
                <w:b w:val="false"/>
                <w:bCs w:val="false"/>
                <w:color w:val="000000"/>
                <w:sz w:val="20"/>
                <w:szCs w:val="20"/>
              </w:rPr>
              <w:t xml:space="preserve">No — always enforced no matter the entry point</w:t>
            </w:r>
          </w:p>
        </w:tc>
      </w:tr>
      <w:tr>
        <w:tc>
          <w:tcPr>
            <w:tcW w:type="dxa" w:w="1800"/>
          </w:tcPr>
          <w:p>
            <w:r>
              <w:rPr>
                <w:rFonts w:ascii="Calibri" w:cs="Calibri" w:eastAsia="Calibri" w:hAnsi="Calibri"/>
                <w:b w:val="false"/>
                <w:bCs w:val="false"/>
                <w:color w:val="000000"/>
                <w:sz w:val="20"/>
                <w:szCs w:val="20"/>
              </w:rPr>
              <w:t xml:space="preserve">Speed / feel</w:t>
            </w:r>
          </w:p>
        </w:tc>
        <w:tc>
          <w:tcPr>
            <w:tcW w:type="dxa" w:w="3800"/>
          </w:tcPr>
          <w:p>
            <w:r>
              <w:rPr>
                <w:rFonts w:ascii="Calibri" w:cs="Calibri" w:eastAsia="Calibri" w:hAnsi="Calibri"/>
                <w:b w:val="false"/>
                <w:bCs w:val="false"/>
                <w:color w:val="000000"/>
                <w:sz w:val="20"/>
                <w:szCs w:val="20"/>
              </w:rPr>
              <w:t xml:space="preserve">Instant, no network round-trip</w:t>
            </w:r>
          </w:p>
        </w:tc>
        <w:tc>
          <w:tcPr>
            <w:tcW w:type="dxa" w:w="3800"/>
          </w:tcPr>
          <w:p>
            <w:r>
              <w:rPr>
                <w:rFonts w:ascii="Calibri" w:cs="Calibri" w:eastAsia="Calibri" w:hAnsi="Calibri"/>
                <w:b w:val="false"/>
                <w:bCs w:val="false"/>
                <w:color w:val="000000"/>
                <w:sz w:val="20"/>
                <w:szCs w:val="20"/>
              </w:rPr>
              <w:t xml:space="preserve">Slight delay — needs a request to the server</w:t>
            </w:r>
          </w:p>
        </w:tc>
      </w:tr>
      <w:tr>
        <w:tc>
          <w:tcPr>
            <w:tcW w:type="dxa" w:w="1800"/>
          </w:tcPr>
          <w:p>
            <w:r>
              <w:rPr>
                <w:rFonts w:ascii="Calibri" w:cs="Calibri" w:eastAsia="Calibri" w:hAnsi="Calibri"/>
                <w:b w:val="false"/>
                <w:bCs w:val="false"/>
                <w:color w:val="000000"/>
                <w:sz w:val="20"/>
                <w:szCs w:val="20"/>
              </w:rPr>
              <w:t xml:space="preserve">Typical use</w:t>
            </w:r>
          </w:p>
        </w:tc>
        <w:tc>
          <w:tcPr>
            <w:tcW w:type="dxa" w:w="3800"/>
          </w:tcPr>
          <w:p>
            <w:r>
              <w:rPr>
                <w:rFonts w:ascii="Calibri" w:cs="Calibri" w:eastAsia="Calibri" w:hAnsi="Calibri"/>
                <w:b w:val="false"/>
                <w:bCs w:val="false"/>
                <w:color w:val="000000"/>
                <w:sz w:val="20"/>
                <w:szCs w:val="20"/>
              </w:rPr>
              <w:t xml:space="preserve">Field show/hide, live warnings, auto-fetch related values, form event handling (refresh, validate, field-change)</w:t>
            </w:r>
          </w:p>
        </w:tc>
        <w:tc>
          <w:tcPr>
            <w:tcW w:type="dxa" w:w="3800"/>
          </w:tcPr>
          <w:p>
            <w:r>
              <w:rPr>
                <w:rFonts w:ascii="Calibri" w:cs="Calibri" w:eastAsia="Calibri" w:hAnsi="Calibri"/>
                <w:b w:val="false"/>
                <w:bCs w:val="false"/>
                <w:color w:val="000000"/>
                <w:sz w:val="20"/>
                <w:szCs w:val="20"/>
              </w:rPr>
              <w:t xml:space="preserve">Data validation that must never be skipped, computed/derived fields, cross-document business logic</w:t>
            </w:r>
          </w:p>
        </w:tc>
      </w:tr>
      <w:tr>
        <w:tc>
          <w:tcPr>
            <w:tcW w:type="dxa" w:w="1800"/>
          </w:tcPr>
          <w:p>
            <w:r>
              <w:rPr>
                <w:rFonts w:ascii="Calibri" w:cs="Calibri" w:eastAsia="Calibri" w:hAnsi="Calibri"/>
                <w:b w:val="false"/>
                <w:bCs w:val="false"/>
                <w:color w:val="000000"/>
                <w:sz w:val="20"/>
                <w:szCs w:val="20"/>
              </w:rPr>
              <w:t xml:space="preserve">Security role</w:t>
            </w:r>
          </w:p>
        </w:tc>
        <w:tc>
          <w:tcPr>
            <w:tcW w:type="dxa" w:w="3800"/>
          </w:tcPr>
          <w:p>
            <w:r>
              <w:rPr>
                <w:rFonts w:ascii="Calibri" w:cs="Calibri" w:eastAsia="Calibri" w:hAnsi="Calibri"/>
                <w:b w:val="false"/>
                <w:bCs w:val="false"/>
                <w:color w:val="000000"/>
                <w:sz w:val="20"/>
                <w:szCs w:val="20"/>
              </w:rPr>
              <w:t xml:space="preserve">UX convenience layer only</w:t>
            </w:r>
          </w:p>
        </w:tc>
        <w:tc>
          <w:tcPr>
            <w:tcW w:type="dxa" w:w="3800"/>
          </w:tcPr>
          <w:p>
            <w:r>
              <w:rPr>
                <w:rFonts w:ascii="Calibri" w:cs="Calibri" w:eastAsia="Calibri" w:hAnsi="Calibri"/>
                <w:b w:val="false"/>
                <w:bCs w:val="false"/>
                <w:color w:val="000000"/>
                <w:sz w:val="20"/>
                <w:szCs w:val="20"/>
              </w:rPr>
              <w:t xml:space="preserve">The real gatekeeper / source of truth</w:t>
            </w:r>
          </w:p>
        </w:tc>
      </w:tr>
      <w:tr>
        <w:tc>
          <w:tcPr>
            <w:tcW w:type="dxa" w:w="1800"/>
          </w:tcPr>
          <w:p>
            <w:r>
              <w:rPr>
                <w:rFonts w:ascii="Calibri" w:cs="Calibri" w:eastAsia="Calibri" w:hAnsi="Calibri"/>
                <w:b w:val="false"/>
                <w:bCs w:val="false"/>
                <w:color w:val="000000"/>
                <w:sz w:val="20"/>
                <w:szCs w:val="20"/>
              </w:rPr>
              <w:t xml:space="preserve">Where it lives</w:t>
            </w:r>
          </w:p>
        </w:tc>
        <w:tc>
          <w:tcPr>
            <w:tcW w:type="dxa" w:w="3800"/>
          </w:tcPr>
          <w:p>
            <w:r>
              <w:rPr>
                <w:rFonts w:ascii="Calibri" w:cs="Calibri" w:eastAsia="Calibri" w:hAnsi="Calibri"/>
                <w:b w:val="false"/>
                <w:bCs w:val="false"/>
                <w:color w:val="000000"/>
                <w:sz w:val="20"/>
                <w:szCs w:val="20"/>
              </w:rPr>
              <w:t xml:space="preserve">Client Script doctype record, or the DocType's own .js file</w:t>
            </w:r>
          </w:p>
        </w:tc>
        <w:tc>
          <w:tcPr>
            <w:tcW w:type="dxa" w:w="3800"/>
          </w:tcPr>
          <w:p>
            <w:r>
              <w:rPr>
                <w:rFonts w:ascii="Calibri" w:cs="Calibri" w:eastAsia="Calibri" w:hAnsi="Calibri"/>
                <w:b w:val="false"/>
                <w:bCs w:val="false"/>
                <w:color w:val="000000"/>
                <w:sz w:val="20"/>
                <w:szCs w:val="20"/>
              </w:rPr>
              <w:t xml:space="preserve">Server Script doctype record, or the DocType's own .py controller file</w:t>
            </w:r>
          </w:p>
        </w:tc>
      </w:tr>
    </w:tbl>
    <w:p>
      <w:pPr>
        <w:pStyle w:val="Heading2"/>
        <w:spacing w:after="150" w:before="300"/>
      </w:pPr>
      <w:r>
        <w:t xml:space="preserve">Real-life analogy</w:t>
      </w:r>
    </w:p>
    <w:p>
      <w:pPr>
        <w:spacing w:after="160"/>
      </w:pPr>
      <w:r>
        <w:rPr>
          <w:rFonts w:ascii="Calibri" w:cs="Calibri" w:eastAsia="Calibri" w:hAnsi="Calibri"/>
          <w:b w:val="false"/>
          <w:bCs w:val="false"/>
          <w:i w:val="false"/>
          <w:iCs w:val="false"/>
          <w:sz w:val="22"/>
          <w:szCs w:val="22"/>
        </w:rPr>
        <w:t xml:space="preserve">A Client Script is like a shop assistant politely telling you 'this item looks like it's out of stock' while you browse — helpful, instant, but you could still place the order online regardless of what they said. A Server Script is like the actual checkout/payment system that refuses to process an invalid order no matter what — it is the final, unavoidable enforcement point.</w:t>
      </w:r>
    </w:p>
    <w:p>
      <w:pPr>
        <w:pStyle w:val="Heading2"/>
        <w:spacing w:after="150" w:before="300"/>
      </w:pPr>
      <w:r>
        <w:t xml:space="preserve">Example — Client Script (from this project)</w:t>
      </w:r>
    </w:p>
    <w:p>
      <w:pPr>
        <w:pBdr>
          <w:top w:val="single" w:color="CCCCCC" w:sz="4"/>
          <w:bottom w:val="single" w:color="CCCCCC" w:sz="4"/>
          <w:left w:val="single" w:color="CCCCCC" w:sz="4"/>
          <w:right w:val="single" w:color="CCCCCC" w:sz="4"/>
        </w:pBdr>
        <w:shd w:fill="F2F2F2" w:color="auto" w:val="clear"/>
        <w:spacing w:after="200" w:before="100"/>
        <w:ind w:left="200" w:right="200"/>
      </w:pPr>
      <w:r>
        <w:rPr>
          <w:rFonts w:ascii="Consolas" w:cs="Consolas" w:eastAsia="Consolas" w:hAnsi="Consolas"/>
          <w:sz w:val="20"/>
          <w:szCs w:val="20"/>
        </w:rPr>
        <w:t xml:space="preserve">frappe.ui.form.on("Student Subject", {</w:t>
      </w:r>
      <w:r>
        <w:br/>
      </w:r>
      <w:r>
        <w:rPr>
          <w:rFonts w:ascii="Consolas" w:cs="Consolas" w:eastAsia="Consolas" w:hAnsi="Consolas"/>
          <w:sz w:val="20"/>
          <w:szCs w:val="20"/>
        </w:rPr>
        <w:t xml:space="preserve">    marks: function(frm, cdt, cdn) {</w:t>
      </w:r>
      <w:r>
        <w:br/>
      </w:r>
      <w:r>
        <w:rPr>
          <w:rFonts w:ascii="Consolas" w:cs="Consolas" w:eastAsia="Consolas" w:hAnsi="Consolas"/>
          <w:sz w:val="20"/>
          <w:szCs w:val="20"/>
        </w:rPr>
        <w:t xml:space="preserve">        let row = locals[cdt][cdn];</w:t>
      </w:r>
      <w:r>
        <w:br/>
      </w:r>
      <w:r>
        <w:rPr>
          <w:rFonts w:ascii="Consolas" w:cs="Consolas" w:eastAsia="Consolas" w:hAnsi="Consolas"/>
          <w:sz w:val="20"/>
          <w:szCs w:val="20"/>
        </w:rPr>
        <w:t xml:space="preserve">        if (row.marks &lt; 0) {</w:t>
      </w:r>
      <w:r>
        <w:br/>
      </w:r>
      <w:r>
        <w:rPr>
          <w:rFonts w:ascii="Consolas" w:cs="Consolas" w:eastAsia="Consolas" w:hAnsi="Consolas"/>
          <w:sz w:val="20"/>
          <w:szCs w:val="20"/>
        </w:rPr>
        <w:t xml:space="preserve">            frappe.msgprint("Marks cannot be negative");</w:t>
      </w:r>
      <w:r>
        <w:br/>
      </w:r>
      <w:r>
        <w:rPr>
          <w:rFonts w:ascii="Consolas" w:cs="Consolas" w:eastAsia="Consolas" w:hAnsi="Consolas"/>
          <w:sz w:val="20"/>
          <w:szCs w:val="20"/>
        </w:rPr>
        <w:t xml:space="preserve">            frappe.model.set_value(cdt, cdn, "marks", 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t>
      </w:r>
    </w:p>
    <w:p>
      <w:pPr>
        <w:spacing w:after="160"/>
      </w:pPr>
      <w:r>
        <w:rPr>
          <w:rFonts w:ascii="Calibri" w:cs="Calibri" w:eastAsia="Calibri" w:hAnsi="Calibri"/>
          <w:b w:val="false"/>
          <w:bCs w:val="false"/>
          <w:i w:val="false"/>
          <w:iCs w:val="false"/>
          <w:sz w:val="22"/>
          <w:szCs w:val="22"/>
        </w:rPr>
        <w:t xml:space="preserve">This blocks a negative value the instant it's typed into a subject's Marks field, before the user even attempts to save.</w:t>
      </w:r>
    </w:p>
    <w:p>
      <w:pPr>
        <w:pStyle w:val="Heading2"/>
        <w:spacing w:after="150" w:before="300"/>
      </w:pPr>
      <w:r>
        <w:t xml:space="preserve">Example — Server Script (from this project)</w:t>
      </w:r>
    </w:p>
    <w:p>
      <w:pPr>
        <w:pBdr>
          <w:top w:val="single" w:color="CCCCCC" w:sz="4"/>
          <w:bottom w:val="single" w:color="CCCCCC" w:sz="4"/>
          <w:left w:val="single" w:color="CCCCCC" w:sz="4"/>
          <w:right w:val="single" w:color="CCCCCC" w:sz="4"/>
        </w:pBdr>
        <w:shd w:fill="F2F2F2" w:color="auto" w:val="clear"/>
        <w:spacing w:after="200" w:before="100"/>
        <w:ind w:left="200" w:right="200"/>
      </w:pPr>
      <w:r>
        <w:rPr>
          <w:rFonts w:ascii="Consolas" w:cs="Consolas" w:eastAsia="Consolas" w:hAnsi="Consolas"/>
          <w:sz w:val="20"/>
          <w:szCs w:val="20"/>
        </w:rPr>
        <w:t xml:space="preserve">if doc.total_marks and doc.maximum_marks:</w:t>
      </w:r>
      <w:r>
        <w:br/>
      </w:r>
      <w:r>
        <w:rPr>
          <w:rFonts w:ascii="Consolas" w:cs="Consolas" w:eastAsia="Consolas" w:hAnsi="Consolas"/>
          <w:sz w:val="20"/>
          <w:szCs w:val="20"/>
        </w:rPr>
        <w:t xml:space="preserve">    doc.percentage = (doc.total_marks / doc.maximum_marks) * 100</w:t>
      </w:r>
    </w:p>
    <w:p>
      <w:pPr>
        <w:spacing w:after="160"/>
      </w:pPr>
      <w:r>
        <w:rPr>
          <w:rFonts w:ascii="Calibri" w:cs="Calibri" w:eastAsia="Calibri" w:hAnsi="Calibri"/>
          <w:b w:val="false"/>
          <w:bCs w:val="false"/>
          <w:i w:val="false"/>
          <w:iCs w:val="false"/>
          <w:sz w:val="22"/>
          <w:szCs w:val="22"/>
        </w:rPr>
        <w:t xml:space="preserve">This runs on the Before Save event and guarantees the percentage is always correctly computed on the server — even if the Client Script were somehow bypassed.</w:t>
      </w:r>
    </w:p>
    <w:p>
      <w:pPr>
        <w:pStyle w:val="Heading1"/>
        <w:spacing w:after="200" w:before="400"/>
      </w:pPr>
      <w:r>
        <w:t xml:space="preserve">5. Show the client script validating marks in the child table</w:t>
      </w:r>
    </w:p>
    <w:p>
      <w:pPr>
        <w:pBdr>
          <w:top w:val="single" w:color="CCCCCC" w:sz="4"/>
          <w:bottom w:val="single" w:color="CCCCCC" w:sz="4"/>
          <w:left w:val="single" w:color="CCCCCC" w:sz="4"/>
          <w:right w:val="single" w:color="CCCCCC" w:sz="4"/>
        </w:pBdr>
        <w:shd w:fill="F2F2F2" w:color="auto" w:val="clear"/>
        <w:spacing w:after="200" w:before="100"/>
        <w:ind w:left="200" w:right="200"/>
      </w:pPr>
      <w:r>
        <w:rPr>
          <w:rFonts w:ascii="Consolas" w:cs="Consolas" w:eastAsia="Consolas" w:hAnsi="Consolas"/>
          <w:sz w:val="20"/>
          <w:szCs w:val="20"/>
        </w:rPr>
        <w:t xml:space="preserve">frappe.ui.form.on("Student Subject", {</w:t>
      </w:r>
      <w:r>
        <w:br/>
      </w:r>
      <w:r>
        <w:rPr>
          <w:rFonts w:ascii="Consolas" w:cs="Consolas" w:eastAsia="Consolas" w:hAnsi="Consolas"/>
          <w:sz w:val="20"/>
          <w:szCs w:val="20"/>
        </w:rPr>
        <w:t xml:space="preserve">    marks: function(frm, cdt, cdn) {</w:t>
      </w:r>
      <w:r>
        <w:br/>
      </w:r>
      <w:r>
        <w:rPr>
          <w:rFonts w:ascii="Consolas" w:cs="Consolas" w:eastAsia="Consolas" w:hAnsi="Consolas"/>
          <w:sz w:val="20"/>
          <w:szCs w:val="20"/>
        </w:rPr>
        <w:t xml:space="preserve">        let row = locals[cdt][cdn];</w:t>
      </w:r>
      <w:r>
        <w:br/>
      </w:r>
      <w:r>
        <w:rPr>
          <w:rFonts w:ascii="Consolas" w:cs="Consolas" w:eastAsia="Consolas" w:hAnsi="Consolas"/>
          <w:sz w:val="20"/>
          <w:szCs w:val="20"/>
        </w:rPr>
        <w:t xml:space="preserve">        if (row.marks &lt; 0) {</w:t>
      </w:r>
      <w:r>
        <w:br/>
      </w:r>
      <w:r>
        <w:rPr>
          <w:rFonts w:ascii="Consolas" w:cs="Consolas" w:eastAsia="Consolas" w:hAnsi="Consolas"/>
          <w:sz w:val="20"/>
          <w:szCs w:val="20"/>
        </w:rPr>
        <w:t xml:space="preserve">            frappe.msgprint("Marks cannot be negative");</w:t>
      </w:r>
      <w:r>
        <w:br/>
      </w:r>
      <w:r>
        <w:rPr>
          <w:rFonts w:ascii="Consolas" w:cs="Consolas" w:eastAsia="Consolas" w:hAnsi="Consolas"/>
          <w:sz w:val="20"/>
          <w:szCs w:val="20"/>
        </w:rPr>
        <w:t xml:space="preserve">            frappe.model.set_value(cdt, cdn, "marks", 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t>
      </w:r>
    </w:p>
    <w:p>
      <w:pPr>
        <w:pStyle w:val="Heading2"/>
        <w:spacing w:after="150" w:before="300"/>
      </w:pPr>
      <w:r>
        <w:t xml:space="preserve">Line-by-line explanation</w:t>
      </w:r>
    </w:p>
    <w:p>
      <w:pPr>
        <w:pStyle w:val="ListParagraph"/>
        <w:numPr>
          <w:ilvl w:val="0"/>
          <w:numId w:val="1"/>
        </w:numPr>
        <w:spacing w:after="80"/>
      </w:pPr>
      <w:r>
        <w:rPr>
          <w:rFonts w:ascii="Calibri" w:cs="Calibri" w:eastAsia="Calibri" w:hAnsi="Calibri"/>
          <w:sz w:val="22"/>
          <w:szCs w:val="22"/>
        </w:rPr>
        <w:t xml:space="preserve">frappe.ui.form.on("Student Subject", {...}) — registers an event handler on the CHILD DocType (Student Subject), not the parent (Student). Child table rows are technically their own mini-documents, so their field-change events must be registered against the child DocType's name.</w:t>
      </w:r>
    </w:p>
    <w:p>
      <w:pPr>
        <w:pStyle w:val="ListParagraph"/>
        <w:numPr>
          <w:ilvl w:val="0"/>
          <w:numId w:val="1"/>
        </w:numPr>
        <w:spacing w:after="80"/>
      </w:pPr>
      <w:r>
        <w:rPr>
          <w:rFonts w:ascii="Calibri" w:cs="Calibri" w:eastAsia="Calibri" w:hAnsi="Calibri"/>
          <w:sz w:val="22"/>
          <w:szCs w:val="22"/>
        </w:rPr>
        <w:t xml:space="preserve">marks: function(frm, cdt, cdn) — the function name 'marks' matches the fieldname exactly; Frappe automatically calls this whenever the Marks field changes in ANY row of the child table. frm = the parent form; cdt = child doctype name; cdn = the specific child row's unique name.</w:t>
      </w:r>
    </w:p>
    <w:p>
      <w:pPr>
        <w:pStyle w:val="ListParagraph"/>
        <w:numPr>
          <w:ilvl w:val="0"/>
          <w:numId w:val="1"/>
        </w:numPr>
        <w:spacing w:after="80"/>
      </w:pPr>
      <w:r>
        <w:rPr>
          <w:rFonts w:ascii="Calibri" w:cs="Calibri" w:eastAsia="Calibri" w:hAnsi="Calibri"/>
          <w:sz w:val="22"/>
          <w:szCs w:val="22"/>
        </w:rPr>
        <w:t xml:space="preserve">let row = locals[cdt][cdn]; — fetches the actual in-memory data of the specific row that triggered the change, using the cdt/cdn pair as a lookup key into Frappe's client-side document cache (locals).</w:t>
      </w:r>
    </w:p>
    <w:p>
      <w:pPr>
        <w:pStyle w:val="ListParagraph"/>
        <w:numPr>
          <w:ilvl w:val="0"/>
          <w:numId w:val="1"/>
        </w:numPr>
        <w:spacing w:after="80"/>
      </w:pPr>
      <w:r>
        <w:rPr>
          <w:rFonts w:ascii="Calibri" w:cs="Calibri" w:eastAsia="Calibri" w:hAnsi="Calibri"/>
          <w:sz w:val="22"/>
          <w:szCs w:val="22"/>
        </w:rPr>
        <w:t xml:space="preserve">if (row.marks &lt; 0) { ... } — the actual validation condition.</w:t>
      </w:r>
    </w:p>
    <w:p>
      <w:pPr>
        <w:pStyle w:val="ListParagraph"/>
        <w:numPr>
          <w:ilvl w:val="0"/>
          <w:numId w:val="1"/>
        </w:numPr>
        <w:spacing w:after="80"/>
      </w:pPr>
      <w:r>
        <w:rPr>
          <w:rFonts w:ascii="Calibri" w:cs="Calibri" w:eastAsia="Calibri" w:hAnsi="Calibri"/>
          <w:sz w:val="22"/>
          <w:szCs w:val="22"/>
        </w:rPr>
        <w:t xml:space="preserve">frappe.msgprint(...) — shows an instant on-screen message to the user.</w:t>
      </w:r>
    </w:p>
    <w:p>
      <w:pPr>
        <w:pStyle w:val="ListParagraph"/>
        <w:numPr>
          <w:ilvl w:val="0"/>
          <w:numId w:val="1"/>
        </w:numPr>
        <w:spacing w:after="80"/>
      </w:pPr>
      <w:r>
        <w:rPr>
          <w:rFonts w:ascii="Calibri" w:cs="Calibri" w:eastAsia="Calibri" w:hAnsi="Calibri"/>
          <w:sz w:val="22"/>
          <w:szCs w:val="22"/>
        </w:rPr>
        <w:t xml:space="preserve">frappe.model.set_value(cdt, cdn, "marks", 0); — resets the invalid value back to 0. Note: set_value (not frm.set_value) is used specifically because this updates a field inside a CHILD row, not a field on the parent form directly.</w:t>
      </w:r>
    </w:p>
    <w:p>
      <w:pPr>
        <w:pStyle w:val="Heading1"/>
        <w:spacing w:after="200" w:before="400"/>
      </w:pPr>
      <w:r>
        <w:t xml:space="preserve">6. Show the server script that computes the percentage</w:t>
      </w:r>
    </w:p>
    <w:p>
      <w:pPr>
        <w:pBdr>
          <w:top w:val="single" w:color="CCCCCC" w:sz="4"/>
          <w:bottom w:val="single" w:color="CCCCCC" w:sz="4"/>
          <w:left w:val="single" w:color="CCCCCC" w:sz="4"/>
          <w:right w:val="single" w:color="CCCCCC" w:sz="4"/>
        </w:pBdr>
        <w:shd w:fill="F2F2F2" w:color="auto" w:val="clear"/>
        <w:spacing w:after="200" w:before="100"/>
        <w:ind w:left="200" w:right="200"/>
      </w:pPr>
      <w:r>
        <w:rPr>
          <w:rFonts w:ascii="Consolas" w:cs="Consolas" w:eastAsia="Consolas" w:hAnsi="Consolas"/>
          <w:sz w:val="20"/>
          <w:szCs w:val="20"/>
        </w:rPr>
        <w:t xml:space="preserve">if doc.total_marks and doc.maximum_marks:</w:t>
      </w:r>
      <w:r>
        <w:br/>
      </w:r>
      <w:r>
        <w:rPr>
          <w:rFonts w:ascii="Consolas" w:cs="Consolas" w:eastAsia="Consolas" w:hAnsi="Consolas"/>
          <w:sz w:val="20"/>
          <w:szCs w:val="20"/>
        </w:rPr>
        <w:t xml:space="preserve">    doc.percentage = (doc.total_marks / doc.maximum_marks) * 100</w:t>
      </w:r>
    </w:p>
    <w:p>
      <w:pPr>
        <w:pStyle w:val="Heading2"/>
        <w:spacing w:after="150" w:before="300"/>
      </w:pPr>
      <w:r>
        <w:t xml:space="preserve">Configuration</w:t>
      </w:r>
    </w:p>
    <w:p>
      <w:pPr>
        <w:pStyle w:val="ListParagraph"/>
        <w:numPr>
          <w:ilvl w:val="0"/>
          <w:numId w:val="1"/>
        </w:numPr>
        <w:spacing w:after="80"/>
      </w:pPr>
      <w:r>
        <w:rPr>
          <w:rFonts w:ascii="Calibri" w:cs="Calibri" w:eastAsia="Calibri" w:hAnsi="Calibri"/>
          <w:sz w:val="22"/>
          <w:szCs w:val="22"/>
        </w:rPr>
        <w:t xml:space="preserve">Script Type: DocType Event</w:t>
      </w:r>
    </w:p>
    <w:p>
      <w:pPr>
        <w:pStyle w:val="ListParagraph"/>
        <w:numPr>
          <w:ilvl w:val="0"/>
          <w:numId w:val="1"/>
        </w:numPr>
        <w:spacing w:after="80"/>
      </w:pPr>
      <w:r>
        <w:rPr>
          <w:rFonts w:ascii="Calibri" w:cs="Calibri" w:eastAsia="Calibri" w:hAnsi="Calibri"/>
          <w:sz w:val="22"/>
          <w:szCs w:val="22"/>
        </w:rPr>
        <w:t xml:space="preserve">Reference Document Type: Student</w:t>
      </w:r>
    </w:p>
    <w:p>
      <w:pPr>
        <w:pStyle w:val="ListParagraph"/>
        <w:numPr>
          <w:ilvl w:val="0"/>
          <w:numId w:val="1"/>
        </w:numPr>
        <w:spacing w:after="80"/>
      </w:pPr>
      <w:r>
        <w:rPr>
          <w:rFonts w:ascii="Calibri" w:cs="Calibri" w:eastAsia="Calibri" w:hAnsi="Calibri"/>
          <w:sz w:val="22"/>
          <w:szCs w:val="22"/>
        </w:rPr>
        <w:t xml:space="preserve">Event: Before Save</w:t>
      </w:r>
    </w:p>
    <w:p>
      <w:pPr>
        <w:pStyle w:val="Heading2"/>
        <w:spacing w:after="150" w:before="300"/>
      </w:pPr>
      <w:r>
        <w:t xml:space="preserve">Explanation</w:t>
      </w:r>
    </w:p>
    <w:p>
      <w:pPr>
        <w:pStyle w:val="ListParagraph"/>
        <w:numPr>
          <w:ilvl w:val="0"/>
          <w:numId w:val="1"/>
        </w:numPr>
        <w:spacing w:after="80"/>
      </w:pPr>
      <w:r>
        <w:rPr>
          <w:rFonts w:ascii="Calibri" w:cs="Calibri" w:eastAsia="Calibri" w:hAnsi="Calibri"/>
          <w:sz w:val="22"/>
          <w:szCs w:val="22"/>
        </w:rPr>
        <w:t xml:space="preserve">doc — represents the current in-memory Student document being saved; doc.total_marks and doc.maximum_marks read its current field values.</w:t>
      </w:r>
    </w:p>
    <w:p>
      <w:pPr>
        <w:pStyle w:val="ListParagraph"/>
        <w:numPr>
          <w:ilvl w:val="0"/>
          <w:numId w:val="1"/>
        </w:numPr>
        <w:spacing w:after="80"/>
      </w:pPr>
      <w:r>
        <w:rPr>
          <w:rFonts w:ascii="Calibri" w:cs="Calibri" w:eastAsia="Calibri" w:hAnsi="Calibri"/>
          <w:sz w:val="22"/>
          <w:szCs w:val="22"/>
        </w:rPr>
        <w:t xml:space="preserve">The if condition guards against a division-by-zero error — if either value is empty/zero, the calculation is skipped entirely rather than crashing.</w:t>
      </w:r>
    </w:p>
    <w:p>
      <w:pPr>
        <w:pStyle w:val="ListParagraph"/>
        <w:numPr>
          <w:ilvl w:val="0"/>
          <w:numId w:val="1"/>
        </w:numPr>
        <w:spacing w:after="80"/>
      </w:pPr>
      <w:r>
        <w:rPr>
          <w:rFonts w:ascii="Calibri" w:cs="Calibri" w:eastAsia="Calibri" w:hAnsi="Calibri"/>
          <w:sz w:val="22"/>
          <w:szCs w:val="22"/>
        </w:rPr>
        <w:t xml:space="preserve">doc.percentage = ... assigns the computed value directly back onto the document object; since this happens in a 'Before Save' hook, the calculated value is written to the database in the very same save operation — the user never sees an outdated percentage.</w:t>
      </w:r>
    </w:p>
    <w:p>
      <w:pPr>
        <w:pStyle w:val="ListParagraph"/>
        <w:numPr>
          <w:ilvl w:val="0"/>
          <w:numId w:val="1"/>
        </w:numPr>
        <w:spacing w:after="80"/>
      </w:pPr>
      <w:r>
        <w:rPr>
          <w:rFonts w:ascii="Calibri" w:cs="Calibri" w:eastAsia="Calibri" w:hAnsi="Calibri"/>
          <w:sz w:val="22"/>
          <w:szCs w:val="22"/>
        </w:rPr>
        <w:t xml:space="preserve">Why 'Before Save' specifically: this event fires on every single save (both new records and edits to existing ones), guaranteeing the percentage is recalculated every time marks or maximum marks change, keeping it permanently accurate without any manual recalculation step.</w:t>
      </w:r>
    </w:p>
    <w:p>
      <w:pPr>
        <w:pStyle w:val="Heading1"/>
        <w:spacing w:after="200" w:before="400"/>
      </w:pPr>
      <w:r>
        <w:t xml:space="preserve">7. How do you trigger a DocType event in ERPNext?</w:t>
      </w:r>
    </w:p>
    <w:p>
      <w:pPr>
        <w:spacing w:after="160"/>
      </w:pPr>
      <w:r>
        <w:rPr>
          <w:rFonts w:ascii="Calibri" w:cs="Calibri" w:eastAsia="Calibri" w:hAnsi="Calibri"/>
          <w:b w:val="false"/>
          <w:bCs w:val="false"/>
          <w:i w:val="false"/>
          <w:iCs w:val="false"/>
          <w:sz w:val="22"/>
          <w:szCs w:val="22"/>
        </w:rPr>
        <w:t xml:space="preserve">There are two complementary ways to hook into a DocType's lifecycle events in Frappe:</w:t>
      </w:r>
    </w:p>
    <w:p>
      <w:pPr>
        <w:pStyle w:val="Heading2"/>
        <w:spacing w:after="150" w:before="300"/>
      </w:pPr>
      <w:r>
        <w:t xml:space="preserve">Method 1 — Server Script (no-code, UI-based)</w:t>
      </w:r>
    </w:p>
    <w:p>
      <w:pPr>
        <w:spacing w:after="160"/>
      </w:pPr>
      <w:r>
        <w:rPr>
          <w:rFonts w:ascii="Calibri" w:cs="Calibri" w:eastAsia="Calibri" w:hAnsi="Calibri"/>
          <w:b w:val="false"/>
          <w:bCs w:val="false"/>
          <w:i w:val="false"/>
          <w:iCs w:val="false"/>
          <w:sz w:val="22"/>
          <w:szCs w:val="22"/>
        </w:rPr>
        <w:t xml:space="preserve">Create a new Server Script record → set Script Type = 'DocType Event' → choose the Reference Document Type (e.g. Student) and the Event (e.g. Before Save) → write Python directly in the browser editor. This requires no file access or bench restart, and is ideal for quick, site-specific customisations.</w:t>
      </w:r>
    </w:p>
    <w:p>
      <w:pPr>
        <w:pStyle w:val="Heading2"/>
        <w:spacing w:after="150" w:before="300"/>
      </w:pPr>
      <w:r>
        <w:t xml:space="preserve">Method 2 — Controller method (code-based, inside the app)</w:t>
      </w:r>
    </w:p>
    <w:p>
      <w:pPr>
        <w:spacing w:after="160"/>
      </w:pPr>
      <w:r>
        <w:rPr>
          <w:rFonts w:ascii="Calibri" w:cs="Calibri" w:eastAsia="Calibri" w:hAnsi="Calibri"/>
          <w:b w:val="false"/>
          <w:bCs w:val="false"/>
          <w:i w:val="false"/>
          <w:iCs w:val="false"/>
          <w:sz w:val="22"/>
          <w:szCs w:val="22"/>
        </w:rPr>
        <w:t xml:space="preserve">Inside the DocType's own .py file (e.g. student.py), define a method whose name exactly matches the lifecycle event:</w:t>
      </w:r>
    </w:p>
    <w:p>
      <w:pPr>
        <w:pBdr>
          <w:top w:val="single" w:color="CCCCCC" w:sz="4"/>
          <w:bottom w:val="single" w:color="CCCCCC" w:sz="4"/>
          <w:left w:val="single" w:color="CCCCCC" w:sz="4"/>
          <w:right w:val="single" w:color="CCCCCC" w:sz="4"/>
        </w:pBdr>
        <w:shd w:fill="F2F2F2" w:color="auto" w:val="clear"/>
        <w:spacing w:after="200" w:before="100"/>
        <w:ind w:left="200" w:right="200"/>
      </w:pPr>
      <w:r>
        <w:rPr>
          <w:rFonts w:ascii="Consolas" w:cs="Consolas" w:eastAsia="Consolas" w:hAnsi="Consolas"/>
          <w:sz w:val="20"/>
          <w:szCs w:val="20"/>
        </w:rPr>
        <w:t xml:space="preserve">from frappe.model.document import Document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Student(Document):</w:t>
      </w:r>
      <w:r>
        <w:br/>
      </w:r>
      <w:r>
        <w:rPr>
          <w:rFonts w:ascii="Consolas" w:cs="Consolas" w:eastAsia="Consolas" w:hAnsi="Consolas"/>
          <w:sz w:val="20"/>
          <w:szCs w:val="20"/>
        </w:rPr>
        <w:t xml:space="preserve">    def validate(self):</w:t>
      </w:r>
      <w:r>
        <w:br/>
      </w:r>
      <w:r>
        <w:rPr>
          <w:rFonts w:ascii="Consolas" w:cs="Consolas" w:eastAsia="Consolas" w:hAnsi="Consolas"/>
          <w:sz w:val="20"/>
          <w:szCs w:val="20"/>
        </w:rPr>
        <w:t xml:space="preserve">        # runs automatically before every save</w:t>
      </w:r>
      <w:r>
        <w:br/>
      </w:r>
      <w:r>
        <w:rPr>
          <w:rFonts w:ascii="Consolas" w:cs="Consolas" w:eastAsia="Consolas" w:hAnsi="Consolas"/>
          <w:sz w:val="20"/>
          <w:szCs w:val="20"/>
        </w:rPr>
        <w:t xml:space="preserve">        pass</w:t>
      </w:r>
    </w:p>
    <w:p>
      <w:pPr>
        <w:spacing w:after="160"/>
      </w:pPr>
      <w:r>
        <w:rPr>
          <w:rFonts w:ascii="Calibri" w:cs="Calibri" w:eastAsia="Calibri" w:hAnsi="Calibri"/>
          <w:b w:val="false"/>
          <w:bCs w:val="false"/>
          <w:i w:val="false"/>
          <w:iCs w:val="false"/>
          <w:sz w:val="22"/>
          <w:szCs w:val="22"/>
        </w:rPr>
        <w:t xml:space="preserve">Frappe's document framework automatically calls this method at the correct point — there is no manual registration step; the method name itself is what wires it into the lifecycle.</w:t>
      </w:r>
    </w:p>
    <w:p>
      <w:pPr>
        <w:pStyle w:val="Heading2"/>
        <w:spacing w:after="150" w:before="300"/>
      </w:pPr>
      <w:r>
        <w:t xml:space="preserve">Full document lifecycle — event order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1F3864" w:color="auto" w:val="clear"/>
          </w:tcPr>
          <w:p>
            <w:r>
              <w:rPr>
                <w:rFonts w:ascii="Calibri" w:cs="Calibri" w:eastAsia="Calibri" w:hAnsi="Calibri"/>
                <w:b/>
                <w:bCs/>
                <w:color w:val="FFFFFF"/>
                <w:sz w:val="20"/>
                <w:szCs w:val="20"/>
              </w:rPr>
              <w:t xml:space="preserve">Event</w:t>
            </w:r>
          </w:p>
        </w:tc>
        <w:tc>
          <w:tcPr>
            <w:tcW w:type="dxa" w:w="3400"/>
            <w:shd w:fill="1F3864" w:color="auto" w:val="clear"/>
          </w:tcPr>
          <w:p>
            <w:r>
              <w:rPr>
                <w:rFonts w:ascii="Calibri" w:cs="Calibri" w:eastAsia="Calibri" w:hAnsi="Calibri"/>
                <w:b/>
                <w:bCs/>
                <w:color w:val="FFFFFF"/>
                <w:sz w:val="20"/>
                <w:szCs w:val="20"/>
              </w:rPr>
              <w:t xml:space="preserve">When it fires</w:t>
            </w:r>
          </w:p>
        </w:tc>
        <w:tc>
          <w:tcPr>
            <w:tcW w:type="dxa" w:w="3800"/>
            <w:shd w:fill="1F3864" w:color="auto" w:val="clear"/>
          </w:tcPr>
          <w:p>
            <w:r>
              <w:rPr>
                <w:rFonts w:ascii="Calibri" w:cs="Calibri" w:eastAsia="Calibri" w:hAnsi="Calibri"/>
                <w:b/>
                <w:bCs/>
                <w:color w:val="FFFFFF"/>
                <w:sz w:val="20"/>
                <w:szCs w:val="20"/>
              </w:rPr>
              <w:t xml:space="preserve">Typical use</w:t>
            </w:r>
          </w:p>
        </w:tc>
      </w:tr>
      <w:tr>
        <w:tc>
          <w:tcPr>
            <w:tcW w:type="dxa" w:w="2200"/>
          </w:tcPr>
          <w:p>
            <w:r>
              <w:rPr>
                <w:rFonts w:ascii="Calibri" w:cs="Calibri" w:eastAsia="Calibri" w:hAnsi="Calibri"/>
                <w:b w:val="false"/>
                <w:bCs w:val="false"/>
                <w:color w:val="000000"/>
                <w:sz w:val="20"/>
                <w:szCs w:val="20"/>
              </w:rPr>
              <w:t xml:space="preserve">autoname()</w:t>
            </w:r>
          </w:p>
        </w:tc>
        <w:tc>
          <w:tcPr>
            <w:tcW w:type="dxa" w:w="3400"/>
          </w:tcPr>
          <w:p>
            <w:r>
              <w:rPr>
                <w:rFonts w:ascii="Calibri" w:cs="Calibri" w:eastAsia="Calibri" w:hAnsi="Calibri"/>
                <w:b w:val="false"/>
                <w:bCs w:val="false"/>
                <w:color w:val="000000"/>
                <w:sz w:val="20"/>
                <w:szCs w:val="20"/>
              </w:rPr>
              <w:t xml:space="preserve">Before the document name/ID is generated</w:t>
            </w:r>
          </w:p>
        </w:tc>
        <w:tc>
          <w:tcPr>
            <w:tcW w:type="dxa" w:w="3800"/>
          </w:tcPr>
          <w:p>
            <w:r>
              <w:rPr>
                <w:rFonts w:ascii="Calibri" w:cs="Calibri" w:eastAsia="Calibri" w:hAnsi="Calibri"/>
                <w:b w:val="false"/>
                <w:bCs w:val="false"/>
                <w:color w:val="000000"/>
                <w:sz w:val="20"/>
                <w:szCs w:val="20"/>
              </w:rPr>
              <w:t xml:space="preserve">Custom naming logic beyond standard Series/Field rules</w:t>
            </w:r>
          </w:p>
        </w:tc>
      </w:tr>
      <w:tr>
        <w:tc>
          <w:tcPr>
            <w:tcW w:type="dxa" w:w="2200"/>
          </w:tcPr>
          <w:p>
            <w:r>
              <w:rPr>
                <w:rFonts w:ascii="Calibri" w:cs="Calibri" w:eastAsia="Calibri" w:hAnsi="Calibri"/>
                <w:b w:val="false"/>
                <w:bCs w:val="false"/>
                <w:color w:val="000000"/>
                <w:sz w:val="20"/>
                <w:szCs w:val="20"/>
              </w:rPr>
              <w:t xml:space="preserve">before_insert()</w:t>
            </w:r>
          </w:p>
        </w:tc>
        <w:tc>
          <w:tcPr>
            <w:tcW w:type="dxa" w:w="3400"/>
          </w:tcPr>
          <w:p>
            <w:r>
              <w:rPr>
                <w:rFonts w:ascii="Calibri" w:cs="Calibri" w:eastAsia="Calibri" w:hAnsi="Calibri"/>
                <w:b w:val="false"/>
                <w:bCs w:val="false"/>
                <w:color w:val="000000"/>
                <w:sz w:val="20"/>
                <w:szCs w:val="20"/>
              </w:rPr>
              <w:t xml:space="preserve">Only on the very first save of a brand-new record</w:t>
            </w:r>
          </w:p>
        </w:tc>
        <w:tc>
          <w:tcPr>
            <w:tcW w:type="dxa" w:w="3800"/>
          </w:tcPr>
          <w:p>
            <w:r>
              <w:rPr>
                <w:rFonts w:ascii="Calibri" w:cs="Calibri" w:eastAsia="Calibri" w:hAnsi="Calibri"/>
                <w:b w:val="false"/>
                <w:bCs w:val="false"/>
                <w:color w:val="000000"/>
                <w:sz w:val="20"/>
                <w:szCs w:val="20"/>
              </w:rPr>
              <w:t xml:space="preserve">One-time setup logic (e.g. default field values)</w:t>
            </w:r>
          </w:p>
        </w:tc>
      </w:tr>
      <w:tr>
        <w:tc>
          <w:tcPr>
            <w:tcW w:type="dxa" w:w="2200"/>
          </w:tcPr>
          <w:p>
            <w:r>
              <w:rPr>
                <w:rFonts w:ascii="Calibri" w:cs="Calibri" w:eastAsia="Calibri" w:hAnsi="Calibri"/>
                <w:b w:val="false"/>
                <w:bCs w:val="false"/>
                <w:color w:val="000000"/>
                <w:sz w:val="20"/>
                <w:szCs w:val="20"/>
              </w:rPr>
              <w:t xml:space="preserve">validate()</w:t>
            </w:r>
          </w:p>
        </w:tc>
        <w:tc>
          <w:tcPr>
            <w:tcW w:type="dxa" w:w="3400"/>
          </w:tcPr>
          <w:p>
            <w:r>
              <w:rPr>
                <w:rFonts w:ascii="Calibri" w:cs="Calibri" w:eastAsia="Calibri" w:hAnsi="Calibri"/>
                <w:b w:val="false"/>
                <w:bCs w:val="false"/>
                <w:color w:val="000000"/>
                <w:sz w:val="20"/>
                <w:szCs w:val="20"/>
              </w:rPr>
              <w:t xml:space="preserve">Before every save (new or existing record)</w:t>
            </w:r>
          </w:p>
        </w:tc>
        <w:tc>
          <w:tcPr>
            <w:tcW w:type="dxa" w:w="3800"/>
          </w:tcPr>
          <w:p>
            <w:r>
              <w:rPr>
                <w:rFonts w:ascii="Calibri" w:cs="Calibri" w:eastAsia="Calibri" w:hAnsi="Calibri"/>
                <w:b w:val="false"/>
                <w:bCs w:val="false"/>
                <w:color w:val="000000"/>
                <w:sz w:val="20"/>
                <w:szCs w:val="20"/>
              </w:rPr>
              <w:t xml:space="preserve">Data validation + computed fields — most commonly used hook</w:t>
            </w:r>
          </w:p>
        </w:tc>
      </w:tr>
      <w:tr>
        <w:tc>
          <w:tcPr>
            <w:tcW w:type="dxa" w:w="2200"/>
          </w:tcPr>
          <w:p>
            <w:r>
              <w:rPr>
                <w:rFonts w:ascii="Calibri" w:cs="Calibri" w:eastAsia="Calibri" w:hAnsi="Calibri"/>
                <w:b w:val="false"/>
                <w:bCs w:val="false"/>
                <w:color w:val="000000"/>
                <w:sz w:val="20"/>
                <w:szCs w:val="20"/>
              </w:rPr>
              <w:t xml:space="preserve">before_save()</w:t>
            </w:r>
          </w:p>
        </w:tc>
        <w:tc>
          <w:tcPr>
            <w:tcW w:type="dxa" w:w="3400"/>
          </w:tcPr>
          <w:p>
            <w:r>
              <w:rPr>
                <w:rFonts w:ascii="Calibri" w:cs="Calibri" w:eastAsia="Calibri" w:hAnsi="Calibri"/>
                <w:b w:val="false"/>
                <w:bCs w:val="false"/>
                <w:color w:val="000000"/>
                <w:sz w:val="20"/>
                <w:szCs w:val="20"/>
              </w:rPr>
              <w:t xml:space="preserve">Just before the record is written to the database</w:t>
            </w:r>
          </w:p>
        </w:tc>
        <w:tc>
          <w:tcPr>
            <w:tcW w:type="dxa" w:w="3800"/>
          </w:tcPr>
          <w:p>
            <w:r>
              <w:rPr>
                <w:rFonts w:ascii="Calibri" w:cs="Calibri" w:eastAsia="Calibri" w:hAnsi="Calibri"/>
                <w:b w:val="false"/>
                <w:bCs w:val="false"/>
                <w:color w:val="000000"/>
                <w:sz w:val="20"/>
                <w:szCs w:val="20"/>
              </w:rPr>
              <w:t xml:space="preserve">Last-moment adjustments after validate() has run</w:t>
            </w:r>
          </w:p>
        </w:tc>
      </w:tr>
      <w:tr>
        <w:tc>
          <w:tcPr>
            <w:tcW w:type="dxa" w:w="2200"/>
          </w:tcPr>
          <w:p>
            <w:r>
              <w:rPr>
                <w:rFonts w:ascii="Calibri" w:cs="Calibri" w:eastAsia="Calibri" w:hAnsi="Calibri"/>
                <w:b w:val="false"/>
                <w:bCs w:val="false"/>
                <w:color w:val="000000"/>
                <w:sz w:val="20"/>
                <w:szCs w:val="20"/>
              </w:rPr>
              <w:t xml:space="preserve">after_insert()</w:t>
            </w:r>
          </w:p>
        </w:tc>
        <w:tc>
          <w:tcPr>
            <w:tcW w:type="dxa" w:w="3400"/>
          </w:tcPr>
          <w:p>
            <w:r>
              <w:rPr>
                <w:rFonts w:ascii="Calibri" w:cs="Calibri" w:eastAsia="Calibri" w:hAnsi="Calibri"/>
                <w:b w:val="false"/>
                <w:bCs w:val="false"/>
                <w:color w:val="000000"/>
                <w:sz w:val="20"/>
                <w:szCs w:val="20"/>
              </w:rPr>
              <w:t xml:space="preserve">Right after a new record is first created</w:t>
            </w:r>
          </w:p>
        </w:tc>
        <w:tc>
          <w:tcPr>
            <w:tcW w:type="dxa" w:w="3800"/>
          </w:tcPr>
          <w:p>
            <w:r>
              <w:rPr>
                <w:rFonts w:ascii="Calibri" w:cs="Calibri" w:eastAsia="Calibri" w:hAnsi="Calibri"/>
                <w:b w:val="false"/>
                <w:bCs w:val="false"/>
                <w:color w:val="000000"/>
                <w:sz w:val="20"/>
                <w:szCs w:val="20"/>
              </w:rPr>
              <w:t xml:space="preserve">Trigger notifications, create linked records</w:t>
            </w:r>
          </w:p>
        </w:tc>
      </w:tr>
      <w:tr>
        <w:tc>
          <w:tcPr>
            <w:tcW w:type="dxa" w:w="2200"/>
          </w:tcPr>
          <w:p>
            <w:r>
              <w:rPr>
                <w:rFonts w:ascii="Calibri" w:cs="Calibri" w:eastAsia="Calibri" w:hAnsi="Calibri"/>
                <w:b w:val="false"/>
                <w:bCs w:val="false"/>
                <w:color w:val="000000"/>
                <w:sz w:val="20"/>
                <w:szCs w:val="20"/>
              </w:rPr>
              <w:t xml:space="preserve">on_update()</w:t>
            </w:r>
          </w:p>
        </w:tc>
        <w:tc>
          <w:tcPr>
            <w:tcW w:type="dxa" w:w="3400"/>
          </w:tcPr>
          <w:p>
            <w:r>
              <w:rPr>
                <w:rFonts w:ascii="Calibri" w:cs="Calibri" w:eastAsia="Calibri" w:hAnsi="Calibri"/>
                <w:b w:val="false"/>
                <w:bCs w:val="false"/>
                <w:color w:val="000000"/>
                <w:sz w:val="20"/>
                <w:szCs w:val="20"/>
              </w:rPr>
              <w:t xml:space="preserve">After every save completes</w:t>
            </w:r>
          </w:p>
        </w:tc>
        <w:tc>
          <w:tcPr>
            <w:tcW w:type="dxa" w:w="3800"/>
          </w:tcPr>
          <w:p>
            <w:r>
              <w:rPr>
                <w:rFonts w:ascii="Calibri" w:cs="Calibri" w:eastAsia="Calibri" w:hAnsi="Calibri"/>
                <w:b w:val="false"/>
                <w:bCs w:val="false"/>
                <w:color w:val="000000"/>
                <w:sz w:val="20"/>
                <w:szCs w:val="20"/>
              </w:rPr>
              <w:t xml:space="preserve">Sync data to another DocType, send alerts</w:t>
            </w:r>
          </w:p>
        </w:tc>
      </w:tr>
      <w:tr>
        <w:tc>
          <w:tcPr>
            <w:tcW w:type="dxa" w:w="2200"/>
          </w:tcPr>
          <w:p>
            <w:r>
              <w:rPr>
                <w:rFonts w:ascii="Calibri" w:cs="Calibri" w:eastAsia="Calibri" w:hAnsi="Calibri"/>
                <w:b w:val="false"/>
                <w:bCs w:val="false"/>
                <w:color w:val="000000"/>
                <w:sz w:val="20"/>
                <w:szCs w:val="20"/>
              </w:rPr>
              <w:t xml:space="preserve">before_submit()</w:t>
            </w:r>
          </w:p>
        </w:tc>
        <w:tc>
          <w:tcPr>
            <w:tcW w:type="dxa" w:w="3400"/>
          </w:tcPr>
          <w:p>
            <w:r>
              <w:rPr>
                <w:rFonts w:ascii="Calibri" w:cs="Calibri" w:eastAsia="Calibri" w:hAnsi="Calibri"/>
                <w:b w:val="false"/>
                <w:bCs w:val="false"/>
                <w:color w:val="000000"/>
                <w:sz w:val="20"/>
                <w:szCs w:val="20"/>
              </w:rPr>
              <w:t xml:space="preserve">Before a submittable document is submitted</w:t>
            </w:r>
          </w:p>
        </w:tc>
        <w:tc>
          <w:tcPr>
            <w:tcW w:type="dxa" w:w="3800"/>
          </w:tcPr>
          <w:p>
            <w:r>
              <w:rPr>
                <w:rFonts w:ascii="Calibri" w:cs="Calibri" w:eastAsia="Calibri" w:hAnsi="Calibri"/>
                <w:b w:val="false"/>
                <w:bCs w:val="false"/>
                <w:color w:val="000000"/>
                <w:sz w:val="20"/>
                <w:szCs w:val="20"/>
              </w:rPr>
              <w:t xml:space="preserve">Final checks before locking the record</w:t>
            </w:r>
          </w:p>
        </w:tc>
      </w:tr>
      <w:tr>
        <w:tc>
          <w:tcPr>
            <w:tcW w:type="dxa" w:w="2200"/>
          </w:tcPr>
          <w:p>
            <w:r>
              <w:rPr>
                <w:rFonts w:ascii="Calibri" w:cs="Calibri" w:eastAsia="Calibri" w:hAnsi="Calibri"/>
                <w:b w:val="false"/>
                <w:bCs w:val="false"/>
                <w:color w:val="000000"/>
                <w:sz w:val="20"/>
                <w:szCs w:val="20"/>
              </w:rPr>
              <w:t xml:space="preserve">on_submit()</w:t>
            </w:r>
          </w:p>
        </w:tc>
        <w:tc>
          <w:tcPr>
            <w:tcW w:type="dxa" w:w="3400"/>
          </w:tcPr>
          <w:p>
            <w:r>
              <w:rPr>
                <w:rFonts w:ascii="Calibri" w:cs="Calibri" w:eastAsia="Calibri" w:hAnsi="Calibri"/>
                <w:b w:val="false"/>
                <w:bCs w:val="false"/>
                <w:color w:val="000000"/>
                <w:sz w:val="20"/>
                <w:szCs w:val="20"/>
              </w:rPr>
              <w:t xml:space="preserve">Right after submission</w:t>
            </w:r>
          </w:p>
        </w:tc>
        <w:tc>
          <w:tcPr>
            <w:tcW w:type="dxa" w:w="3800"/>
          </w:tcPr>
          <w:p>
            <w:r>
              <w:rPr>
                <w:rFonts w:ascii="Calibri" w:cs="Calibri" w:eastAsia="Calibri" w:hAnsi="Calibri"/>
                <w:b w:val="false"/>
                <w:bCs w:val="false"/>
                <w:color w:val="000000"/>
                <w:sz w:val="20"/>
                <w:szCs w:val="20"/>
              </w:rPr>
              <w:t xml:space="preserve">Post-submission actions (e.g. update stock, send confirmation)</w:t>
            </w:r>
          </w:p>
        </w:tc>
      </w:tr>
      <w:tr>
        <w:tc>
          <w:tcPr>
            <w:tcW w:type="dxa" w:w="2200"/>
          </w:tcPr>
          <w:p>
            <w:r>
              <w:rPr>
                <w:rFonts w:ascii="Calibri" w:cs="Calibri" w:eastAsia="Calibri" w:hAnsi="Calibri"/>
                <w:b w:val="false"/>
                <w:bCs w:val="false"/>
                <w:color w:val="000000"/>
                <w:sz w:val="20"/>
                <w:szCs w:val="20"/>
              </w:rPr>
              <w:t xml:space="preserve">on_cancel()</w:t>
            </w:r>
          </w:p>
        </w:tc>
        <w:tc>
          <w:tcPr>
            <w:tcW w:type="dxa" w:w="3400"/>
          </w:tcPr>
          <w:p>
            <w:r>
              <w:rPr>
                <w:rFonts w:ascii="Calibri" w:cs="Calibri" w:eastAsia="Calibri" w:hAnsi="Calibri"/>
                <w:b w:val="false"/>
                <w:bCs w:val="false"/>
                <w:color w:val="000000"/>
                <w:sz w:val="20"/>
                <w:szCs w:val="20"/>
              </w:rPr>
              <w:t xml:space="preserve">When a submitted document is cancelled</w:t>
            </w:r>
          </w:p>
        </w:tc>
        <w:tc>
          <w:tcPr>
            <w:tcW w:type="dxa" w:w="3800"/>
          </w:tcPr>
          <w:p>
            <w:r>
              <w:rPr>
                <w:rFonts w:ascii="Calibri" w:cs="Calibri" w:eastAsia="Calibri" w:hAnsi="Calibri"/>
                <w:b w:val="false"/>
                <w:bCs w:val="false"/>
                <w:color w:val="000000"/>
                <w:sz w:val="20"/>
                <w:szCs w:val="20"/>
              </w:rPr>
              <w:t xml:space="preserve">Reverse any submission-time actions</w:t>
            </w:r>
          </w:p>
        </w:tc>
      </w:tr>
      <w:tr>
        <w:tc>
          <w:tcPr>
            <w:tcW w:type="dxa" w:w="2200"/>
          </w:tcPr>
          <w:p>
            <w:r>
              <w:rPr>
                <w:rFonts w:ascii="Calibri" w:cs="Calibri" w:eastAsia="Calibri" w:hAnsi="Calibri"/>
                <w:b w:val="false"/>
                <w:bCs w:val="false"/>
                <w:color w:val="000000"/>
                <w:sz w:val="20"/>
                <w:szCs w:val="20"/>
              </w:rPr>
              <w:t xml:space="preserve">on_trash()</w:t>
            </w:r>
          </w:p>
        </w:tc>
        <w:tc>
          <w:tcPr>
            <w:tcW w:type="dxa" w:w="3400"/>
          </w:tcPr>
          <w:p>
            <w:r>
              <w:rPr>
                <w:rFonts w:ascii="Calibri" w:cs="Calibri" w:eastAsia="Calibri" w:hAnsi="Calibri"/>
                <w:b w:val="false"/>
                <w:bCs w:val="false"/>
                <w:color w:val="000000"/>
                <w:sz w:val="20"/>
                <w:szCs w:val="20"/>
              </w:rPr>
              <w:t xml:space="preserve">When a document is deleted</w:t>
            </w:r>
          </w:p>
        </w:tc>
        <w:tc>
          <w:tcPr>
            <w:tcW w:type="dxa" w:w="3800"/>
          </w:tcPr>
          <w:p>
            <w:r>
              <w:rPr>
                <w:rFonts w:ascii="Calibri" w:cs="Calibri" w:eastAsia="Calibri" w:hAnsi="Calibri"/>
                <w:b w:val="false"/>
                <w:bCs w:val="false"/>
                <w:color w:val="000000"/>
                <w:sz w:val="20"/>
                <w:szCs w:val="20"/>
              </w:rPr>
              <w:t xml:space="preserve">Clean up related/child data before removal</w:t>
            </w:r>
          </w:p>
        </w:tc>
      </w:tr>
    </w:tbl>
    <w:p>
      <w:pPr>
        <w:spacing w:after="160"/>
      </w:pPr>
      <w:r>
        <w:rPr>
          <w:rFonts w:ascii="Calibri" w:cs="Calibri" w:eastAsia="Calibri" w:hAnsi="Calibri"/>
          <w:b w:val="false"/>
          <w:bCs w:val="false"/>
          <w:i w:val="false"/>
          <w:iCs w:val="false"/>
          <w:sz w:val="22"/>
          <w:szCs w:val="22"/>
        </w:rPr>
        <w:t xml:space="preserve">Real-life analogy: this is like a restaurant kitchen's fixed checklist — 'before plating, always run a quality check' happens automatically for every dish, without a waiter needing to remind the chef each time. The DocType lifecycle guarantees the same consistency for every single save.</w:t>
      </w:r>
    </w:p>
    <w:p>
      <w:pPr>
        <w:pStyle w:val="Heading1"/>
        <w:spacing w:after="200" w:before="400"/>
      </w:pPr>
      <w:r>
        <w:t xml:space="preserve">8. What is the purpose of print formats, and what changed for report print formats in v16?</w:t>
      </w:r>
    </w:p>
    <w:p>
      <w:pPr>
        <w:pStyle w:val="Heading2"/>
        <w:spacing w:after="150" w:before="300"/>
      </w:pPr>
      <w:r>
        <w:t xml:space="preserve">Purpose of Print Formats</w:t>
      </w:r>
    </w:p>
    <w:p>
      <w:pPr>
        <w:spacing w:after="160"/>
      </w:pPr>
      <w:r>
        <w:rPr>
          <w:rFonts w:ascii="Calibri" w:cs="Calibri" w:eastAsia="Calibri" w:hAnsi="Calibri"/>
          <w:b w:val="false"/>
          <w:bCs w:val="false"/>
          <w:i w:val="false"/>
          <w:iCs w:val="false"/>
          <w:sz w:val="22"/>
          <w:szCs w:val="22"/>
        </w:rPr>
        <w:t xml:space="preserve">A Print Format defines exactly how a saved document (or, since v16, a report) looks when it is printed on paper or exported as a PDF — a clean, formatted, professional layout instead of the raw on-screen form view. Print Formats are used for real-world documents like Invoices, Certificates, ID cards, Report Cards, and Purchase Orders, where the visual presentation matters as much as the underlying data.</w:t>
      </w:r>
    </w:p>
    <w:p>
      <w:pPr>
        <w:pStyle w:val="ListParagraph"/>
        <w:numPr>
          <w:ilvl w:val="0"/>
          <w:numId w:val="1"/>
        </w:numPr>
        <w:spacing w:after="80"/>
      </w:pPr>
      <w:r>
        <w:rPr>
          <w:rFonts w:ascii="Calibri" w:cs="Calibri" w:eastAsia="Calibri" w:hAnsi="Calibri"/>
          <w:sz w:val="22"/>
          <w:szCs w:val="22"/>
        </w:rPr>
        <w:t xml:space="preserve">Standard Print Format — auto-generated by Frappe from the DocType's own field layout; requires no configuration but is generic-looking.</w:t>
      </w:r>
    </w:p>
    <w:p>
      <w:pPr>
        <w:pStyle w:val="ListParagraph"/>
        <w:numPr>
          <w:ilvl w:val="0"/>
          <w:numId w:val="1"/>
        </w:numPr>
        <w:spacing w:after="80"/>
      </w:pPr>
      <w:r>
        <w:rPr>
          <w:rFonts w:ascii="Calibri" w:cs="Calibri" w:eastAsia="Calibri" w:hAnsi="Calibri"/>
          <w:sz w:val="22"/>
          <w:szCs w:val="22"/>
        </w:rPr>
        <w:t xml:space="preserve">Custom Print Format — manually designed, either via the drag-and-drop Print Format Builder or by writing raw HTML/Jinja, giving full control over layout, styling, and which fields appear.</w:t>
      </w:r>
    </w:p>
    <w:p>
      <w:pPr>
        <w:pStyle w:val="ListParagraph"/>
        <w:numPr>
          <w:ilvl w:val="0"/>
          <w:numId w:val="1"/>
        </w:numPr>
        <w:spacing w:after="80"/>
      </w:pPr>
      <w:r>
        <w:rPr>
          <w:rFonts w:ascii="Calibri" w:cs="Calibri" w:eastAsia="Calibri" w:hAnsi="Calibri"/>
          <w:sz w:val="22"/>
          <w:szCs w:val="22"/>
        </w:rPr>
        <w:t xml:space="preserve">Print Format Type — can be 'Jinja' (server-side templating, using {{ }} and {% %} syntax, similar to Python string templating) or 'JS' (older client-side templating using an adapted version of John Resig's micro-templating, with {% %} for logic and {%= %} for printing values).</w:t>
      </w:r>
    </w:p>
    <w:p>
      <w:pPr>
        <w:pStyle w:val="Heading2"/>
        <w:spacing w:after="150" w:before="300"/>
      </w:pPr>
      <w:r>
        <w:t xml:space="preserve">What changed in v16 for REPORT print formats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4200"/>
      </w:tblGrid>
      <w:tr>
        <w:tc>
          <w:tcPr>
            <w:tcW w:type="dxa" w:w="2200"/>
            <w:shd w:fill="1F3864" w:color="auto" w:val="clear"/>
          </w:tcPr>
          <w:p>
            <w:r>
              <w:rPr>
                <w:rFonts w:ascii="Calibri" w:cs="Calibri" w:eastAsia="Calibri" w:hAnsi="Calibri"/>
                <w:b/>
                <w:bCs/>
                <w:color w:val="FFFFFF"/>
                <w:sz w:val="20"/>
                <w:szCs w:val="20"/>
              </w:rPr>
              <w:t xml:space="preserve">Aspect</w:t>
            </w:r>
          </w:p>
        </w:tc>
        <w:tc>
          <w:tcPr>
            <w:tcW w:type="dxa" w:w="4000"/>
            <w:shd w:fill="1F3864" w:color="auto" w:val="clear"/>
          </w:tcPr>
          <w:p>
            <w:r>
              <w:rPr>
                <w:rFonts w:ascii="Calibri" w:cs="Calibri" w:eastAsia="Calibri" w:hAnsi="Calibri"/>
                <w:b/>
                <w:bCs/>
                <w:color w:val="FFFFFF"/>
                <w:sz w:val="20"/>
                <w:szCs w:val="20"/>
              </w:rPr>
              <w:t xml:space="preserve">Before v16</w:t>
            </w:r>
          </w:p>
        </w:tc>
        <w:tc>
          <w:tcPr>
            <w:tcW w:type="dxa" w:w="4200"/>
            <w:shd w:fill="1F3864" w:color="auto" w:val="clear"/>
          </w:tcPr>
          <w:p>
            <w:r>
              <w:rPr>
                <w:rFonts w:ascii="Calibri" w:cs="Calibri" w:eastAsia="Calibri" w:hAnsi="Calibri"/>
                <w:b/>
                <w:bCs/>
                <w:color w:val="FFFFFF"/>
                <w:sz w:val="20"/>
                <w:szCs w:val="20"/>
              </w:rPr>
              <w:t xml:space="preserve">v16 (New)</w:t>
            </w:r>
          </w:p>
        </w:tc>
      </w:tr>
      <w:tr>
        <w:tc>
          <w:tcPr>
            <w:tcW w:type="dxa" w:w="2200"/>
          </w:tcPr>
          <w:p>
            <w:r>
              <w:rPr>
                <w:rFonts w:ascii="Calibri" w:cs="Calibri" w:eastAsia="Calibri" w:hAnsi="Calibri"/>
                <w:b w:val="false"/>
                <w:bCs w:val="false"/>
                <w:color w:val="000000"/>
                <w:sz w:val="20"/>
                <w:szCs w:val="20"/>
              </w:rPr>
              <w:t xml:space="preserve">How created</w:t>
            </w:r>
          </w:p>
        </w:tc>
        <w:tc>
          <w:tcPr>
            <w:tcW w:type="dxa" w:w="4000"/>
          </w:tcPr>
          <w:p>
            <w:r>
              <w:rPr>
                <w:rFonts w:ascii="Calibri" w:cs="Calibri" w:eastAsia="Calibri" w:hAnsi="Calibri"/>
                <w:b w:val="false"/>
                <w:bCs w:val="false"/>
                <w:color w:val="000000"/>
                <w:sz w:val="20"/>
                <w:szCs w:val="20"/>
              </w:rPr>
              <w:t xml:space="preserve">Manually write an .html file and place it inside the report's folder in the app's source code (e.g. general_ledger/general_ledger.html)</w:t>
            </w:r>
          </w:p>
        </w:tc>
        <w:tc>
          <w:tcPr>
            <w:tcW w:type="dxa" w:w="4200"/>
          </w:tcPr>
          <w:p>
            <w:r>
              <w:rPr>
                <w:rFonts w:ascii="Calibri" w:cs="Calibri" w:eastAsia="Calibri" w:hAnsi="Calibri"/>
                <w:b w:val="false"/>
                <w:bCs w:val="false"/>
                <w:color w:val="000000"/>
                <w:sz w:val="20"/>
                <w:szCs w:val="20"/>
              </w:rPr>
              <w:t xml:space="preserve">Created directly through the Desk UI — no code file needed</w:t>
            </w:r>
          </w:p>
        </w:tc>
      </w:tr>
      <w:tr>
        <w:tc>
          <w:tcPr>
            <w:tcW w:type="dxa" w:w="2200"/>
          </w:tcPr>
          <w:p>
            <w:r>
              <w:rPr>
                <w:rFonts w:ascii="Calibri" w:cs="Calibri" w:eastAsia="Calibri" w:hAnsi="Calibri"/>
                <w:b w:val="false"/>
                <w:bCs w:val="false"/>
                <w:color w:val="000000"/>
                <w:sz w:val="20"/>
                <w:szCs w:val="20"/>
              </w:rPr>
              <w:t xml:space="preserve">Templating language</w:t>
            </w:r>
          </w:p>
        </w:tc>
        <w:tc>
          <w:tcPr>
            <w:tcW w:type="dxa" w:w="4000"/>
          </w:tcPr>
          <w:p>
            <w:r>
              <w:rPr>
                <w:rFonts w:ascii="Calibri" w:cs="Calibri" w:eastAsia="Calibri" w:hAnsi="Calibri"/>
                <w:b w:val="false"/>
                <w:bCs w:val="false"/>
                <w:color w:val="000000"/>
                <w:sz w:val="20"/>
                <w:szCs w:val="20"/>
              </w:rPr>
              <w:t xml:space="preserve">Client-side JS templating only ({% %} / {%= %}) — Jinja was NOT supported for reports</w:t>
            </w:r>
          </w:p>
        </w:tc>
        <w:tc>
          <w:tcPr>
            <w:tcW w:type="dxa" w:w="4200"/>
          </w:tcPr>
          <w:p>
            <w:r>
              <w:rPr>
                <w:rFonts w:ascii="Calibri" w:cs="Calibri" w:eastAsia="Calibri" w:hAnsi="Calibri"/>
                <w:b w:val="false"/>
                <w:bCs w:val="false"/>
                <w:color w:val="000000"/>
                <w:sz w:val="20"/>
                <w:szCs w:val="20"/>
              </w:rPr>
              <w:t xml:space="preserve">Jinja templating support added ({{ }} / {% %}), matching the same syntax already used for DocType print formats</w:t>
            </w:r>
          </w:p>
        </w:tc>
      </w:tr>
      <w:tr>
        <w:tc>
          <w:tcPr>
            <w:tcW w:type="dxa" w:w="2200"/>
          </w:tcPr>
          <w:p>
            <w:r>
              <w:rPr>
                <w:rFonts w:ascii="Calibri" w:cs="Calibri" w:eastAsia="Calibri" w:hAnsi="Calibri"/>
                <w:b w:val="false"/>
                <w:bCs w:val="false"/>
                <w:color w:val="000000"/>
                <w:sz w:val="20"/>
                <w:szCs w:val="20"/>
              </w:rPr>
              <w:t xml:space="preserve">Who can build one</w:t>
            </w:r>
          </w:p>
        </w:tc>
        <w:tc>
          <w:tcPr>
            <w:tcW w:type="dxa" w:w="4000"/>
          </w:tcPr>
          <w:p>
            <w:r>
              <w:rPr>
                <w:rFonts w:ascii="Calibri" w:cs="Calibri" w:eastAsia="Calibri" w:hAnsi="Calibri"/>
                <w:b w:val="false"/>
                <w:bCs w:val="false"/>
                <w:color w:val="000000"/>
                <w:sz w:val="20"/>
                <w:szCs w:val="20"/>
              </w:rPr>
              <w:t xml:space="preserve">A developer only — required code access, app folder structure, and often a bench restart/build step</w:t>
            </w:r>
          </w:p>
        </w:tc>
        <w:tc>
          <w:tcPr>
            <w:tcW w:type="dxa" w:w="4200"/>
          </w:tcPr>
          <w:p>
            <w:r>
              <w:rPr>
                <w:rFonts w:ascii="Calibri" w:cs="Calibri" w:eastAsia="Calibri" w:hAnsi="Calibri"/>
                <w:b w:val="false"/>
                <w:bCs w:val="false"/>
                <w:color w:val="000000"/>
                <w:sz w:val="20"/>
                <w:szCs w:val="20"/>
              </w:rPr>
              <w:t xml:space="preserve">Any user with Print Format permissions, entirely from the browser</w:t>
            </w:r>
          </w:p>
        </w:tc>
      </w:tr>
      <w:tr>
        <w:tc>
          <w:tcPr>
            <w:tcW w:type="dxa" w:w="2200"/>
          </w:tcPr>
          <w:p>
            <w:r>
              <w:rPr>
                <w:rFonts w:ascii="Calibri" w:cs="Calibri" w:eastAsia="Calibri" w:hAnsi="Calibri"/>
                <w:b w:val="false"/>
                <w:bCs w:val="false"/>
                <w:color w:val="000000"/>
                <w:sz w:val="20"/>
                <w:szCs w:val="20"/>
              </w:rPr>
              <w:t xml:space="preserve">Deployment</w:t>
            </w:r>
          </w:p>
        </w:tc>
        <w:tc>
          <w:tcPr>
            <w:tcW w:type="dxa" w:w="4000"/>
          </w:tcPr>
          <w:p>
            <w:r>
              <w:rPr>
                <w:rFonts w:ascii="Calibri" w:cs="Calibri" w:eastAsia="Calibri" w:hAnsi="Calibri"/>
                <w:b w:val="false"/>
                <w:bCs w:val="false"/>
                <w:color w:val="000000"/>
                <w:sz w:val="20"/>
                <w:szCs w:val="20"/>
              </w:rPr>
              <w:t xml:space="preserve">Bundled with the app's code, version-controlled via Git</w:t>
            </w:r>
          </w:p>
        </w:tc>
        <w:tc>
          <w:tcPr>
            <w:tcW w:type="dxa" w:w="4200"/>
          </w:tcPr>
          <w:p>
            <w:r>
              <w:rPr>
                <w:rFonts w:ascii="Calibri" w:cs="Calibri" w:eastAsia="Calibri" w:hAnsi="Calibri"/>
                <w:b w:val="false"/>
                <w:bCs w:val="false"/>
                <w:color w:val="000000"/>
                <w:sz w:val="20"/>
                <w:szCs w:val="20"/>
              </w:rPr>
              <w:t xml:space="preserve">Stored as a database record (like a Custom Print Format), editable anytime without a deployment</w:t>
            </w:r>
          </w:p>
        </w:tc>
      </w:tr>
    </w:tbl>
    <w:p>
      <w:pPr>
        <w:spacing w:after="160"/>
      </w:pPr>
      <w:r>
        <w:rPr>
          <w:rFonts w:ascii="Calibri" w:cs="Calibri" w:eastAsia="Calibri" w:hAnsi="Calibri"/>
          <w:b w:val="false"/>
          <w:bCs w:val="false"/>
          <w:i w:val="false"/>
          <w:iCs w:val="false"/>
          <w:sz w:val="22"/>
          <w:szCs w:val="22"/>
        </w:rPr>
        <w:t xml:space="preserve">In practice while implementing this: the standard Desk Print dialogs sometimes still filter for JS-type formats only when printing a report's OUTPUT, even though a Jinja-type Report Print Format can be created and correctly renders data — this format is reliably accessible via the direct print URL (/printview?doctype=Report&amp;name=&lt;report&gt;&amp;format=&lt;format&gt;), confirming the underlying Jinja-for-reports capability genuinely works even where a specific UI dialog hasn't been fully updated to surface it.</w:t>
      </w:r>
    </w:p>
    <w:p>
      <w:pPr>
        <w:pStyle w:val="Heading1"/>
        <w:spacing w:after="200" w:before="400"/>
      </w:pPr>
      <w:r>
        <w:t xml:space="preserve">9. List five field types and explain each</w:t>
      </w:r>
    </w:p>
    <w:p>
      <w:pPr>
        <w:pStyle w:val="Heading3"/>
        <w:spacing w:after="100" w:before="200"/>
      </w:pPr>
      <w:r>
        <w:t xml:space="preserve">1. Data</w:t>
      </w:r>
    </w:p>
    <w:p>
      <w:pPr>
        <w:spacing w:after="160"/>
      </w:pPr>
      <w:r>
        <w:rPr>
          <w:rFonts w:ascii="Calibri" w:cs="Calibri" w:eastAsia="Calibri" w:hAnsi="Calibri"/>
          <w:b w:val="false"/>
          <w:bCs w:val="false"/>
          <w:i w:val="false"/>
          <w:iCs w:val="false"/>
          <w:sz w:val="22"/>
          <w:szCs w:val="22"/>
        </w:rPr>
        <w:t xml:space="preserve">A single-line text input, the most basic and commonly used field type. Stored as a VARCHAR column in the database. Used for short text values with no special structure — e.g. student_name, email (a plain text box, though Frappe can add format-validation for known patterns like email addresses via a separate 'Email' fieldtype variant).</w:t>
      </w:r>
    </w:p>
    <w:p>
      <w:pPr>
        <w:pStyle w:val="Heading3"/>
        <w:spacing w:after="100" w:before="200"/>
      </w:pPr>
      <w:r>
        <w:t xml:space="preserve">2. Link</w:t>
      </w:r>
    </w:p>
    <w:p>
      <w:pPr>
        <w:spacing w:after="160"/>
      </w:pPr>
      <w:r>
        <w:rPr>
          <w:rFonts w:ascii="Calibri" w:cs="Calibri" w:eastAsia="Calibri" w:hAnsi="Calibri"/>
          <w:b w:val="false"/>
          <w:bCs w:val="false"/>
          <w:i w:val="false"/>
          <w:iCs w:val="false"/>
          <w:sz w:val="22"/>
          <w:szCs w:val="22"/>
        </w:rPr>
        <w:t xml:space="preserve">Creates a reference/foreign-key relationship to another DocType. Rendered in the UI as a searchable dropdown/autocomplete box. Internally stores just the linked record's name (its primary key) as a string, not the whole record. Example: the 'department' field on Student links to the Student Department DocType — this avoids duplicating department details across every student and keeps data centrally editable (if a department's phone number changes, every student pointing to it automatically reflects the update, since only the name/ID is stored, not the full data).</w:t>
      </w:r>
    </w:p>
    <w:p>
      <w:pPr>
        <w:pStyle w:val="Heading3"/>
        <w:spacing w:after="100" w:before="200"/>
      </w:pPr>
      <w:r>
        <w:t xml:space="preserve">3. Table (Child Table)</w:t>
      </w:r>
    </w:p>
    <w:p>
      <w:pPr>
        <w:spacing w:after="160"/>
      </w:pPr>
      <w:r>
        <w:rPr>
          <w:rFonts w:ascii="Calibri" w:cs="Calibri" w:eastAsia="Calibri" w:hAnsi="Calibri"/>
          <w:b w:val="false"/>
          <w:bCs w:val="false"/>
          <w:i w:val="false"/>
          <w:iCs w:val="false"/>
          <w:sz w:val="22"/>
          <w:szCs w:val="22"/>
        </w:rPr>
        <w:t xml:space="preserve">Represents a one-to-many relationship: multiple rows of a specified CHILD DocType, embedded inside the parent document. Example: 'subjects' on Student holds multiple Student Subject rows. Each child row is internally stored in the child DocType's own table, but tagged with parent, parenttype, and parentfield columns linking it back to its owning Student record — so querying a Student automatically includes its full list of subject rows.</w:t>
      </w:r>
    </w:p>
    <w:p>
      <w:pPr>
        <w:pStyle w:val="Heading3"/>
        <w:spacing w:after="100" w:before="200"/>
      </w:pPr>
      <w:r>
        <w:t xml:space="preserve">4. Select</w:t>
      </w:r>
    </w:p>
    <w:p>
      <w:pPr>
        <w:spacing w:after="160"/>
      </w:pPr>
      <w:r>
        <w:rPr>
          <w:rFonts w:ascii="Calibri" w:cs="Calibri" w:eastAsia="Calibri" w:hAnsi="Calibri"/>
          <w:b w:val="false"/>
          <w:bCs w:val="false"/>
          <w:i w:val="false"/>
          <w:iCs w:val="false"/>
          <w:sz w:val="22"/>
          <w:szCs w:val="22"/>
        </w:rPr>
        <w:t xml:space="preserve">A fixed, predefined dropdown of options (one per line in the field's Options box). Prevents inconsistent free-text entries. Example: 'gender' (Male/Female) or 'status' (Active/Inactive) — the user can only pick from the exact allowed values, so there's no risk of typos like 'Actve' or inconsistent casing like 'active' vs 'Active'.</w:t>
      </w:r>
    </w:p>
    <w:p>
      <w:pPr>
        <w:pStyle w:val="Heading3"/>
        <w:spacing w:after="100" w:before="200"/>
      </w:pPr>
      <w:r>
        <w:t xml:space="preserve">5. Percent</w:t>
      </w:r>
    </w:p>
    <w:p>
      <w:pPr>
        <w:spacing w:after="160"/>
      </w:pPr>
      <w:r>
        <w:rPr>
          <w:rFonts w:ascii="Calibri" w:cs="Calibri" w:eastAsia="Calibri" w:hAnsi="Calibri"/>
          <w:b w:val="false"/>
          <w:bCs w:val="false"/>
          <w:i w:val="false"/>
          <w:iCs w:val="false"/>
          <w:sz w:val="22"/>
          <w:szCs w:val="22"/>
        </w:rPr>
        <w:t xml:space="preserve">A specialised numeric field type designed to store and display percentage values, with automatic formatting (e.g. a % suffix, and in some views a small progress-bar-style visual indicator). Example: 'percentage' on Student, computed from total_marks and maximum_marks by the Server Script.</w:t>
      </w:r>
    </w:p>
    <w:p>
      <w:pPr>
        <w:pStyle w:val="Heading3"/>
        <w:spacing w:after="100" w:before="200"/>
      </w:pPr>
      <w:r>
        <w:t xml:space="preserve">(Additional field types used elsewhere in this project, for completeness)</w:t>
      </w:r>
    </w:p>
    <w:p>
      <w:pPr>
        <w:pStyle w:val="ListParagraph"/>
        <w:numPr>
          <w:ilvl w:val="0"/>
          <w:numId w:val="1"/>
        </w:numPr>
        <w:spacing w:after="80"/>
      </w:pPr>
      <w:r>
        <w:rPr>
          <w:rFonts w:ascii="Calibri" w:cs="Calibri" w:eastAsia="Calibri" w:hAnsi="Calibri"/>
          <w:sz w:val="22"/>
          <w:szCs w:val="22"/>
        </w:rPr>
        <w:t xml:space="preserve">Float — decimal numeric values (total_marks, maximum_marks).</w:t>
      </w:r>
    </w:p>
    <w:p>
      <w:pPr>
        <w:pStyle w:val="ListParagraph"/>
        <w:numPr>
          <w:ilvl w:val="0"/>
          <w:numId w:val="1"/>
        </w:numPr>
        <w:spacing w:after="80"/>
      </w:pPr>
      <w:r>
        <w:rPr>
          <w:rFonts w:ascii="Calibri" w:cs="Calibri" w:eastAsia="Calibri" w:hAnsi="Calibri"/>
          <w:sz w:val="22"/>
          <w:szCs w:val="22"/>
        </w:rPr>
        <w:t xml:space="preserve">Date — a date-picker input, storing a calendar date without time (date_of_birth, enrollment_date).</w:t>
      </w:r>
    </w:p>
    <w:p>
      <w:pPr>
        <w:pStyle w:val="ListParagraph"/>
        <w:numPr>
          <w:ilvl w:val="0"/>
          <w:numId w:val="1"/>
        </w:numPr>
        <w:spacing w:after="80"/>
      </w:pPr>
      <w:r>
        <w:rPr>
          <w:rFonts w:ascii="Calibri" w:cs="Calibri" w:eastAsia="Calibri" w:hAnsi="Calibri"/>
          <w:sz w:val="22"/>
          <w:szCs w:val="22"/>
        </w:rPr>
        <w:t xml:space="preserve">Phone — a text field specialised for phone numbers, with country-code formatting (mobile_number).</w:t>
      </w:r>
    </w:p>
    <w:p>
      <w:pPr>
        <w:pStyle w:val="ListParagraph"/>
        <w:numPr>
          <w:ilvl w:val="0"/>
          <w:numId w:val="1"/>
        </w:numPr>
        <w:spacing w:after="80"/>
      </w:pPr>
      <w:r>
        <w:rPr>
          <w:rFonts w:ascii="Calibri" w:cs="Calibri" w:eastAsia="Calibri" w:hAnsi="Calibri"/>
          <w:sz w:val="22"/>
          <w:szCs w:val="22"/>
        </w:rPr>
        <w:t xml:space="preserve">Dynamic Link — similar to Link, but the target DocType is decided at runtime by another field's value (reference_docname, paired with reference_doctype).</w:t>
      </w:r>
    </w:p>
    <w:p>
      <w:pPr>
        <w:pStyle w:val="ListParagraph"/>
        <w:numPr>
          <w:ilvl w:val="0"/>
          <w:numId w:val="1"/>
        </w:numPr>
        <w:spacing w:after="80"/>
      </w:pPr>
      <w:r>
        <w:rPr>
          <w:rFonts w:ascii="Calibri" w:cs="Calibri" w:eastAsia="Calibri" w:hAnsi="Calibri"/>
          <w:sz w:val="22"/>
          <w:szCs w:val="22"/>
        </w:rPr>
        <w:t xml:space="preserve">Text Editor — a rich-text (WYSIWYG) field supporting formatting like bold/italic/bullets, stored as HTML (notes).</w:t>
      </w:r>
    </w:p>
    <w:p>
      <w:pPr>
        <w:pStyle w:val="Heading1"/>
        <w:spacing w:after="200" w:before="400"/>
      </w:pPr>
      <w:r>
        <w:t xml:space="preserve">10. Given a Link field to a DocType with an address, how do you show address_line1 in a print format?</w:t>
      </w:r>
    </w:p>
    <w:p>
      <w:pPr>
        <w:spacing w:after="160"/>
      </w:pPr>
      <w:r>
        <w:rPr>
          <w:rFonts w:ascii="Calibri" w:cs="Calibri" w:eastAsia="Calibri" w:hAnsi="Calibri"/>
          <w:b w:val="false"/>
          <w:bCs w:val="false"/>
          <w:i w:val="false"/>
          <w:iCs w:val="false"/>
          <w:sz w:val="22"/>
          <w:szCs w:val="22"/>
        </w:rPr>
        <w:t xml:space="preserve">Suppose the Student DocType has a Link field 'department' pointing to Student Department, and Student Department has a field 'address_line1'. Inside a Student's own print format, doc only contains the Student's own fields — doc.department is just the plain text name of the linked Department record (e.g. 'Computer Engineering'), NOT its full data. To pull a specific field from that linked record, use frappe.db.get_value() directly inside the Jinja template:</w:t>
      </w:r>
    </w:p>
    <w:p>
      <w:pPr>
        <w:pBdr>
          <w:top w:val="single" w:color="CCCCCC" w:sz="4"/>
          <w:bottom w:val="single" w:color="CCCCCC" w:sz="4"/>
          <w:left w:val="single" w:color="CCCCCC" w:sz="4"/>
          <w:right w:val="single" w:color="CCCCCC" w:sz="4"/>
        </w:pBdr>
        <w:shd w:fill="F2F2F2" w:color="auto" w:val="clear"/>
        <w:spacing w:after="200" w:before="100"/>
        <w:ind w:left="200" w:right="200"/>
      </w:pPr>
      <w:r>
        <w:rPr>
          <w:rFonts w:ascii="Consolas" w:cs="Consolas" w:eastAsia="Consolas" w:hAnsi="Consolas"/>
          <w:sz w:val="20"/>
          <w:szCs w:val="20"/>
        </w:rPr>
        <w:t xml:space="preserve">{{ frappe.db.get_value("Student Department", doc.department, "address_line1") }}</w:t>
      </w:r>
    </w:p>
    <w:p>
      <w:pPr>
        <w:pStyle w:val="Heading2"/>
        <w:spacing w:after="150" w:before="300"/>
      </w:pPr>
      <w:r>
        <w:t xml:space="preserve">Explanation</w:t>
      </w:r>
    </w:p>
    <w:p>
      <w:pPr>
        <w:pStyle w:val="ListParagraph"/>
        <w:numPr>
          <w:ilvl w:val="0"/>
          <w:numId w:val="1"/>
        </w:numPr>
        <w:spacing w:after="80"/>
      </w:pPr>
      <w:r>
        <w:rPr>
          <w:rFonts w:ascii="Calibri" w:cs="Calibri" w:eastAsia="Calibri" w:hAnsi="Calibri"/>
          <w:sz w:val="22"/>
          <w:szCs w:val="22"/>
        </w:rPr>
        <w:t xml:space="preserve">frappe.db.get_value(doctype, name, fieldname) — a core Frappe API that performs a direct, lightweight database lookup: given a DocType name and a specific record's name, it returns just the one requested field's value.</w:t>
      </w:r>
    </w:p>
    <w:p>
      <w:pPr>
        <w:pStyle w:val="ListParagraph"/>
        <w:numPr>
          <w:ilvl w:val="0"/>
          <w:numId w:val="1"/>
        </w:numPr>
        <w:spacing w:after="80"/>
      </w:pPr>
      <w:r>
        <w:rPr>
          <w:rFonts w:ascii="Calibri" w:cs="Calibri" w:eastAsia="Calibri" w:hAnsi="Calibri"/>
          <w:sz w:val="22"/>
          <w:szCs w:val="22"/>
        </w:rPr>
        <w:t xml:space="preserve">"Student Department" — the DocType being looked up (the target of the Link field).</w:t>
      </w:r>
    </w:p>
    <w:p>
      <w:pPr>
        <w:pStyle w:val="ListParagraph"/>
        <w:numPr>
          <w:ilvl w:val="0"/>
          <w:numId w:val="1"/>
        </w:numPr>
        <w:spacing w:after="80"/>
      </w:pPr>
      <w:r>
        <w:rPr>
          <w:rFonts w:ascii="Calibri" w:cs="Calibri" w:eastAsia="Calibri" w:hAnsi="Calibri"/>
          <w:sz w:val="22"/>
          <w:szCs w:val="22"/>
        </w:rPr>
        <w:t xml:space="preserve">doc.department — the specific record's name/ID, taken from the current Student document being printed.</w:t>
      </w:r>
    </w:p>
    <w:p>
      <w:pPr>
        <w:pStyle w:val="ListParagraph"/>
        <w:numPr>
          <w:ilvl w:val="0"/>
          <w:numId w:val="1"/>
        </w:numPr>
        <w:spacing w:after="80"/>
      </w:pPr>
      <w:r>
        <w:rPr>
          <w:rFonts w:ascii="Calibri" w:cs="Calibri" w:eastAsia="Calibri" w:hAnsi="Calibri"/>
          <w:sz w:val="22"/>
          <w:szCs w:val="22"/>
        </w:rPr>
        <w:t xml:space="preserve">"address_line1" — the exact fieldname to retrieve from that linked record.</w:t>
      </w:r>
    </w:p>
    <w:p>
      <w:pPr>
        <w:spacing w:after="160"/>
      </w:pPr>
      <w:r>
        <w:rPr>
          <w:rFonts w:ascii="Calibri" w:cs="Calibri" w:eastAsia="Calibri" w:hAnsi="Calibri"/>
          <w:b w:val="false"/>
          <w:bCs w:val="false"/>
          <w:i w:val="false"/>
          <w:iCs w:val="false"/>
          <w:sz w:val="22"/>
          <w:szCs w:val="22"/>
        </w:rPr>
        <w:t xml:space="preserve">Alternative approach for multiple fields: if several fields from the linked Department are needed (not just one), it is more efficient to fetch the whole linked document once and reuse it, e.g.:</w:t>
      </w:r>
    </w:p>
    <w:p>
      <w:pPr>
        <w:pBdr>
          <w:top w:val="single" w:color="CCCCCC" w:sz="4"/>
          <w:bottom w:val="single" w:color="CCCCCC" w:sz="4"/>
          <w:left w:val="single" w:color="CCCCCC" w:sz="4"/>
          <w:right w:val="single" w:color="CCCCCC" w:sz="4"/>
        </w:pBdr>
        <w:shd w:fill="F2F2F2" w:color="auto" w:val="clear"/>
        <w:spacing w:after="200" w:before="100"/>
        <w:ind w:left="200" w:right="200"/>
      </w:pPr>
      <w:r>
        <w:rPr>
          <w:rFonts w:ascii="Consolas" w:cs="Consolas" w:eastAsia="Consolas" w:hAnsi="Consolas"/>
          <w:sz w:val="20"/>
          <w:szCs w:val="20"/>
        </w:rPr>
        <w:t xml:space="preserve">{% set dept = frappe.get_doc("Student Department", doc.department) %}</w:t>
      </w:r>
      <w:r>
        <w:br/>
      </w:r>
      <w:r>
        <w:rPr>
          <w:rFonts w:ascii="Consolas" w:cs="Consolas" w:eastAsia="Consolas" w:hAnsi="Consolas"/>
          <w:sz w:val="20"/>
          <w:szCs w:val="20"/>
        </w:rPr>
        <w:t xml:space="preserve">{{ dept.address_line1 }}</w:t>
      </w:r>
      <w:r>
        <w:br/>
      </w:r>
      <w:r>
        <w:rPr>
          <w:rFonts w:ascii="Consolas" w:cs="Consolas" w:eastAsia="Consolas" w:hAnsi="Consolas"/>
          <w:sz w:val="20"/>
          <w:szCs w:val="20"/>
        </w:rPr>
        <w:t xml:space="preserve">{{ dept.phone }}</w:t>
      </w:r>
    </w:p>
    <w:p>
      <w:pPr>
        <w:spacing w:after="160"/>
      </w:pPr>
      <w:r>
        <w:rPr>
          <w:rFonts w:ascii="Calibri" w:cs="Calibri" w:eastAsia="Calibri" w:hAnsi="Calibri"/>
          <w:b w:val="false"/>
          <w:bCs w:val="false"/>
          <w:i w:val="false"/>
          <w:iCs w:val="false"/>
          <w:sz w:val="22"/>
          <w:szCs w:val="22"/>
        </w:rPr>
        <w:t xml:space="preserve">This avoids repeating separate database calls for every individual field, which matters for performance when a print format needs many fields from the same linked record.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2026-08-03T11:20:27.250Z</dcterms:created>
  <dcterms:modified xsi:type="dcterms:W3CDTF">2026-08-03T11:20:27.268Z</dcterms:modified>
</cp:coreProperties>
</file>

<file path=docProps/custom.xml><?xml version="1.0" encoding="utf-8"?>
<Properties xmlns="http://schemas.openxmlformats.org/officeDocument/2006/custom-properties" xmlns:vt="http://schemas.openxmlformats.org/officeDocument/2006/docPropsVTypes"/>
</file>