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LLMs, Transfer Learning, Unsupervised Learning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Docker, Jupyter Notebook, Google Colab, Kaggle, OpenCode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TensorFlow/Keras, DistilBERT,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binary fit scoring (</w:t>
      </w:r>
      <w:r>
        <w:rPr>
          <w:b/>
        </w:rPr>
        <w:t>0.58 macro-F1</w:t>
      </w:r>
      <w:r>
        <w:rPr>
          <w:b w:val="0"/>
        </w:rPr>
        <w:t xml:space="preserve">, ~1.7x the majority-class baseline);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