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Smart Score, Risk Score, and ROI Simulator Calculation</w:t>
      </w:r>
    </w:p>
    <w:p>
      <w:pPr>
        <w:pStyle w:val="Heading1"/>
      </w:pPr>
      <w:r>
        <w:t xml:space="preserve">Source Files</w:t>
      </w:r>
    </w:p>
    <w:p>
      <w:pPr>
        <w:pStyle w:val="Normal"/>
      </w:pPr>
      <w:r>
        <w:t xml:space="preserve">Backend scoring logic: backend/app/services/scoring.py</w:t>
      </w:r>
    </w:p>
    <w:p>
      <w:pPr>
        <w:pStyle w:val="Normal"/>
      </w:pPr>
      <w:r>
        <w:t xml:space="preserve">Backend predictive target logic: backend/app/services/dashboard.py</w:t>
      </w:r>
    </w:p>
    <w:p>
      <w:pPr>
        <w:pStyle w:val="Normal"/>
      </w:pPr>
      <w:r>
        <w:t xml:space="preserve">Frontend ROI simulator UI logic: frontend/components/sections/returns-calculator.tsx</w:t>
      </w:r>
    </w:p>
    <w:p>
      <w:pPr>
        <w:pStyle w:val="Heading1"/>
      </w:pPr>
      <w:r>
        <w:t xml:space="preserve">What Changed In This Updated Version</w:t>
      </w:r>
    </w:p>
    <w:p>
      <w:pPr>
        <w:pStyle w:val="Normal"/>
      </w:pPr>
      <w:r>
        <w:t xml:space="preserve">1. Smart Score factor buckets now use median instead of mean. This reduces the impact of a single outlier metric.</w:t>
      </w:r>
    </w:p>
    <w:p>
      <w:pPr>
        <w:pStyle w:val="Normal"/>
      </w:pPr>
      <w:r>
        <w:t xml:space="preserve">2. Risk Score narrative analysis now handles negation, so phrases like not fraud or cleared of probe are not treated like confirmed red flags.</w:t>
      </w:r>
    </w:p>
    <w:p>
      <w:pPr>
        <w:pStyle w:val="Normal"/>
      </w:pPr>
      <w:r>
        <w:t xml:space="preserve">3. ROI target CAGR is now more conservative by using extra P/E caps and blending with a 10 percent anchor.</w:t>
      </w:r>
    </w:p>
    <w:p>
      <w:pPr>
        <w:pStyle w:val="Normal"/>
      </w:pPr>
      <w:r>
        <w:t xml:space="preserve">4. ROI simulator now shows bear, base, and bull scenarios instead of only one projection line.</w:t>
      </w:r>
    </w:p>
    <w:p>
      <w:pPr>
        <w:pStyle w:val="Heading1"/>
      </w:pPr>
      <w:r>
        <w:t xml:space="preserve">1. Smart Score</w:t>
      </w:r>
    </w:p>
    <w:p>
      <w:pPr>
        <w:pStyle w:val="Normal"/>
      </w:pPr>
      <w:r>
        <w:t xml:space="preserve">The Smart Score is calculated in compute_smart_score() and returned on a 0 to 5 scale. The code builds five normalized factor buckets and then applies a bounded walk-forward ML adjustment.</w:t>
      </w:r>
    </w:p>
    <w:p>
      <w:pPr>
        <w:pStyle w:val="Heading2"/>
      </w:pPr>
      <w:r>
        <w:t xml:space="preserve">Inputs Used</w:t>
      </w:r>
    </w:p>
    <w:p>
      <w:pPr>
        <w:pStyle w:val="Normal"/>
      </w:pPr>
      <w:r>
        <w:t xml:space="preserve">Metrics: ROE, ROA, ROCE, profit margin, P/E, P/B, EV to Sales, PEG, dividend yield, debt to equity, current ratio, interest coverage, market cap.</w:t>
      </w:r>
    </w:p>
    <w:p>
      <w:pPr>
        <w:pStyle w:val="Normal"/>
      </w:pPr>
      <w:r>
        <w:t xml:space="preserve">Technicals: RSI 14, MACD, EMA20, EMA50, trend.</w:t>
      </w:r>
    </w:p>
    <w:p>
      <w:pPr>
        <w:pStyle w:val="Normal"/>
      </w:pPr>
      <w:r>
        <w:t xml:space="preserve">Financials: quarterly rows, yearly rows, detailed quarterly rows, income statement, balance sheet.</w:t>
      </w:r>
    </w:p>
    <w:p>
      <w:pPr>
        <w:pStyle w:val="Normal"/>
      </w:pPr>
      <w:r>
        <w:t xml:space="preserve">Price history: used for momentum, volatility, drawdown, and the walk-forward ML validation signal.</w:t>
      </w:r>
    </w:p>
    <w:p>
      <w:pPr>
        <w:pStyle w:val="Normal"/>
      </w:pPr>
      <w:r>
        <w:t xml:space="preserve">Corporate actions and shareholding: insider trade signal and institutional/promoter holding signal.</w:t>
      </w:r>
    </w:p>
    <w:p>
      <w:pPr>
        <w:pStyle w:val="Heading2"/>
      </w:pPr>
      <w:r>
        <w:t xml:space="preserve">Growth Features Extracted From Financials</w:t>
      </w:r>
    </w:p>
    <w:p>
      <w:pPr>
        <w:pStyle w:val="Normal"/>
      </w:pPr>
      <w:r>
        <w:t xml:space="preserve">Revenue growth: latest quarter vs same quarter last year, or latest year vs previous year if quarterly data is missing.</w:t>
      </w:r>
    </w:p>
    <w:p>
      <w:pPr>
        <w:pStyle w:val="Normal"/>
      </w:pPr>
      <w:r>
        <w:t xml:space="preserve">Profit growth: latest quarter vs same quarter last year, or latest year vs previous year.</w:t>
      </w:r>
    </w:p>
    <w:p>
      <w:pPr>
        <w:pStyle w:val="Normal"/>
      </w:pPr>
      <w:r>
        <w:t xml:space="preserve">EPS growth: latest detailed quarter EPS vs the detailed quarter one year earlier.</w:t>
      </w:r>
    </w:p>
    <w:p>
      <w:pPr>
        <w:pStyle w:val="Normal"/>
      </w:pPr>
      <w:r>
        <w:t xml:space="preserve">Free cash flow growth: latest yearly cash flow vs previous yearly cash flow.</w:t>
      </w:r>
    </w:p>
    <w:p>
      <w:pPr>
        <w:pStyle w:val="Heading2"/>
      </w:pPr>
      <w:r>
        <w:t xml:space="preserve">Factor Buckets</w:t>
      </w:r>
    </w:p>
    <w:p>
      <w:pPr>
        <w:pStyle w:val="Normal"/>
      </w:pPr>
      <w:r>
        <w:t xml:space="preserve">Profitability = median of normalized ROE(5 to 25), ROA(1 to 10), ROCE(8 to 30), profit margin(5 to 25).</w:t>
      </w:r>
    </w:p>
    <w:p>
      <w:pPr>
        <w:pStyle w:val="Normal"/>
      </w:pPr>
      <w:r>
        <w:t xml:space="preserve">Growth = median of normalized revenue growth(0 to 25), profit growth(0 to 25), EPS growth(0 to 20), free cash flow growth(0 to 20).</w:t>
      </w:r>
    </w:p>
    <w:p>
      <w:pPr>
        <w:pStyle w:val="Normal"/>
      </w:pPr>
      <w:r>
        <w:t xml:space="preserve">Valuation = median of inverse-normalized P/E(8 to 45), inverse-normalized P/B(1 to 8), inverse-normalized PEG(0.5 to 3), inverse-normalized EV/Sales(1 to 12), and normalized dividend yield(0 to 4).</w:t>
      </w:r>
    </w:p>
    <w:p>
      <w:pPr>
        <w:pStyle w:val="Normal"/>
      </w:pPr>
      <w:r>
        <w:t xml:space="preserve">Momentum = median of RSI score, MACD score, EMA trend score, trend label score, normalized 3 month return(-15 to 35), normalized 6 month return(-20 to 50).</w:t>
      </w:r>
    </w:p>
    <w:p>
      <w:pPr>
        <w:pStyle w:val="Normal"/>
      </w:pPr>
      <w:r>
        <w:t xml:space="preserve">Financial Health = median of inverse-normalized debt/equity(0 to 2.5), normalized current ratio(1 to 3), normalized interest coverage(1.5 to 8), normalized Altman Z(1.8 to 4), insider signal, and institutional signal.</w:t>
      </w:r>
    </w:p>
    <w:p>
      <w:pPr>
        <w:pStyle w:val="Heading2"/>
      </w:pPr>
      <w:r>
        <w:t xml:space="preserve">Base Score Formula</w:t>
      </w:r>
    </w:p>
    <w:p>
      <w:pPr>
        <w:pStyle w:val="Normal"/>
      </w:pPr>
      <w:r>
        <w:t xml:space="preserve">Base Score (0 to 1) = 0.25 x Profitability + 0.20 x Growth + 0.20 x Valuation + 0.20 x Momentum + 0.15 x Financial Health.</w:t>
      </w:r>
    </w:p>
    <w:p>
      <w:pPr>
        <w:pStyle w:val="Heading2"/>
      </w:pPr>
      <w:r>
        <w:t xml:space="preserve">Walk-Forward ML Adjustment</w:t>
      </w:r>
    </w:p>
    <w:p>
      <w:pPr>
        <w:pStyle w:val="Normal"/>
      </w:pPr>
      <w:r>
        <w:t xml:space="preserve">The code runs a bounded walk-forward validation model on price history if at least about 220 closes exist.</w:t>
      </w:r>
    </w:p>
    <w:p>
      <w:pPr>
        <w:pStyle w:val="Normal"/>
      </w:pPr>
      <w:r>
        <w:t xml:space="preserve">Training samples use 1 month, 3 month, and 6 month momentum, 3 month volatility, and 6 month drawdown. The label is whether the price is higher after 63 trading days.</w:t>
      </w:r>
    </w:p>
    <w:p>
      <w:pPr>
        <w:pStyle w:val="Normal"/>
      </w:pPr>
      <w:r>
        <w:t xml:space="preserve">A lightweight logistic model is fit on those scaled features. It produces upProbability and an accuracy-derived confidence score.</w:t>
      </w:r>
    </w:p>
    <w:p>
      <w:pPr>
        <w:pStyle w:val="Normal"/>
      </w:pPr>
      <w:r>
        <w:t xml:space="preserve">Raw ML adjustment = ((upProbability - 0.5) x 0.20) + ((financialHealth - 0.5) x 0.08) + ((valuation - 0.5) x 0.06).</w:t>
      </w:r>
    </w:p>
    <w:p>
      <w:pPr>
        <w:pStyle w:val="Normal"/>
      </w:pPr>
      <w:r>
        <w:t xml:space="preserve">The raw ML adjustment is clamped to -0.08 to +0.08. Final score = clamp(Base Score + ML Adjustment x ML Confidence, 0, 1).</w:t>
      </w:r>
    </w:p>
    <w:p>
      <w:pPr>
        <w:pStyle w:val="Normal"/>
      </w:pPr>
      <w:r>
        <w:t xml:space="preserve">Final Smart Score on UI = Final score x 5, rounded to 2 decimals. score10 is also exposed as Final score x 10.</w:t>
      </w:r>
    </w:p>
    <w:p>
      <w:pPr>
        <w:pStyle w:val="Heading2"/>
      </w:pPr>
      <w:r>
        <w:t xml:space="preserve">Smart Score Labels</w:t>
      </w:r>
    </w:p>
    <w:p>
      <w:pPr>
        <w:pStyle w:val="Normal"/>
      </w:pPr>
      <w:r>
        <w:t xml:space="preserve">Strong: score &gt;= 4.00</w:t>
      </w:r>
    </w:p>
    <w:p>
      <w:pPr>
        <w:pStyle w:val="Normal"/>
      </w:pPr>
      <w:r>
        <w:t xml:space="preserve">Moderate: score &gt;= 2.50 and &lt; 4.00</w:t>
      </w:r>
    </w:p>
    <w:p>
      <w:pPr>
        <w:pStyle w:val="Normal"/>
      </w:pPr>
      <w:r>
        <w:t xml:space="preserve">Weak: score &lt; 2.50</w:t>
      </w:r>
    </w:p>
    <w:p>
      <w:pPr>
        <w:pStyle w:val="Heading1"/>
      </w:pPr>
      <w:r>
        <w:t xml:space="preserve">2. Risk Score</w:t>
      </w:r>
    </w:p>
    <w:p>
      <w:pPr>
        <w:pStyle w:val="Normal"/>
      </w:pPr>
      <w:r>
        <w:t xml:space="preserve">The Risk Score is calculated in compute_risk_score() and returned on a 0 to 5 scale.</w:t>
      </w:r>
    </w:p>
    <w:p>
      <w:pPr>
        <w:pStyle w:val="Heading2"/>
      </w:pPr>
      <w:r>
        <w:t xml:space="preserve">Inputs Used</w:t>
      </w:r>
    </w:p>
    <w:p>
      <w:pPr>
        <w:pStyle w:val="Normal"/>
      </w:pPr>
      <w:r>
        <w:t xml:space="preserve">News titles and summaries with sentimentScore.</w:t>
      </w:r>
    </w:p>
    <w:p>
      <w:pPr>
        <w:pStyle w:val="Normal"/>
      </w:pPr>
      <w:r>
        <w:t xml:space="preserve">Brokerage summary counts for buy, hold, sell.</w:t>
      </w:r>
    </w:p>
    <w:p>
      <w:pPr>
        <w:pStyle w:val="Normal"/>
      </w:pPr>
      <w:r>
        <w:t xml:space="preserve">Metrics: debt to equity, current ratio, ROA, interest coverage.</w:t>
      </w:r>
    </w:p>
    <w:p>
      <w:pPr>
        <w:pStyle w:val="Normal"/>
      </w:pPr>
      <w:r>
        <w:t xml:space="preserve">Financial statements: used for Altman Z score.</w:t>
      </w:r>
    </w:p>
    <w:p>
      <w:pPr>
        <w:pStyle w:val="Normal"/>
      </w:pPr>
      <w:r>
        <w:t xml:space="preserve">Technicals and price history: RSI, MACD, volatility, drawdown, trend.</w:t>
      </w:r>
    </w:p>
    <w:p>
      <w:pPr>
        <w:pStyle w:val="Heading2"/>
      </w:pPr>
      <w:r>
        <w:t xml:space="preserve">Narrative Risk Logic</w:t>
      </w:r>
    </w:p>
    <w:p>
      <w:pPr>
        <w:pStyle w:val="Normal"/>
      </w:pPr>
      <w:r>
        <w:t xml:space="preserve">Narrative risk first checks for severe direct terms like lawsuit, forensic, insolvency, raid, and restatement, which map to 0.85 risk. It also checks medium explicit terms like fall, pledge, regulatory, volatility, and outflow, which map to 0.65 risk.</w:t>
      </w:r>
    </w:p>
    <w:p>
      <w:pPr>
        <w:pStyle w:val="Normal"/>
      </w:pPr>
      <w:r>
        <w:t xml:space="preserve">If those explicit terms are not found, it uses a negation-aware keyword scan. High-risk words like fraud, default, bankruptcy, scam, downgrade, probe, and collapse map to 0.85 unless negated by recent words like no, not, avoids, cleared, denies, dismisses, rejects, without, or free. Negated high-risk terms fall back to 0.35. Medium-risk words like decline, debt, penalty, delay, loss, miss, cut, and weak map to 0.65 unless negated, in which case they fall to 0.25.</w:t>
      </w:r>
    </w:p>
    <w:p>
      <w:pPr>
        <w:pStyle w:val="Heading2"/>
      </w:pPr>
      <w:r>
        <w:t xml:space="preserve">Risk Components</w:t>
      </w:r>
    </w:p>
    <w:p>
      <w:pPr>
        <w:pStyle w:val="Normal"/>
      </w:pPr>
      <w:r>
        <w:t xml:space="preserve">Sentiment Risk = 1 - average sentiment. Brokerage buy vs sell balance also feeds sentiment.</w:t>
      </w:r>
    </w:p>
    <w:p>
      <w:pPr>
        <w:pStyle w:val="Normal"/>
      </w:pPr>
      <w:r>
        <w:t xml:space="preserve">Narrative Risk = average of the keyword-based article risk weights described above.</w:t>
      </w:r>
    </w:p>
    <w:p>
      <w:pPr>
        <w:pStyle w:val="Normal"/>
      </w:pPr>
      <w:r>
        <w:t xml:space="preserve">Financial Risk = average of normalized debt/equity risk, inverse current ratio strength, inverse ROA strength, inverse interest coverage strength, inverse Altman Z strength.</w:t>
      </w:r>
    </w:p>
    <w:p>
      <w:pPr>
        <w:pStyle w:val="Normal"/>
      </w:pPr>
      <w:r>
        <w:t xml:space="preserve">Technical Risk = average of normalized RSI distance from 50, normalized 3 month annualized volatility(0.15 to 0.55), normalized 1 year drawdown(0.08 to 0.45), trend penalty, and MACD penalty.</w:t>
      </w:r>
    </w:p>
    <w:p>
      <w:pPr>
        <w:pStyle w:val="Heading2"/>
      </w:pPr>
      <w:r>
        <w:t xml:space="preserve">Risk Score Formula</w:t>
      </w:r>
    </w:p>
    <w:p>
      <w:pPr>
        <w:pStyle w:val="Normal"/>
      </w:pPr>
      <w:r>
        <w:t xml:space="preserve">Weighted Risk (0 to 1) = 0.25 x Sentiment Risk + 0.25 x Financial Risk + 0.30 x Narrative Risk + 0.20 x Technical Risk.</w:t>
      </w:r>
    </w:p>
    <w:p>
      <w:pPr>
        <w:pStyle w:val="Normal"/>
      </w:pPr>
      <w:r>
        <w:t xml:space="preserve">Final Risk Score on UI = clamp(Weighted Risk, 0, 1) x 5, rounded to 2 decimals.</w:t>
      </w:r>
    </w:p>
    <w:p>
      <w:pPr>
        <w:pStyle w:val="Heading2"/>
      </w:pPr>
      <w:r>
        <w:t xml:space="preserve">Risk Labels</w:t>
      </w:r>
    </w:p>
    <w:p>
      <w:pPr>
        <w:pStyle w:val="Normal"/>
      </w:pPr>
      <w:r>
        <w:t xml:space="preserve">Low: score &lt; 2.00</w:t>
      </w:r>
    </w:p>
    <w:p>
      <w:pPr>
        <w:pStyle w:val="Normal"/>
      </w:pPr>
      <w:r>
        <w:t xml:space="preserve">Medium: score &gt;= 2.00 and &lt; 3.50</w:t>
      </w:r>
    </w:p>
    <w:p>
      <w:pPr>
        <w:pStyle w:val="Normal"/>
      </w:pPr>
      <w:r>
        <w:t xml:space="preserve">High: score &gt;= 3.50</w:t>
      </w:r>
    </w:p>
    <w:p>
      <w:pPr>
        <w:pStyle w:val="Heading1"/>
      </w:pPr>
      <w:r>
        <w:t xml:space="preserve">3. ROI Simulator</w:t>
      </w:r>
    </w:p>
    <w:p>
      <w:pPr>
        <w:pStyle w:val="Normal"/>
      </w:pPr>
      <w:r>
        <w:t xml:space="preserve">The ROI simulator uses the current price, the backend predictive target price, Smart Score ML confidence, and Smart Score validation upProbability.</w:t>
      </w:r>
    </w:p>
    <w:p>
      <w:pPr>
        <w:pStyle w:val="Heading2"/>
      </w:pPr>
      <w:r>
        <w:t xml:space="preserve">Backend Predictive Target Price</w:t>
      </w:r>
    </w:p>
    <w:p>
      <w:pPr>
        <w:pStyle w:val="Normal"/>
      </w:pPr>
      <w:r>
        <w:t xml:space="preserve">The backend computes aiTarget in _calculate_predictive_target().</w:t>
      </w:r>
    </w:p>
    <w:p>
      <w:pPr>
        <w:pStyle w:val="Normal"/>
      </w:pPr>
      <w:r>
        <w:t xml:space="preserve">Step 1: calculate a base CAGR from the oldest close to the current close over the available history, using about 252 trading days per year.</w:t>
      </w:r>
    </w:p>
    <w:p>
      <w:pPr>
        <w:pStyle w:val="Normal"/>
      </w:pPr>
      <w:r>
        <w:t xml:space="preserve">Step 2: valuation adjustment: if P/E &lt; 15, add 2 percentage points to CAGR. If P/E &gt; 40, subtract 2 percentage points.</w:t>
      </w:r>
    </w:p>
    <w:p>
      <w:pPr>
        <w:pStyle w:val="Normal"/>
      </w:pPr>
      <w:r>
        <w:t xml:space="preserve">Step 3: technical trend adjustment: if trend is Bullish, add 1 percentage point. If trend is Bearish, subtract 1 percentage point.</w:t>
      </w:r>
    </w:p>
    <w:p>
      <w:pPr>
        <w:pStyle w:val="Normal"/>
      </w:pPr>
      <w:r>
        <w:t xml:space="preserve">Step 4: extra valuation safety cap: if P/E &gt; 50, cap CAGR at 10 percent. If P/E &lt; 0, cap CAGR at 5 percent.</w:t>
      </w:r>
    </w:p>
    <w:p>
      <w:pPr>
        <w:pStyle w:val="Normal"/>
      </w:pPr>
      <w:r>
        <w:t xml:space="preserve">Step 5: conservative blending: Final CAGR = 60 percent model CAGR + 40 percent 10 percent conservative anchor.</w:t>
      </w:r>
    </w:p>
    <w:p>
      <w:pPr>
        <w:pStyle w:val="Normal"/>
      </w:pPr>
      <w:r>
        <w:t xml:space="preserve">Step 6: clamp final CAGR to -10 percent to +30 percent.</w:t>
      </w:r>
    </w:p>
    <w:p>
      <w:pPr>
        <w:pStyle w:val="Normal"/>
      </w:pPr>
      <w:r>
        <w:t xml:space="preserve">Step 7: target price = current price x (1 + final CAGR)^3.</w:t>
      </w:r>
    </w:p>
    <w:p>
      <w:pPr>
        <w:pStyle w:val="Heading2"/>
      </w:pPr>
      <w:r>
        <w:t xml:space="preserve">Frontend ROI Scenario Generation</w:t>
      </w:r>
    </w:p>
    <w:p>
      <w:pPr>
        <w:pStyle w:val="Normal"/>
      </w:pPr>
      <w:r>
        <w:t xml:space="preserve">The frontend lets the user enter any amount. Shares bought = amount / currentPrice.</w:t>
      </w:r>
    </w:p>
    <w:p>
      <w:pPr>
        <w:pStyle w:val="Normal"/>
      </w:pPr>
      <w:r>
        <w:t xml:space="preserve">The simulator builds 4 yearly points: Y0, Y1, Y2, Y3.</w:t>
      </w:r>
    </w:p>
    <w:p>
      <w:pPr>
        <w:pStyle w:val="Normal"/>
      </w:pPr>
      <w:r>
        <w:t xml:space="preserve">Bend = 0.7 + (mlConfidence x 0.55) + (abs(probabilityBias) x 0.2), where probabilityBias = ((upProbability - 0.5) x 2) clamped to -1 to 1.</w:t>
      </w:r>
    </w:p>
    <w:p>
      <w:pPr>
        <w:pStyle w:val="Normal"/>
      </w:pPr>
      <w:r>
        <w:t xml:space="preserve">Base path uses baseBend = bend. Bear path uses bearBend = bend - (confidence x 0.3). Bull path uses bullBend = bend + (confidence x 0.3).</w:t>
      </w:r>
    </w:p>
    <w:p>
      <w:pPr>
        <w:pStyle w:val="Normal"/>
      </w:pPr>
      <w:r>
        <w:t xml:space="preserve">Curved progress = progress^curve. Simulated price = currentPrice + (aiTarget - currentPrice) x curvedProgress.</w:t>
      </w:r>
    </w:p>
    <w:p>
      <w:pPr>
        <w:pStyle w:val="Normal"/>
      </w:pPr>
      <w:r>
        <w:t xml:space="preserve">A stabilizer is added: direction x probabilityBias x confidence x currentPrice x 0.02 x year, where direction is +1 if aiTarget &gt;= currentPrice, else -1.</w:t>
      </w:r>
    </w:p>
    <w:p>
      <w:pPr>
        <w:pStyle w:val="Normal"/>
      </w:pPr>
      <w:r>
        <w:t xml:space="preserve">The simulator then applies a scenario volatility factor using mlStdDev = 0.08. Bear case applies a negative yearly factor, bull case applies a positive yearly factor, base case applies none.</w:t>
      </w:r>
    </w:p>
    <w:p>
      <w:pPr>
        <w:pStyle w:val="Normal"/>
      </w:pPr>
      <w:r>
        <w:t xml:space="preserve">Portfolio value at each year = sharesBought x scenarioPrice x (1 + volatilityFactor x year).</w:t>
      </w:r>
    </w:p>
    <w:p>
      <w:pPr>
        <w:pStyle w:val="Normal"/>
      </w:pPr>
      <w:r>
        <w:t xml:space="preserve">Projected Value is the Y3 base value. The card also shows Bear Case and Bull Case Y3 values, plus a chart with all three paths.</w:t>
      </w:r>
    </w:p>
    <w:p>
      <w:pPr>
        <w:pStyle w:val="Heading1"/>
      </w:pPr>
      <w:r>
        <w:t xml:space="preserve">4. Important Notes</w:t>
      </w:r>
    </w:p>
    <w:p>
      <w:pPr>
        <w:pStyle w:val="Normal"/>
      </w:pPr>
      <w:r>
        <w:t xml:space="preserve">The Smart Score and Risk Score are factor models with normalization bands and bounded adjustments. They are not broker recommendations.</w:t>
      </w:r>
    </w:p>
    <w:p>
      <w:pPr>
        <w:pStyle w:val="Normal"/>
      </w:pPr>
      <w:r>
        <w:t xml:space="preserve">The ROI simulator is a scenario tool. It is not a guarantee or a broker target.</w:t>
      </w:r>
    </w:p>
    <w:p>
      <w:pPr>
        <w:pStyle w:val="Normal"/>
      </w:pPr>
      <w:r>
        <w:t xml:space="preserve">This updated version is more robust against outliers in factor buckets and more conservative in forward ROI projections.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Score, Risk Score, and ROI Simulator Calculation</dc:title>
  <dc:creator>Codex</dc:creator>
  <cp:lastModifiedBy>Codex</cp:lastModifiedBy>
  <dcterms:created xsi:type="dcterms:W3CDTF">2026-03-14T00:00:00Z</dcterms:created>
  <dcterms:modified xsi:type="dcterms:W3CDTF">2026-03-14T00:00:00Z</dcterms:modified>
</cp:coreProperties>
</file>