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345" w:rsidRDefault="00A502D0" w:rsidP="00A502D0">
      <w:pPr>
        <w:jc w:val="both"/>
        <w:rPr>
          <w:rFonts w:ascii="Times New Roman" w:hAnsi="Times New Roman" w:cs="Times New Roman"/>
          <w:b/>
          <w:sz w:val="40"/>
          <w:szCs w:val="40"/>
        </w:rPr>
      </w:pPr>
      <w:r w:rsidRPr="00A502D0">
        <w:rPr>
          <w:rFonts w:ascii="Times New Roman" w:hAnsi="Times New Roman" w:cs="Times New Roman"/>
          <w:b/>
          <w:sz w:val="40"/>
          <w:szCs w:val="40"/>
        </w:rPr>
        <w:t>Customized proactive and innovative solutions to create certainty in structuring commercial transactions and advising on emerging tax regulations.</w:t>
      </w:r>
    </w:p>
    <w:p w:rsidR="00A4662D" w:rsidRDefault="00A4662D" w:rsidP="00A502D0">
      <w:pPr>
        <w:jc w:val="both"/>
        <w:rPr>
          <w:rFonts w:ascii="Times New Roman" w:hAnsi="Times New Roman" w:cs="Times New Roman"/>
          <w:b/>
          <w:sz w:val="40"/>
          <w:szCs w:val="40"/>
        </w:rPr>
      </w:pPr>
    </w:p>
    <w:p w:rsidR="004A5B64" w:rsidRDefault="004A5B64" w:rsidP="00A502D0">
      <w:pPr>
        <w:jc w:val="both"/>
        <w:rPr>
          <w:rFonts w:ascii="Times New Roman" w:hAnsi="Times New Roman" w:cs="Times New Roman"/>
          <w:b/>
          <w:sz w:val="40"/>
          <w:szCs w:val="40"/>
        </w:rPr>
      </w:pPr>
      <w:r>
        <w:rPr>
          <w:rFonts w:ascii="Times New Roman" w:hAnsi="Times New Roman" w:cs="Times New Roman"/>
          <w:b/>
          <w:sz w:val="40"/>
          <w:szCs w:val="40"/>
        </w:rPr>
        <w:t>About Us</w:t>
      </w:r>
    </w:p>
    <w:p w:rsidR="004A5B64" w:rsidRDefault="004A5B64" w:rsidP="00A502D0">
      <w:pPr>
        <w:jc w:val="both"/>
        <w:rPr>
          <w:rFonts w:ascii="Times New Roman" w:hAnsi="Times New Roman" w:cs="Times New Roman"/>
          <w:b/>
          <w:sz w:val="40"/>
          <w:szCs w:val="40"/>
        </w:rPr>
      </w:pPr>
    </w:p>
    <w:p w:rsidR="00A4662D" w:rsidRPr="00A4662D" w:rsidRDefault="00A4662D" w:rsidP="00A502D0">
      <w:pPr>
        <w:jc w:val="both"/>
        <w:rPr>
          <w:rFonts w:ascii="Times New Roman" w:hAnsi="Times New Roman" w:cs="Times New Roman"/>
          <w:sz w:val="32"/>
          <w:szCs w:val="32"/>
        </w:rPr>
      </w:pPr>
      <w:r w:rsidRPr="00A4662D">
        <w:rPr>
          <w:rFonts w:ascii="Times New Roman" w:hAnsi="Times New Roman" w:cs="Times New Roman"/>
          <w:sz w:val="32"/>
          <w:szCs w:val="32"/>
        </w:rPr>
        <w:t>We are able to provide our customers with the essential expertise and insight into the Indian market in order to help them build and grow their businesses. We provide our clients the ability to structure their enterprises in India through our complete taxation services.</w:t>
      </w:r>
      <w:r w:rsidR="003D3AAE">
        <w:rPr>
          <w:rFonts w:ascii="Times New Roman" w:hAnsi="Times New Roman" w:cs="Times New Roman"/>
          <w:sz w:val="32"/>
          <w:szCs w:val="32"/>
        </w:rPr>
        <w:t xml:space="preserve"> Along with the taxation services, we also provide </w:t>
      </w:r>
      <w:proofErr w:type="spellStart"/>
      <w:r w:rsidR="003D3AAE">
        <w:rPr>
          <w:rFonts w:ascii="Times New Roman" w:hAnsi="Times New Roman" w:cs="Times New Roman"/>
          <w:sz w:val="32"/>
          <w:szCs w:val="32"/>
        </w:rPr>
        <w:t>startup</w:t>
      </w:r>
      <w:proofErr w:type="spellEnd"/>
      <w:r w:rsidR="003D3AAE">
        <w:rPr>
          <w:rFonts w:ascii="Times New Roman" w:hAnsi="Times New Roman" w:cs="Times New Roman"/>
          <w:sz w:val="32"/>
          <w:szCs w:val="32"/>
        </w:rPr>
        <w:t xml:space="preserve"> mentoring services.</w:t>
      </w:r>
      <w:bookmarkStart w:id="0" w:name="_GoBack"/>
      <w:bookmarkEnd w:id="0"/>
    </w:p>
    <w:p w:rsidR="00A502D0" w:rsidRDefault="00A502D0" w:rsidP="00A502D0">
      <w:pPr>
        <w:jc w:val="both"/>
        <w:rPr>
          <w:rFonts w:ascii="Times New Roman" w:hAnsi="Times New Roman" w:cs="Times New Roman"/>
          <w:b/>
          <w:sz w:val="40"/>
          <w:szCs w:val="40"/>
        </w:rPr>
      </w:pPr>
    </w:p>
    <w:p w:rsidR="00A502D0" w:rsidRPr="00A502D0" w:rsidRDefault="00A502D0" w:rsidP="00A502D0">
      <w:pPr>
        <w:jc w:val="both"/>
        <w:rPr>
          <w:rFonts w:ascii="Times New Roman" w:hAnsi="Times New Roman" w:cs="Times New Roman"/>
          <w:sz w:val="32"/>
          <w:szCs w:val="32"/>
        </w:rPr>
      </w:pPr>
      <w:r w:rsidRPr="00A502D0">
        <w:rPr>
          <w:rFonts w:ascii="Times New Roman" w:hAnsi="Times New Roman" w:cs="Times New Roman"/>
          <w:b/>
          <w:sz w:val="32"/>
          <w:szCs w:val="32"/>
        </w:rPr>
        <w:t xml:space="preserve">Planning and Advisory - </w:t>
      </w:r>
      <w:r w:rsidRPr="00A502D0">
        <w:rPr>
          <w:rFonts w:ascii="Times New Roman" w:hAnsi="Times New Roman" w:cs="Times New Roman"/>
          <w:sz w:val="32"/>
          <w:szCs w:val="32"/>
        </w:rPr>
        <w:t>We are monitoring the overall tax strategy, taking into account the evolving dynamics of Indian tax legislation. We look at your business and inter-business contracts, establish tax management positions and risk mitigation strategies, demonstrate due diligence in tax matters and undertake a tax efficiency analysis of your transactions.</w:t>
      </w:r>
      <w:r w:rsidR="00EC0222">
        <w:rPr>
          <w:rFonts w:ascii="Times New Roman" w:hAnsi="Times New Roman" w:cs="Times New Roman"/>
          <w:sz w:val="32"/>
          <w:szCs w:val="32"/>
        </w:rPr>
        <w:br/>
      </w:r>
    </w:p>
    <w:p w:rsidR="00A502D0" w:rsidRDefault="00A502D0" w:rsidP="00A502D0">
      <w:pPr>
        <w:jc w:val="both"/>
        <w:rPr>
          <w:rFonts w:ascii="Times New Roman" w:hAnsi="Times New Roman" w:cs="Times New Roman"/>
          <w:sz w:val="32"/>
          <w:szCs w:val="32"/>
        </w:rPr>
      </w:pPr>
      <w:r w:rsidRPr="00432C4E">
        <w:rPr>
          <w:rFonts w:ascii="Times New Roman" w:hAnsi="Times New Roman" w:cs="Times New Roman"/>
          <w:b/>
          <w:sz w:val="32"/>
          <w:szCs w:val="32"/>
        </w:rPr>
        <w:t>Cross Border Taxation</w:t>
      </w:r>
      <w:r w:rsidRPr="00432C4E">
        <w:rPr>
          <w:rFonts w:ascii="Times New Roman" w:hAnsi="Times New Roman" w:cs="Times New Roman"/>
          <w:sz w:val="32"/>
          <w:szCs w:val="32"/>
        </w:rPr>
        <w:t xml:space="preserve"> - We advise on the implementation of tax-advantageous holding structures, business models that mitigate the risk of permanent establishment, help with tax efficiency funds repatriation and enhance cash flows by obtaining fewer withholding tax certificates and advance rulings from Indian tax authorities.</w:t>
      </w:r>
    </w:p>
    <w:p w:rsidR="00EC0222" w:rsidRDefault="00EC0222" w:rsidP="00A502D0">
      <w:pPr>
        <w:jc w:val="both"/>
        <w:rPr>
          <w:rFonts w:ascii="Times New Roman" w:hAnsi="Times New Roman" w:cs="Times New Roman"/>
          <w:sz w:val="32"/>
          <w:szCs w:val="32"/>
        </w:rPr>
      </w:pPr>
    </w:p>
    <w:p w:rsidR="00432C4E" w:rsidRDefault="00432C4E" w:rsidP="00A502D0">
      <w:pPr>
        <w:jc w:val="both"/>
        <w:rPr>
          <w:rFonts w:ascii="Times New Roman" w:hAnsi="Times New Roman" w:cs="Times New Roman"/>
          <w:sz w:val="32"/>
          <w:szCs w:val="32"/>
        </w:rPr>
      </w:pPr>
      <w:r w:rsidRPr="00432C4E">
        <w:rPr>
          <w:rFonts w:ascii="Times New Roman" w:hAnsi="Times New Roman" w:cs="Times New Roman"/>
          <w:b/>
          <w:sz w:val="32"/>
          <w:szCs w:val="32"/>
        </w:rPr>
        <w:t>Transfer Pricing</w:t>
      </w:r>
      <w:r>
        <w:rPr>
          <w:rFonts w:ascii="Times New Roman" w:hAnsi="Times New Roman" w:cs="Times New Roman"/>
          <w:sz w:val="32"/>
          <w:szCs w:val="32"/>
        </w:rPr>
        <w:t xml:space="preserve"> - </w:t>
      </w:r>
      <w:r w:rsidRPr="00432C4E">
        <w:rPr>
          <w:rFonts w:ascii="Times New Roman" w:hAnsi="Times New Roman" w:cs="Times New Roman"/>
          <w:sz w:val="32"/>
          <w:szCs w:val="32"/>
        </w:rPr>
        <w:t>We review, develop and administer a robust transfer pricing po</w:t>
      </w:r>
      <w:r>
        <w:rPr>
          <w:rFonts w:ascii="Times New Roman" w:hAnsi="Times New Roman" w:cs="Times New Roman"/>
          <w:sz w:val="32"/>
          <w:szCs w:val="32"/>
        </w:rPr>
        <w:t xml:space="preserve">licy and compile documentation </w:t>
      </w:r>
      <w:r w:rsidRPr="00432C4E">
        <w:rPr>
          <w:rFonts w:ascii="Times New Roman" w:hAnsi="Times New Roman" w:cs="Times New Roman"/>
          <w:sz w:val="32"/>
          <w:szCs w:val="32"/>
        </w:rPr>
        <w:t xml:space="preserve">to match your overall transfer pricing approach that also adheres to BEPS </w:t>
      </w:r>
      <w:r w:rsidRPr="00432C4E">
        <w:rPr>
          <w:rFonts w:ascii="Times New Roman" w:hAnsi="Times New Roman" w:cs="Times New Roman"/>
          <w:sz w:val="32"/>
          <w:szCs w:val="32"/>
        </w:rPr>
        <w:lastRenderedPageBreak/>
        <w:t>guidelines.We regularly assist our clients with the Advance Transfer Pricing Program (APA), Safe Closure, and to respond to new documentation and reporting requirements viz. "</w:t>
      </w:r>
      <w:proofErr w:type="spellStart"/>
      <w:r w:rsidRPr="00432C4E">
        <w:rPr>
          <w:rFonts w:ascii="Times New Roman" w:hAnsi="Times New Roman" w:cs="Times New Roman"/>
          <w:sz w:val="32"/>
          <w:szCs w:val="32"/>
        </w:rPr>
        <w:t>CbCR</w:t>
      </w:r>
      <w:proofErr w:type="spellEnd"/>
      <w:r w:rsidRPr="00432C4E">
        <w:rPr>
          <w:rFonts w:ascii="Times New Roman" w:hAnsi="Times New Roman" w:cs="Times New Roman"/>
          <w:sz w:val="32"/>
          <w:szCs w:val="32"/>
        </w:rPr>
        <w:t>" country-by-country report and master file.</w:t>
      </w:r>
    </w:p>
    <w:p w:rsidR="00EC0222" w:rsidRPr="00432C4E" w:rsidRDefault="00EC0222" w:rsidP="00A502D0">
      <w:pPr>
        <w:jc w:val="both"/>
        <w:rPr>
          <w:rFonts w:ascii="Times New Roman" w:hAnsi="Times New Roman" w:cs="Times New Roman"/>
          <w:sz w:val="32"/>
          <w:szCs w:val="32"/>
        </w:rPr>
      </w:pPr>
    </w:p>
    <w:p w:rsidR="00A502D0" w:rsidRDefault="00432C4E" w:rsidP="00A502D0">
      <w:pPr>
        <w:jc w:val="both"/>
        <w:rPr>
          <w:rFonts w:ascii="Times New Roman" w:hAnsi="Times New Roman" w:cs="Times New Roman"/>
          <w:sz w:val="36"/>
          <w:szCs w:val="36"/>
        </w:rPr>
      </w:pPr>
      <w:r w:rsidRPr="00432C4E">
        <w:rPr>
          <w:rFonts w:ascii="Times New Roman" w:hAnsi="Times New Roman" w:cs="Times New Roman"/>
          <w:b/>
          <w:sz w:val="36"/>
          <w:szCs w:val="36"/>
        </w:rPr>
        <w:t>Expatriate and HNIs</w:t>
      </w:r>
      <w:r>
        <w:rPr>
          <w:rFonts w:ascii="Times New Roman" w:hAnsi="Times New Roman" w:cs="Times New Roman"/>
          <w:sz w:val="36"/>
          <w:szCs w:val="36"/>
        </w:rPr>
        <w:t xml:space="preserve">- </w:t>
      </w:r>
      <w:r w:rsidRPr="00432C4E">
        <w:rPr>
          <w:rFonts w:ascii="Times New Roman" w:hAnsi="Times New Roman" w:cs="Times New Roman"/>
          <w:sz w:val="36"/>
          <w:szCs w:val="36"/>
        </w:rPr>
        <w:t>We have developed specific competencies within HNIs and managed international staffing, i.e. developing tax-friendly compensation packages, advising on social security obligations, developing and manage stock options, obtain no-objection certificates, and file taxes.</w:t>
      </w:r>
    </w:p>
    <w:p w:rsidR="00EC0222" w:rsidRDefault="00EC0222" w:rsidP="00A502D0">
      <w:pPr>
        <w:jc w:val="both"/>
        <w:rPr>
          <w:rFonts w:ascii="Times New Roman" w:hAnsi="Times New Roman" w:cs="Times New Roman"/>
          <w:sz w:val="36"/>
          <w:szCs w:val="36"/>
        </w:rPr>
      </w:pPr>
    </w:p>
    <w:p w:rsidR="00EC0222" w:rsidRDefault="00EC0222" w:rsidP="00A502D0">
      <w:pPr>
        <w:jc w:val="both"/>
        <w:rPr>
          <w:rFonts w:ascii="Times New Roman" w:hAnsi="Times New Roman" w:cs="Times New Roman"/>
          <w:sz w:val="36"/>
          <w:szCs w:val="36"/>
        </w:rPr>
      </w:pPr>
      <w:r w:rsidRPr="00EC0222">
        <w:rPr>
          <w:rFonts w:ascii="Times New Roman" w:hAnsi="Times New Roman" w:cs="Times New Roman"/>
          <w:b/>
          <w:sz w:val="36"/>
          <w:szCs w:val="36"/>
        </w:rPr>
        <w:t>Indirect Taxation</w:t>
      </w:r>
      <w:r>
        <w:rPr>
          <w:rFonts w:ascii="Times New Roman" w:hAnsi="Times New Roman" w:cs="Times New Roman"/>
          <w:sz w:val="36"/>
          <w:szCs w:val="36"/>
        </w:rPr>
        <w:t xml:space="preserve"> - </w:t>
      </w:r>
      <w:r w:rsidRPr="00EC0222">
        <w:rPr>
          <w:rFonts w:ascii="Times New Roman" w:hAnsi="Times New Roman" w:cs="Times New Roman"/>
          <w:sz w:val="36"/>
          <w:szCs w:val="36"/>
        </w:rPr>
        <w:t xml:space="preserve">Through our presence at PAN India, we assist with regulatory compliance and provide advice on important matters related to Goods and Services Tax (GST) and other taxes state and local. </w:t>
      </w:r>
      <w:r>
        <w:rPr>
          <w:rFonts w:ascii="Times New Roman" w:hAnsi="Times New Roman" w:cs="Times New Roman"/>
          <w:sz w:val="36"/>
          <w:szCs w:val="36"/>
        </w:rPr>
        <w:t xml:space="preserve">We advise on the impact of GST </w:t>
      </w:r>
      <w:r w:rsidRPr="00EC0222">
        <w:rPr>
          <w:rFonts w:ascii="Times New Roman" w:hAnsi="Times New Roman" w:cs="Times New Roman"/>
          <w:sz w:val="36"/>
          <w:szCs w:val="36"/>
        </w:rPr>
        <w:t xml:space="preserve">on transaction issues, cross-border transactions, </w:t>
      </w:r>
      <w:proofErr w:type="gramStart"/>
      <w:r w:rsidRPr="00EC0222">
        <w:rPr>
          <w:rFonts w:ascii="Times New Roman" w:hAnsi="Times New Roman" w:cs="Times New Roman"/>
          <w:sz w:val="36"/>
          <w:szCs w:val="36"/>
        </w:rPr>
        <w:t>tax</w:t>
      </w:r>
      <w:proofErr w:type="gramEnd"/>
      <w:r w:rsidRPr="00EC0222">
        <w:rPr>
          <w:rFonts w:ascii="Times New Roman" w:hAnsi="Times New Roman" w:cs="Times New Roman"/>
          <w:sz w:val="36"/>
          <w:szCs w:val="36"/>
        </w:rPr>
        <w:t xml:space="preserve"> classification and transaction structure to achieve tax efficiency.</w:t>
      </w:r>
    </w:p>
    <w:p w:rsidR="00EC0222" w:rsidRDefault="00EC0222" w:rsidP="00A502D0">
      <w:pPr>
        <w:jc w:val="both"/>
        <w:rPr>
          <w:rFonts w:ascii="Times New Roman" w:hAnsi="Times New Roman" w:cs="Times New Roman"/>
          <w:sz w:val="36"/>
          <w:szCs w:val="36"/>
        </w:rPr>
      </w:pPr>
    </w:p>
    <w:p w:rsidR="00EC0222" w:rsidRPr="00EC0222" w:rsidRDefault="00EC0222" w:rsidP="00A502D0">
      <w:pPr>
        <w:jc w:val="both"/>
        <w:rPr>
          <w:rFonts w:ascii="Times New Roman" w:hAnsi="Times New Roman" w:cs="Times New Roman"/>
          <w:sz w:val="36"/>
          <w:szCs w:val="36"/>
        </w:rPr>
      </w:pPr>
      <w:r w:rsidRPr="00EC0222">
        <w:rPr>
          <w:rFonts w:ascii="Times New Roman" w:hAnsi="Times New Roman" w:cs="Times New Roman"/>
          <w:b/>
          <w:sz w:val="36"/>
          <w:szCs w:val="36"/>
        </w:rPr>
        <w:t>Representation and Dispute Resolution</w:t>
      </w:r>
      <w:r>
        <w:rPr>
          <w:rFonts w:ascii="Times New Roman" w:hAnsi="Times New Roman" w:cs="Times New Roman"/>
          <w:sz w:val="36"/>
          <w:szCs w:val="36"/>
        </w:rPr>
        <w:t xml:space="preserve">- </w:t>
      </w:r>
      <w:r w:rsidRPr="00EC0222">
        <w:rPr>
          <w:rFonts w:ascii="Times New Roman" w:hAnsi="Times New Roman" w:cs="Times New Roman"/>
          <w:sz w:val="36"/>
          <w:szCs w:val="36"/>
        </w:rPr>
        <w:t>Our teams proactively manage risks and avoid conflicts with India's tax or appellate authority. Our administrator-led represen</w:t>
      </w:r>
      <w:r>
        <w:rPr>
          <w:rFonts w:ascii="Times New Roman" w:hAnsi="Times New Roman" w:cs="Times New Roman"/>
          <w:sz w:val="36"/>
          <w:szCs w:val="36"/>
        </w:rPr>
        <w:t xml:space="preserve">tatives assist with the entire </w:t>
      </w:r>
      <w:r w:rsidRPr="00EC0222">
        <w:rPr>
          <w:rFonts w:ascii="Times New Roman" w:hAnsi="Times New Roman" w:cs="Times New Roman"/>
          <w:sz w:val="36"/>
          <w:szCs w:val="36"/>
        </w:rPr>
        <w:t>tax litigation cycle, i.e. drafting and submitting responses/appeals, appearing before the first revenue/appeals o</w:t>
      </w:r>
      <w:r>
        <w:rPr>
          <w:rFonts w:ascii="Times New Roman" w:hAnsi="Times New Roman" w:cs="Times New Roman"/>
          <w:sz w:val="36"/>
          <w:szCs w:val="36"/>
        </w:rPr>
        <w:t>fficer, and providing support. A</w:t>
      </w:r>
      <w:r w:rsidRPr="00EC0222">
        <w:rPr>
          <w:rFonts w:ascii="Times New Roman" w:hAnsi="Times New Roman" w:cs="Times New Roman"/>
          <w:sz w:val="36"/>
          <w:szCs w:val="36"/>
        </w:rPr>
        <w:t>ssist senior lawyers to represent before the court.</w:t>
      </w:r>
    </w:p>
    <w:p w:rsidR="00A502D0" w:rsidRPr="00A502D0" w:rsidRDefault="00A502D0" w:rsidP="00A502D0">
      <w:pPr>
        <w:jc w:val="both"/>
        <w:rPr>
          <w:rFonts w:ascii="Times New Roman" w:hAnsi="Times New Roman" w:cs="Times New Roman"/>
          <w:sz w:val="36"/>
          <w:szCs w:val="36"/>
        </w:rPr>
      </w:pPr>
    </w:p>
    <w:sectPr w:rsidR="00A502D0" w:rsidRPr="00A502D0" w:rsidSect="00BD30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A502D0"/>
    <w:rsid w:val="00256345"/>
    <w:rsid w:val="002920D4"/>
    <w:rsid w:val="003D3AAE"/>
    <w:rsid w:val="00432C4E"/>
    <w:rsid w:val="004A5B64"/>
    <w:rsid w:val="00A4662D"/>
    <w:rsid w:val="00A502D0"/>
    <w:rsid w:val="00BD3060"/>
    <w:rsid w:val="00EC0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DBC12F-7BF6-4267-9133-6B88887EA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30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2022-04-26T05:56:00Z</dcterms:created>
  <dcterms:modified xsi:type="dcterms:W3CDTF">2022-04-29T08:17:00Z</dcterms:modified>
</cp:coreProperties>
</file>