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POLITECNICO DI MILANO</w:t>
      </w:r>
    </w:p>
    <w:p>
      <w:pPr>
        <w:jc w:val="center"/>
      </w:pPr>
      <w:r>
        <w:rPr>
          <w:rFonts w:ascii="Times New Roman" w:hAnsi="Times New Roman"/>
          <w:sz w:val="28"/>
        </w:rPr>
        <w:t>School of Management Engineering</w:t>
      </w:r>
    </w:p>
    <w:p/>
    <w:p>
      <w:pPr>
        <w:jc w:val="center"/>
      </w:pPr>
      <w:r>
        <w:rPr>
          <w:rFonts w:ascii="Times New Roman" w:hAnsi="Times New Roman"/>
          <w:sz w:val="26"/>
        </w:rPr>
        <w:t>Master of Science in Management Engineering</w:t>
      </w:r>
    </w:p>
    <w:p/>
    <w:p/>
    <w:p/>
    <w:p>
      <w:pPr>
        <w:jc w:val="center"/>
      </w:pPr>
      <w:r>
        <w:rPr>
          <w:rFonts w:ascii="Times New Roman" w:hAnsi="Times New Roman"/>
          <w:b/>
          <w:sz w:val="36"/>
        </w:rPr>
        <w:t>Decentralised Applications in Focus:</w:t>
        <w:br/>
        <w:t>Governance, Market Structure, and Adoption Patterns</w:t>
      </w:r>
    </w:p>
    <w:p/>
    <w:p/>
    <w:p/>
    <w:p>
      <w:pPr>
        <w:jc w:val="center"/>
      </w:pPr>
      <w:r>
        <w:rPr>
          <w:rFonts w:ascii="Times New Roman" w:hAnsi="Times New Roman"/>
          <w:sz w:val="24"/>
        </w:rPr>
        <w:t>Thesis presented for the degree of</w:t>
        <w:br/>
        <w:t>Master of Science in Management Engineering</w:t>
      </w:r>
    </w:p>
    <w:p/>
    <w:p/>
    <w:p>
      <w:pPr>
        <w:jc w:val="center"/>
      </w:pPr>
      <w:r>
        <w:rPr>
          <w:rFonts w:ascii="Times New Roman" w:hAnsi="Times New Roman"/>
          <w:sz w:val="24"/>
        </w:rPr>
        <w:t>Written by</w:t>
        <w:br/>
        <w:t>Kristian Kremenov Kirilov</w:t>
        <w:br/>
        <w:t>Student ID: 10855006</w:t>
      </w:r>
    </w:p>
    <w:p/>
    <w:p>
      <w:pPr>
        <w:jc w:val="center"/>
      </w:pPr>
      <w:r>
        <w:rPr>
          <w:rFonts w:ascii="Times New Roman" w:hAnsi="Times New Roman"/>
          <w:sz w:val="24"/>
        </w:rPr>
        <w:t>Academic Year: 2024–2025</w:t>
      </w:r>
    </w:p>
    <w:p>
      <w:r>
        <w:br w:type="page"/>
      </w:r>
    </w:p>
    <w:p>
      <w:pPr>
        <w:pStyle w:val="Heading1"/>
      </w:pPr>
      <w:r>
        <w:t>Table of Contents</w:t>
      </w:r>
    </w:p>
    <w:p>
      <w:r>
        <w:rPr>
          <w:i/>
          <w:color w:val="808080"/>
        </w:rPr>
        <w:t>[Table of Contents will be generated automatically in Word. Right-click here and select 'Update Field' after opening in Word.]</w:t>
      </w:r>
    </w:p>
    <w:p>
      <w:r>
        <w:br w:type="page"/>
      </w:r>
    </w:p>
    <w:p>
      <w:pPr>
        <w:pStyle w:val="Heading1"/>
      </w:pPr>
      <w:r>
        <w:t>Abstract</w:t>
      </w:r>
    </w:p>
    <w:p>
      <w:pPr>
        <w:pStyle w:val="Heading2"/>
      </w:pPr>
      <w:r>
        <w:t>Decentralised Applications in Focus: Governance, Market Structure, and Adoption Patterns</w:t>
      </w:r>
    </w:p>
    <w:p>
      <w:r>
        <w:rPr>
          <w:b/>
        </w:rPr>
        <w:t>Institution:</w:t>
      </w:r>
      <w:r>
        <w:t xml:space="preserve"> Politecnico di Milano </w:t>
      </w:r>
      <w:r>
        <w:rPr>
          <w:b/>
        </w:rPr>
        <w:t>Programme:</w:t>
      </w:r>
      <w:r>
        <w:t xml:space="preserve"> Master of Science — Digital Innovation Observatory, Blockchain </w:t>
      </w:r>
      <w:r>
        <w:rPr>
          <w:b/>
        </w:rPr>
        <w:t>Academic Year:</w:t>
      </w:r>
      <w:r>
        <w:t xml:space="preserve"> 2024–2025</w:t>
      </w:r>
    </w:p>
    <w:p>
      <w:pPr>
        <w:pStyle w:val="Heading2"/>
      </w:pPr>
      <w:r>
        <w:t>Abstract (English) · 300–400 words</w:t>
      </w:r>
    </w:p>
    <w:p>
      <w:r>
        <w:t>This thesis presents a large-scale empirical analysis of the decentralised application (DApp) ecosystem, addressing a critical gap in the literature: the absence of cross-sector, multi-chain, large-N studies that benchmark governance claims against observable economic and adoption data.</w:t>
      </w:r>
    </w:p>
    <w:p>
      <w:r>
        <w:t xml:space="preserve">The analysis draws on a dataset of </w:t>
      </w:r>
      <w:r>
        <w:rPr>
          <w:b/>
        </w:rPr>
        <w:t>855 DApps</w:t>
      </w:r>
      <w:r>
        <w:t xml:space="preserve"> spanning </w:t>
      </w:r>
      <w:r>
        <w:rPr>
          <w:b/>
        </w:rPr>
        <w:t>77 blockchains</w:t>
      </w:r>
      <w:r>
        <w:t xml:space="preserve">, constructed from DappRadar's top-500 unique active wallet (UAW) rankings, supplemented by manual additions, and enriched with market, governance, and usage metrics collected in November 2025. The dataset covers </w:t>
      </w:r>
      <w:r>
        <w:rPr>
          <w:b/>
        </w:rPr>
        <w:t>48 variables</w:t>
      </w:r>
      <w:r>
        <w:t xml:space="preserve"> per application, including governance type, ownership status, decentralisation score, market capitalisation, trading volume, total value locked (TVL), and user activity.</w:t>
      </w:r>
    </w:p>
    <w:p>
      <w:r>
        <w:rPr>
          <w:b/>
        </w:rPr>
        <w:t>Key results:</w:t>
      </w:r>
    </w:p>
    <w:p>
      <w:pPr>
        <w:pStyle w:val="ListBullet"/>
      </w:pPr>
      <w:r>
        <w:t xml:space="preserve">Only </w:t>
      </w:r>
      <w:r>
        <w:rPr>
          <w:b/>
        </w:rPr>
        <w:t>13.2%</w:t>
      </w:r>
      <w:r>
        <w:t xml:space="preserve"> of DApps in the strict analytical sample (N=68) qualify as fully decentralised under the composite governance score, despite the majority operating on decentralised blockchain infrastructure</w:t>
      </w:r>
    </w:p>
    <w:p>
      <w:pPr>
        <w:pStyle w:val="ListBullet"/>
      </w:pPr>
      <w:r>
        <w:t xml:space="preserve">The </w:t>
      </w:r>
      <w:r>
        <w:rPr>
          <w:b/>
        </w:rPr>
        <w:t>top 10 DApps</w:t>
      </w:r>
      <w:r>
        <w:t xml:space="preserve"> account for </w:t>
      </w:r>
      <w:r>
        <w:rPr>
          <w:b/>
        </w:rPr>
        <w:t>80.5%</w:t>
      </w:r>
      <w:r>
        <w:t xml:space="preserve"> of total market capitalisation and </w:t>
      </w:r>
      <w:r>
        <w:rPr>
          <w:b/>
        </w:rPr>
        <w:t>90.1%</w:t>
      </w:r>
      <w:r>
        <w:t xml:space="preserve"> of user activity in the strict sample, demonstrating winner-takes-most concentration characteristic of Web2 platform markets</w:t>
      </w:r>
    </w:p>
    <w:p>
      <w:pPr>
        <w:pStyle w:val="ListBullet"/>
      </w:pPr>
      <w:r>
        <w:rPr>
          <w:b/>
        </w:rPr>
        <w:t>70.6%</w:t>
      </w:r>
      <w:r>
        <w:t xml:space="preserve"> of DApps in the strict sample are deployed across multiple blockchains; multichain DApps show a 1.3× premium in adoption metrics</w:t>
      </w:r>
    </w:p>
    <w:p>
      <w:pPr>
        <w:pStyle w:val="ListBullet"/>
      </w:pPr>
      <w:r>
        <w:t>DeFi protocols dominate by economic value (57.4% of strict sample; $299.1B in trading volume), while Gaming DApps lead by raw user counts (12.67M unique active wallets) but at dramatically lower per-user economic value</w:t>
      </w:r>
    </w:p>
    <w:p>
      <w:pPr>
        <w:pStyle w:val="ListBullet"/>
      </w:pPr>
      <w:r>
        <w:t>Governance label is not a reliable predictor of decentralisation score, market capitalisation, or adoption performance</w:t>
      </w:r>
    </w:p>
    <w:p>
      <w:r>
        <w:t>These findings have implications for governance design, investor due diligence, regulatory classification of governance tokens, and the construction of DApp ecosystem indices. The thesis contributes an empirical benchmark methodology for measuring multi-source DApp characteristics at scale.</w:t>
      </w:r>
    </w:p>
    <w:p>
      <w:pPr>
        <w:pStyle w:val="Heading2"/>
      </w:pPr>
      <w:r>
        <w:t>Sommario (Italian Abstract) · 300–400 words</w:t>
      </w:r>
    </w:p>
    <w:p>
      <w:r>
        <w:t>Questa tesi presenta un'analisi empirica su larga scala dell'ecosistema delle applicazioni decentralizzate (DApp), affrontando una lacuna critica nella letteratura: l'assenza di studi cross-settoriali, multi-chain e ad ampio campione che confrontino le dichiarazioni di governance con dati economici e di adozione osservabili.</w:t>
      </w:r>
    </w:p>
    <w:p>
      <w:r>
        <w:t xml:space="preserve">L'analisi si basa su un dataset di </w:t>
      </w:r>
      <w:r>
        <w:rPr>
          <w:b/>
        </w:rPr>
        <w:t>855 DApp</w:t>
      </w:r>
      <w:r>
        <w:t xml:space="preserve"> distribuite su </w:t>
      </w:r>
      <w:r>
        <w:rPr>
          <w:b/>
        </w:rPr>
        <w:t>77 blockchain</w:t>
      </w:r>
      <w:r>
        <w:t xml:space="preserve">, costruito a partire dalla classifica top-500 di DappRadar per unique active wallet (UAW), integrato con aggiunte manuali e arricchito con metriche di mercato, governance e utilizzo raccolte nel novembre 2025. Il dataset comprende </w:t>
      </w:r>
      <w:r>
        <w:rPr>
          <w:b/>
        </w:rPr>
        <w:t>48 variabili</w:t>
      </w:r>
      <w:r>
        <w:t xml:space="preserve"> per applicazione, tra cui tipo di governance, struttura proprietaria, punteggio di decentralizzazione, capitalizzazione di mercato, volume di scambio, total value locked (TVL) e attività degli utenti.</w:t>
      </w:r>
    </w:p>
    <w:p>
      <w:r>
        <w:rPr>
          <w:b/>
        </w:rPr>
        <w:t>Risultati principali:</w:t>
      </w:r>
    </w:p>
    <w:p>
      <w:pPr>
        <w:pStyle w:val="ListBullet"/>
      </w:pPr>
      <w:r>
        <w:t xml:space="preserve">Solo il </w:t>
      </w:r>
      <w:r>
        <w:rPr>
          <w:b/>
        </w:rPr>
        <w:t>13,2%</w:t>
      </w:r>
      <w:r>
        <w:t xml:space="preserve"> delle DApp nel campione analitico stretto (N=68) risulta pienamente decentralizzato secondo il punteggio composito di governance, nonostante la maggior parte operi su infrastruttura blockchain decentralizzata</w:t>
      </w:r>
    </w:p>
    <w:p>
      <w:pPr>
        <w:pStyle w:val="ListBullet"/>
      </w:pPr>
      <w:r>
        <w:t xml:space="preserve">Le </w:t>
      </w:r>
      <w:r>
        <w:rPr>
          <w:b/>
        </w:rPr>
        <w:t>prime 10 DApp</w:t>
      </w:r>
      <w:r>
        <w:t xml:space="preserve"> rappresentano l'</w:t>
      </w:r>
      <w:r>
        <w:rPr>
          <w:b/>
        </w:rPr>
        <w:t>80,5%</w:t>
      </w:r>
      <w:r>
        <w:t xml:space="preserve"> della capitalizzazione di mercato totale e il </w:t>
      </w:r>
      <w:r>
        <w:rPr>
          <w:b/>
        </w:rPr>
        <w:t>90,1%</w:t>
      </w:r>
      <w:r>
        <w:t xml:space="preserve"> dell'attività degli utenti nel campione stretto, evidenziando dinamiche di concentrazione "winner-takes-most" tipiche dei mercati platform di Web2</w:t>
      </w:r>
    </w:p>
    <w:p>
      <w:pPr>
        <w:pStyle w:val="ListBullet"/>
      </w:pPr>
      <w:r>
        <w:t xml:space="preserve">Il </w:t>
      </w:r>
      <w:r>
        <w:rPr>
          <w:b/>
        </w:rPr>
        <w:t>70,6%</w:t>
      </w:r>
      <w:r>
        <w:t xml:space="preserve"> delle DApp nel campione stretto è distribuito su più blockchain; le DApp multi-chain mostrano un premio del 1,3× nelle metriche di adozione</w:t>
      </w:r>
    </w:p>
    <w:p>
      <w:pPr>
        <w:pStyle w:val="ListBullet"/>
      </w:pPr>
      <w:r>
        <w:t>I protocolli DeFi dominano per valore economico (57,4% del campione stretto; $299,1 miliardi di volume), mentre le DApp Gaming guidano per numero grezzo di utenti (12,67 milioni di unique active wallet) ma con un valore economico per utente significativamente inferiore</w:t>
      </w:r>
    </w:p>
    <w:p>
      <w:pPr>
        <w:pStyle w:val="ListBullet"/>
      </w:pPr>
      <w:r>
        <w:t>Il label di governance non è un predittore affidabile del punteggio di decentralizzazione, della capitalizzazione di mercato o delle performance di adozione</w:t>
      </w:r>
    </w:p>
    <w:p>
      <w:r>
        <w:t>Questi risultati hanno implicazioni per la progettazione della governance, la due diligence degli investitori, la classificazione regolamentare dei governance token e la costruzione di indici dell'ecosistema DApp. La tesi contribuisce una metodologia di benchmark empirico per la misurazione di caratteristiche DApp multi-fonte su larga scala.</w:t>
      </w:r>
    </w:p>
    <w:p>
      <w:r>
        <w:br w:type="page"/>
      </w:r>
    </w:p>
    <w:p>
      <w:pPr>
        <w:pStyle w:val="Heading1"/>
      </w:pPr>
      <w:r>
        <w:t>List of Figures</w:t>
      </w:r>
    </w:p>
    <w:p>
      <w:r>
        <w:rPr>
          <w:b/>
          <w:sz w:val="22"/>
        </w:rPr>
        <w:t xml:space="preserve">Figure 3.1: </w:t>
      </w:r>
      <w:r>
        <w:rPr>
          <w:sz w:val="22"/>
        </w:rPr>
        <w:t>Data collection and linkage pipeline</w:t>
      </w:r>
    </w:p>
    <w:p>
      <w:r>
        <w:rPr>
          <w:b/>
          <w:sz w:val="22"/>
        </w:rPr>
        <w:t xml:space="preserve">Figure 3.2: </w:t>
      </w:r>
      <w:r>
        <w:rPr>
          <w:sz w:val="22"/>
        </w:rPr>
        <w:t>Sample construction funnel</w:t>
      </w:r>
    </w:p>
    <w:p>
      <w:r>
        <w:rPr>
          <w:b/>
          <w:sz w:val="22"/>
        </w:rPr>
        <w:t xml:space="preserve">Figure 4.1: </w:t>
      </w:r>
      <w:r>
        <w:rPr>
          <w:sz w:val="22"/>
        </w:rPr>
        <w:t>Governance label distribution — loose universe (N=834)</w:t>
      </w:r>
    </w:p>
    <w:p>
      <w:r>
        <w:rPr>
          <w:b/>
          <w:sz w:val="22"/>
        </w:rPr>
        <w:t xml:space="preserve">Figure 4.2: </w:t>
      </w:r>
      <w:r>
        <w:rPr>
          <w:sz w:val="22"/>
        </w:rPr>
        <w:t>Governance × ownership heatmap — loose backtest universe (N=834)</w:t>
      </w:r>
    </w:p>
    <w:p>
      <w:r>
        <w:rPr>
          <w:b/>
          <w:sz w:val="22"/>
        </w:rPr>
        <w:t xml:space="preserve">Figure 4.3: </w:t>
      </w:r>
      <w:r>
        <w:rPr>
          <w:sz w:val="22"/>
        </w:rPr>
        <w:t>Governance × token type heatmap — loose backtest universe (N=834)</w:t>
      </w:r>
    </w:p>
    <w:p>
      <w:r>
        <w:rPr>
          <w:b/>
          <w:sz w:val="22"/>
        </w:rPr>
        <w:t xml:space="preserve">Figure 4.4: </w:t>
      </w:r>
      <w:r>
        <w:rPr>
          <w:sz w:val="22"/>
        </w:rPr>
        <w:t>Governance label distribution — strict universe (N=68)</w:t>
      </w:r>
    </w:p>
    <w:p>
      <w:r>
        <w:rPr>
          <w:b/>
          <w:sz w:val="22"/>
        </w:rPr>
        <w:t xml:space="preserve">Figure 4.5: </w:t>
      </w:r>
      <w:r>
        <w:rPr>
          <w:sz w:val="22"/>
        </w:rPr>
        <w:t>Governance × ownership heatmap — strict sample (N=68)</w:t>
      </w:r>
    </w:p>
    <w:p>
      <w:r>
        <w:rPr>
          <w:b/>
          <w:sz w:val="22"/>
        </w:rPr>
        <w:t xml:space="preserve">Figure 4.6: </w:t>
      </w:r>
      <w:r>
        <w:rPr>
          <w:sz w:val="22"/>
        </w:rPr>
        <w:t>Governance type × token type heatmap — strict sample (N=68)</w:t>
      </w:r>
    </w:p>
    <w:p>
      <w:r>
        <w:rPr>
          <w:b/>
          <w:sz w:val="22"/>
        </w:rPr>
        <w:t xml:space="preserve">Figure 4.7: </w:t>
      </w:r>
      <w:r>
        <w:rPr>
          <w:sz w:val="22"/>
        </w:rPr>
        <w:t>Market capitalisation and user concentration — strict sample (N=68)</w:t>
      </w:r>
    </w:p>
    <w:p>
      <w:r>
        <w:rPr>
          <w:b/>
          <w:sz w:val="22"/>
        </w:rPr>
        <w:t xml:space="preserve">Figure 4.8: </w:t>
      </w:r>
      <w:r>
        <w:rPr>
          <w:sz w:val="22"/>
        </w:rPr>
        <w:t>Market dynamics — loose universe comparison (N=834)</w:t>
      </w:r>
    </w:p>
    <w:p>
      <w:r>
        <w:rPr>
          <w:b/>
          <w:sz w:val="22"/>
        </w:rPr>
        <w:t xml:space="preserve">Figure 4.9: </w:t>
      </w:r>
      <w:r>
        <w:rPr>
          <w:sz w:val="22"/>
        </w:rPr>
        <w:t>Top-15 blockchain deployments — strict sample (N=68)</w:t>
      </w:r>
    </w:p>
    <w:p>
      <w:r>
        <w:rPr>
          <w:b/>
          <w:sz w:val="22"/>
        </w:rPr>
        <w:t xml:space="preserve">Figure 4.11: </w:t>
      </w:r>
      <w:r>
        <w:rPr>
          <w:sz w:val="22"/>
        </w:rPr>
        <w:t>Sector-level performance metrics — strict sample (N=68)</w:t>
      </w:r>
    </w:p>
    <w:p>
      <w:r>
        <w:rPr>
          <w:b/>
          <w:sz w:val="22"/>
        </w:rPr>
        <w:t xml:space="preserve">Figure 4.13: </w:t>
      </w:r>
      <w:r>
        <w:rPr>
          <w:sz w:val="22"/>
        </w:rPr>
        <w:t>Governance × ownership heatmap — sector × category cohort</w:t>
      </w:r>
    </w:p>
    <w:p>
      <w:r>
        <w:rPr>
          <w:b/>
          <w:sz w:val="22"/>
        </w:rPr>
        <w:t xml:space="preserve">Figure 4.14: </w:t>
      </w:r>
      <w:r>
        <w:rPr>
          <w:sz w:val="22"/>
        </w:rPr>
        <w:t>Governance × token type heatmap — sector × category cohort</w:t>
      </w:r>
    </w:p>
    <w:p>
      <w:r>
        <w:rPr>
          <w:b/>
          <w:sz w:val="22"/>
        </w:rPr>
        <w:t xml:space="preserve">Figure 4.15: </w:t>
      </w:r>
      <w:r>
        <w:rPr>
          <w:sz w:val="22"/>
        </w:rPr>
        <w:t>Governance label distribution — sector × category cohort</w:t>
      </w:r>
    </w:p>
    <w:p>
      <w:r>
        <w:rPr>
          <w:b/>
          <w:sz w:val="22"/>
        </w:rPr>
        <w:t xml:space="preserve">Figure 5.1: </w:t>
      </w:r>
      <w:r>
        <w:rPr>
          <w:sz w:val="22"/>
        </w:rPr>
        <w:t>Governance type distribution (strict sample, N=68)</w:t>
      </w:r>
    </w:p>
    <w:p>
      <w:r>
        <w:rPr>
          <w:b/>
          <w:sz w:val="22"/>
        </w:rPr>
        <w:t xml:space="preserve">Figure 5.2: </w:t>
      </w:r>
      <w:r>
        <w:rPr>
          <w:sz w:val="22"/>
        </w:rPr>
        <w:t>Market cap and user base concentration (strict sample)</w:t>
      </w:r>
    </w:p>
    <w:p>
      <w:r>
        <w:rPr>
          <w:b/>
          <w:sz w:val="22"/>
        </w:rPr>
        <w:t xml:space="preserve">Figure 5.3: </w:t>
      </w:r>
      <w:r>
        <w:rPr>
          <w:sz w:val="22"/>
        </w:rPr>
        <w:t>Engagement vs. economic value by vertical</w:t>
      </w:r>
    </w:p>
    <w:p>
      <w:r>
        <w:rPr>
          <w:b/>
          <w:sz w:val="22"/>
        </w:rPr>
        <w:t xml:space="preserve">Figure 5.4: </w:t>
      </w:r>
      <w:r>
        <w:rPr>
          <w:sz w:val="22"/>
        </w:rPr>
        <w:t>Multi-chain deployment and performance pathway</w:t>
      </w:r>
    </w:p>
    <w:p>
      <w:r>
        <w:br w:type="page"/>
      </w:r>
    </w:p>
    <w:p>
      <w:pPr>
        <w:pStyle w:val="Heading1"/>
      </w:pPr>
      <w:r>
        <w:t>List of Tables</w:t>
      </w:r>
    </w:p>
    <w:p>
      <w:r>
        <w:rPr>
          <w:b/>
          <w:sz w:val="22"/>
        </w:rPr>
        <w:t xml:space="preserve">Table 3.1: </w:t>
      </w:r>
      <w:r>
        <w:rPr>
          <w:sz w:val="22"/>
        </w:rPr>
        <w:t>Sample construction at a glance</w:t>
      </w:r>
    </w:p>
    <w:p>
      <w:r>
        <w:rPr>
          <w:b/>
          <w:sz w:val="22"/>
        </w:rPr>
        <w:t xml:space="preserve">Table 3.2: </w:t>
      </w:r>
      <w:r>
        <w:rPr>
          <w:sz w:val="22"/>
        </w:rPr>
        <w:t>Target Ecosystem Mapping</w:t>
      </w:r>
    </w:p>
    <w:p>
      <w:r>
        <w:rPr>
          <w:b/>
          <w:sz w:val="22"/>
        </w:rPr>
        <w:t xml:space="preserve">Table 3.3: </w:t>
      </w:r>
      <w:r>
        <w:rPr>
          <w:sz w:val="22"/>
        </w:rPr>
        <w:t>Variable categories and counts</w:t>
      </w:r>
    </w:p>
    <w:p>
      <w:r>
        <w:rPr>
          <w:b/>
          <w:sz w:val="22"/>
        </w:rPr>
        <w:t xml:space="preserve">Table 3.4: </w:t>
      </w:r>
      <w:r>
        <w:rPr>
          <w:sz w:val="22"/>
        </w:rPr>
        <w:t>Governance score component weights</w:t>
      </w:r>
    </w:p>
    <w:p>
      <w:r>
        <w:rPr>
          <w:b/>
          <w:sz w:val="22"/>
        </w:rPr>
        <w:t xml:space="preserve">Table 3.5: </w:t>
      </w:r>
      <w:r>
        <w:rPr>
          <w:sz w:val="22"/>
        </w:rPr>
        <w:t>Sample sizes in governance-depth studies</w:t>
      </w:r>
    </w:p>
    <w:p>
      <w:r>
        <w:rPr>
          <w:b/>
          <w:sz w:val="22"/>
        </w:rPr>
        <w:t xml:space="preserve">Table 4.1: </w:t>
      </w:r>
      <w:r>
        <w:rPr>
          <w:sz w:val="22"/>
        </w:rPr>
        <w:t>Headline metrics comparison: loose universe versus strict high-signal sample</w:t>
      </w:r>
    </w:p>
    <w:p>
      <w:r>
        <w:rPr>
          <w:b/>
          <w:sz w:val="22"/>
        </w:rPr>
        <w:t xml:space="preserve">Table 4.2: </w:t>
      </w:r>
      <w:r>
        <w:rPr>
          <w:sz w:val="22"/>
        </w:rPr>
        <w:t>Cross-tabulation: decentralisation level × governance type, strict sample (N=68)</w:t>
      </w:r>
    </w:p>
    <w:p>
      <w:r>
        <w:rPr>
          <w:b/>
          <w:sz w:val="22"/>
        </w:rPr>
        <w:t xml:space="preserve">Table 4.4: </w:t>
      </w:r>
      <w:r>
        <w:rPr>
          <w:sz w:val="22"/>
        </w:rPr>
        <w:t>Top-10 chains by DeFi DApp presence (loose universe, N=105)</w:t>
      </w:r>
    </w:p>
    <w:p>
      <w:r>
        <w:rPr>
          <w:b/>
          <w:sz w:val="22"/>
        </w:rPr>
        <w:t xml:space="preserve">Table 4.5: </w:t>
      </w:r>
      <w:r>
        <w:rPr>
          <w:sz w:val="22"/>
        </w:rPr>
        <w:t>Top DeFi DApps by active users (loose universe)</w:t>
      </w:r>
    </w:p>
    <w:p>
      <w:r>
        <w:rPr>
          <w:b/>
          <w:sz w:val="22"/>
        </w:rPr>
        <w:t xml:space="preserve">Table 4.6: </w:t>
      </w:r>
      <w:r>
        <w:rPr>
          <w:sz w:val="22"/>
        </w:rPr>
        <w:t>DeFi governance distribution (loose universe, N=105)</w:t>
      </w:r>
    </w:p>
    <w:p>
      <w:r>
        <w:rPr>
          <w:b/>
          <w:sz w:val="22"/>
        </w:rPr>
        <w:t xml:space="preserve">Table 4.7: </w:t>
      </w:r>
      <w:r>
        <w:rPr>
          <w:sz w:val="22"/>
        </w:rPr>
        <w:t>Top-5 chains by prediction market DApp presence</w:t>
      </w:r>
    </w:p>
    <w:p>
      <w:r>
        <w:rPr>
          <w:b/>
          <w:sz w:val="22"/>
        </w:rPr>
        <w:t xml:space="preserve">Table 4.8: </w:t>
      </w:r>
      <w:r>
        <w:rPr>
          <w:sz w:val="22"/>
        </w:rPr>
        <w:t>Top prediction market DApps by active users</w:t>
      </w:r>
    </w:p>
    <w:p>
      <w:r>
        <w:rPr>
          <w:b/>
          <w:sz w:val="22"/>
        </w:rPr>
        <w:t xml:space="preserve">Table 4.9: </w:t>
      </w:r>
      <w:r>
        <w:rPr>
          <w:sz w:val="22"/>
        </w:rPr>
        <w:t>Prediction market governance distribution</w:t>
      </w:r>
    </w:p>
    <w:p>
      <w:r>
        <w:rPr>
          <w:b/>
          <w:sz w:val="22"/>
        </w:rPr>
        <w:t xml:space="preserve">Table 4.10: </w:t>
      </w:r>
      <w:r>
        <w:rPr>
          <w:sz w:val="22"/>
        </w:rPr>
        <w:t>AI DApp distribution by application category</w:t>
      </w:r>
    </w:p>
    <w:p>
      <w:r>
        <w:rPr>
          <w:b/>
          <w:sz w:val="22"/>
        </w:rPr>
        <w:t xml:space="preserve">Table 4.11: </w:t>
      </w:r>
      <w:r>
        <w:rPr>
          <w:sz w:val="22"/>
        </w:rPr>
        <w:t>Top chains by AI DApp deployment</w:t>
      </w:r>
    </w:p>
    <w:p>
      <w:r>
        <w:rPr>
          <w:b/>
          <w:sz w:val="22"/>
        </w:rPr>
        <w:t xml:space="preserve">Table 4.12: </w:t>
      </w:r>
      <w:r>
        <w:rPr>
          <w:sz w:val="22"/>
        </w:rPr>
        <w:t>Representative AI DApps by active users</w:t>
      </w:r>
    </w:p>
    <w:p>
      <w:r>
        <w:rPr>
          <w:b/>
          <w:sz w:val="22"/>
        </w:rPr>
        <w:t xml:space="preserve">Table 4.13: </w:t>
      </w:r>
      <w:r>
        <w:rPr>
          <w:sz w:val="22"/>
        </w:rPr>
        <w:t>AI DApp governance distribution</w:t>
      </w:r>
    </w:p>
    <w:p>
      <w:r>
        <w:rPr>
          <w:b/>
          <w:sz w:val="22"/>
        </w:rPr>
        <w:t xml:space="preserve">Table 4.14: </w:t>
      </w:r>
      <w:r>
        <w:rPr>
          <w:sz w:val="22"/>
        </w:rPr>
        <w:t>Decentralisation levels: AI DApps versus full ecosystem</w:t>
      </w:r>
    </w:p>
    <w:p>
      <w:r>
        <w:rPr>
          <w:b/>
          <w:sz w:val="22"/>
        </w:rPr>
        <w:t xml:space="preserve">Table 4.15: </w:t>
      </w:r>
      <w:r>
        <w:rPr>
          <w:sz w:val="22"/>
        </w:rPr>
        <w:t>AI DApp token type distribution</w:t>
      </w:r>
    </w:p>
    <w:p>
      <w:r>
        <w:rPr>
          <w:b/>
          <w:sz w:val="22"/>
        </w:rPr>
        <w:t xml:space="preserve">Table 4.19: </w:t>
      </w:r>
      <w:r>
        <w:rPr>
          <w:sz w:val="22"/>
        </w:rPr>
        <w:t>Summary of anomaly categories, prevalence, and cross-references</w:t>
      </w:r>
    </w:p>
    <w:p>
      <w:r>
        <w:rPr>
          <w:b/>
          <w:sz w:val="22"/>
        </w:rPr>
        <w:t xml:space="preserve">Table 4.20: </w:t>
      </w:r>
      <w:r>
        <w:rPr>
          <w:sz w:val="22"/>
        </w:rPr>
        <w:t>Cross-ecosystem structural comparison (loose universe)</w:t>
      </w:r>
    </w:p>
    <w:p>
      <w:r>
        <w:rPr>
          <w:b/>
          <w:sz w:val="22"/>
        </w:rPr>
        <w:t xml:space="preserve">Table 4.21: </w:t>
      </w:r>
      <w:r>
        <w:rPr>
          <w:sz w:val="22"/>
        </w:rPr>
        <w:t>Sector composition of the strict sample (N=68)</w:t>
      </w:r>
    </w:p>
    <w:p>
      <w:r>
        <w:br w:type="page"/>
      </w:r>
    </w:p>
    <w:p>
      <w:pPr>
        <w:pStyle w:val="Heading1"/>
      </w:pPr>
      <w:r>
        <w:t>List of Symbols and Abbreviations</w:t>
      </w:r>
    </w:p>
    <w:tbl>
      <w:tblPr>
        <w:tblStyle w:val="TableGrid"/>
        <w:tblW w:type="auto" w:w="0"/>
        <w:jc w:val="center"/>
        <w:tblLook w:firstColumn="1" w:firstRow="1" w:lastColumn="0" w:lastRow="0" w:noHBand="0" w:noVBand="1" w:val="04A0"/>
      </w:tblPr>
      <w:tblGrid>
        <w:gridCol w:w="4394"/>
        <w:gridCol w:w="4394"/>
      </w:tblGrid>
      <w:tr>
        <w:tc>
          <w:tcPr>
            <w:tcW w:type="dxa" w:w="4394"/>
          </w:tcPr>
          <w:p>
            <w:r>
              <w:rPr>
                <w:b/>
                <w:sz w:val="22"/>
              </w:rPr>
              <w:t>Symbol / Abbreviation</w:t>
            </w:r>
          </w:p>
        </w:tc>
        <w:tc>
          <w:tcPr>
            <w:tcW w:type="dxa" w:w="4394"/>
          </w:tcPr>
          <w:p>
            <w:r>
              <w:rPr>
                <w:b/>
                <w:sz w:val="22"/>
              </w:rPr>
              <w:t>Definition</w:t>
            </w:r>
          </w:p>
        </w:tc>
      </w:tr>
      <w:tr>
        <w:tc>
          <w:tcPr>
            <w:tcW w:type="dxa" w:w="4394"/>
          </w:tcPr>
          <w:p>
            <w:r>
              <w:rPr>
                <w:sz w:val="22"/>
              </w:rPr>
              <w:t>AMM</w:t>
            </w:r>
          </w:p>
        </w:tc>
        <w:tc>
          <w:tcPr>
            <w:tcW w:type="dxa" w:w="4394"/>
          </w:tcPr>
          <w:p>
            <w:r>
              <w:rPr>
                <w:sz w:val="22"/>
              </w:rPr>
              <w:t>Automated Market Maker</w:t>
            </w:r>
          </w:p>
        </w:tc>
      </w:tr>
      <w:tr>
        <w:tc>
          <w:tcPr>
            <w:tcW w:type="dxa" w:w="4394"/>
          </w:tcPr>
          <w:p>
            <w:r>
              <w:rPr>
                <w:sz w:val="22"/>
              </w:rPr>
              <w:t>API</w:t>
            </w:r>
          </w:p>
        </w:tc>
        <w:tc>
          <w:tcPr>
            <w:tcW w:type="dxa" w:w="4394"/>
          </w:tcPr>
          <w:p>
            <w:r>
              <w:rPr>
                <w:sz w:val="22"/>
              </w:rPr>
              <w:t>Application Programming Interface</w:t>
            </w:r>
          </w:p>
        </w:tc>
      </w:tr>
      <w:tr>
        <w:tc>
          <w:tcPr>
            <w:tcW w:type="dxa" w:w="4394"/>
          </w:tcPr>
          <w:p>
            <w:r>
              <w:rPr>
                <w:sz w:val="22"/>
              </w:rPr>
              <w:t>BIS</w:t>
            </w:r>
          </w:p>
        </w:tc>
        <w:tc>
          <w:tcPr>
            <w:tcW w:type="dxa" w:w="4394"/>
          </w:tcPr>
          <w:p>
            <w:r>
              <w:rPr>
                <w:sz w:val="22"/>
              </w:rPr>
              <w:t>Bank for International Settlements</w:t>
            </w:r>
          </w:p>
        </w:tc>
      </w:tr>
      <w:tr>
        <w:tc>
          <w:tcPr>
            <w:tcW w:type="dxa" w:w="4394"/>
          </w:tcPr>
          <w:p>
            <w:r>
              <w:rPr>
                <w:sz w:val="22"/>
              </w:rPr>
              <w:t>BNB</w:t>
            </w:r>
          </w:p>
        </w:tc>
        <w:tc>
          <w:tcPr>
            <w:tcW w:type="dxa" w:w="4394"/>
          </w:tcPr>
          <w:p>
            <w:r>
              <w:rPr>
                <w:sz w:val="22"/>
              </w:rPr>
              <w:t>Build and Build (Binance Smart Chain)</w:t>
            </w:r>
          </w:p>
        </w:tc>
      </w:tr>
      <w:tr>
        <w:tc>
          <w:tcPr>
            <w:tcW w:type="dxa" w:w="4394"/>
          </w:tcPr>
          <w:p>
            <w:r>
              <w:rPr>
                <w:sz w:val="22"/>
              </w:rPr>
              <w:t>CMC</w:t>
            </w:r>
          </w:p>
        </w:tc>
        <w:tc>
          <w:tcPr>
            <w:tcW w:type="dxa" w:w="4394"/>
          </w:tcPr>
          <w:p>
            <w:r>
              <w:rPr>
                <w:sz w:val="22"/>
              </w:rPr>
              <w:t>CoinMarketCap</w:t>
            </w:r>
          </w:p>
        </w:tc>
      </w:tr>
      <w:tr>
        <w:tc>
          <w:tcPr>
            <w:tcW w:type="dxa" w:w="4394"/>
          </w:tcPr>
          <w:p>
            <w:r>
              <w:rPr>
                <w:sz w:val="22"/>
              </w:rPr>
              <w:t>DAO</w:t>
            </w:r>
          </w:p>
        </w:tc>
        <w:tc>
          <w:tcPr>
            <w:tcW w:type="dxa" w:w="4394"/>
          </w:tcPr>
          <w:p>
            <w:r>
              <w:rPr>
                <w:sz w:val="22"/>
              </w:rPr>
              <w:t>Decentralised Autonomous Organisation</w:t>
            </w:r>
          </w:p>
        </w:tc>
      </w:tr>
      <w:tr>
        <w:tc>
          <w:tcPr>
            <w:tcW w:type="dxa" w:w="4394"/>
          </w:tcPr>
          <w:p>
            <w:r>
              <w:rPr>
                <w:sz w:val="22"/>
              </w:rPr>
              <w:t>DApp</w:t>
            </w:r>
          </w:p>
        </w:tc>
        <w:tc>
          <w:tcPr>
            <w:tcW w:type="dxa" w:w="4394"/>
          </w:tcPr>
          <w:p>
            <w:r>
              <w:rPr>
                <w:sz w:val="22"/>
              </w:rPr>
              <w:t>Decentralised Application</w:t>
            </w:r>
          </w:p>
        </w:tc>
      </w:tr>
      <w:tr>
        <w:tc>
          <w:tcPr>
            <w:tcW w:type="dxa" w:w="4394"/>
          </w:tcPr>
          <w:p>
            <w:r>
              <w:rPr>
                <w:sz w:val="22"/>
              </w:rPr>
              <w:t>DeFi</w:t>
            </w:r>
          </w:p>
        </w:tc>
        <w:tc>
          <w:tcPr>
            <w:tcW w:type="dxa" w:w="4394"/>
          </w:tcPr>
          <w:p>
            <w:r>
              <w:rPr>
                <w:sz w:val="22"/>
              </w:rPr>
              <w:t>Decentralised Finance</w:t>
            </w:r>
          </w:p>
        </w:tc>
      </w:tr>
      <w:tr>
        <w:tc>
          <w:tcPr>
            <w:tcW w:type="dxa" w:w="4394"/>
          </w:tcPr>
          <w:p>
            <w:r>
              <w:rPr>
                <w:sz w:val="22"/>
              </w:rPr>
              <w:t>DePIN</w:t>
            </w:r>
          </w:p>
        </w:tc>
        <w:tc>
          <w:tcPr>
            <w:tcW w:type="dxa" w:w="4394"/>
          </w:tcPr>
          <w:p>
            <w:r>
              <w:rPr>
                <w:sz w:val="22"/>
              </w:rPr>
              <w:t>Decentralised Physical Infrastructure Network</w:t>
            </w:r>
          </w:p>
        </w:tc>
      </w:tr>
      <w:tr>
        <w:tc>
          <w:tcPr>
            <w:tcW w:type="dxa" w:w="4394"/>
          </w:tcPr>
          <w:p>
            <w:r>
              <w:rPr>
                <w:sz w:val="22"/>
              </w:rPr>
              <w:t>DEX</w:t>
            </w:r>
          </w:p>
        </w:tc>
        <w:tc>
          <w:tcPr>
            <w:tcW w:type="dxa" w:w="4394"/>
          </w:tcPr>
          <w:p>
            <w:r>
              <w:rPr>
                <w:sz w:val="22"/>
              </w:rPr>
              <w:t>Decentralised Exchange</w:t>
            </w:r>
          </w:p>
        </w:tc>
      </w:tr>
      <w:tr>
        <w:tc>
          <w:tcPr>
            <w:tcW w:type="dxa" w:w="4394"/>
          </w:tcPr>
          <w:p>
            <w:r>
              <w:rPr>
                <w:sz w:val="22"/>
              </w:rPr>
              <w:t>EIP</w:t>
            </w:r>
          </w:p>
        </w:tc>
        <w:tc>
          <w:tcPr>
            <w:tcW w:type="dxa" w:w="4394"/>
          </w:tcPr>
          <w:p>
            <w:r>
              <w:rPr>
                <w:sz w:val="22"/>
              </w:rPr>
              <w:t>Ethereum Improvement Proposal</w:t>
            </w:r>
          </w:p>
        </w:tc>
      </w:tr>
      <w:tr>
        <w:tc>
          <w:tcPr>
            <w:tcW w:type="dxa" w:w="4394"/>
          </w:tcPr>
          <w:p>
            <w:r>
              <w:rPr>
                <w:sz w:val="22"/>
              </w:rPr>
              <w:t>EOA</w:t>
            </w:r>
          </w:p>
        </w:tc>
        <w:tc>
          <w:tcPr>
            <w:tcW w:type="dxa" w:w="4394"/>
          </w:tcPr>
          <w:p>
            <w:r>
              <w:rPr>
                <w:sz w:val="22"/>
              </w:rPr>
              <w:t>Externally Owned Account</w:t>
            </w:r>
          </w:p>
        </w:tc>
      </w:tr>
      <w:tr>
        <w:tc>
          <w:tcPr>
            <w:tcW w:type="dxa" w:w="4394"/>
          </w:tcPr>
          <w:p>
            <w:r>
              <w:rPr>
                <w:sz w:val="22"/>
              </w:rPr>
              <w:t>ERC</w:t>
            </w:r>
          </w:p>
        </w:tc>
        <w:tc>
          <w:tcPr>
            <w:tcW w:type="dxa" w:w="4394"/>
          </w:tcPr>
          <w:p>
            <w:r>
              <w:rPr>
                <w:sz w:val="22"/>
              </w:rPr>
              <w:t>Ethereum Request for Comments</w:t>
            </w:r>
          </w:p>
        </w:tc>
      </w:tr>
      <w:tr>
        <w:tc>
          <w:tcPr>
            <w:tcW w:type="dxa" w:w="4394"/>
          </w:tcPr>
          <w:p>
            <w:r>
              <w:rPr>
                <w:sz w:val="22"/>
              </w:rPr>
              <w:t>EVM</w:t>
            </w:r>
          </w:p>
        </w:tc>
        <w:tc>
          <w:tcPr>
            <w:tcW w:type="dxa" w:w="4394"/>
          </w:tcPr>
          <w:p>
            <w:r>
              <w:rPr>
                <w:sz w:val="22"/>
              </w:rPr>
              <w:t>Ethereum Virtual Machine</w:t>
            </w:r>
          </w:p>
        </w:tc>
      </w:tr>
      <w:tr>
        <w:tc>
          <w:tcPr>
            <w:tcW w:type="dxa" w:w="4394"/>
          </w:tcPr>
          <w:p>
            <w:r>
              <w:rPr>
                <w:sz w:val="22"/>
              </w:rPr>
              <w:t>FDV</w:t>
            </w:r>
          </w:p>
        </w:tc>
        <w:tc>
          <w:tcPr>
            <w:tcW w:type="dxa" w:w="4394"/>
          </w:tcPr>
          <w:p>
            <w:r>
              <w:rPr>
                <w:sz w:val="22"/>
              </w:rPr>
              <w:t>Fully Diluted Valuation</w:t>
            </w:r>
          </w:p>
        </w:tc>
      </w:tr>
      <w:tr>
        <w:tc>
          <w:tcPr>
            <w:tcW w:type="dxa" w:w="4394"/>
          </w:tcPr>
          <w:p>
            <w:r>
              <w:rPr>
                <w:sz w:val="22"/>
              </w:rPr>
              <w:t>GameFi</w:t>
            </w:r>
          </w:p>
        </w:tc>
        <w:tc>
          <w:tcPr>
            <w:tcW w:type="dxa" w:w="4394"/>
          </w:tcPr>
          <w:p>
            <w:r>
              <w:rPr>
                <w:sz w:val="22"/>
              </w:rPr>
              <w:t>Game Finance</w:t>
            </w:r>
          </w:p>
        </w:tc>
      </w:tr>
      <w:tr>
        <w:tc>
          <w:tcPr>
            <w:tcW w:type="dxa" w:w="4394"/>
          </w:tcPr>
          <w:p>
            <w:r>
              <w:rPr>
                <w:sz w:val="22"/>
              </w:rPr>
              <w:t>HHI</w:t>
            </w:r>
          </w:p>
        </w:tc>
        <w:tc>
          <w:tcPr>
            <w:tcW w:type="dxa" w:w="4394"/>
          </w:tcPr>
          <w:p>
            <w:r>
              <w:rPr>
                <w:sz w:val="22"/>
              </w:rPr>
              <w:t>Herfindahl–Hirschman Index</w:t>
            </w:r>
          </w:p>
        </w:tc>
      </w:tr>
      <w:tr>
        <w:tc>
          <w:tcPr>
            <w:tcW w:type="dxa" w:w="4394"/>
          </w:tcPr>
          <w:p>
            <w:r>
              <w:rPr>
                <w:sz w:val="22"/>
              </w:rPr>
              <w:t>ICO</w:t>
            </w:r>
          </w:p>
        </w:tc>
        <w:tc>
          <w:tcPr>
            <w:tcW w:type="dxa" w:w="4394"/>
          </w:tcPr>
          <w:p>
            <w:r>
              <w:rPr>
                <w:sz w:val="22"/>
              </w:rPr>
              <w:t>Initial Coin Offering</w:t>
            </w:r>
          </w:p>
        </w:tc>
      </w:tr>
      <w:tr>
        <w:tc>
          <w:tcPr>
            <w:tcW w:type="dxa" w:w="4394"/>
          </w:tcPr>
          <w:p>
            <w:r>
              <w:rPr>
                <w:sz w:val="22"/>
              </w:rPr>
              <w:t>IPFS</w:t>
            </w:r>
          </w:p>
        </w:tc>
        <w:tc>
          <w:tcPr>
            <w:tcW w:type="dxa" w:w="4394"/>
          </w:tcPr>
          <w:p>
            <w:r>
              <w:rPr>
                <w:sz w:val="22"/>
              </w:rPr>
              <w:t>InterPlanetary File System</w:t>
            </w:r>
          </w:p>
        </w:tc>
      </w:tr>
      <w:tr>
        <w:tc>
          <w:tcPr>
            <w:tcW w:type="dxa" w:w="4394"/>
          </w:tcPr>
          <w:p>
            <w:r>
              <w:rPr>
                <w:sz w:val="22"/>
              </w:rPr>
              <w:t>L1</w:t>
            </w:r>
          </w:p>
        </w:tc>
        <w:tc>
          <w:tcPr>
            <w:tcW w:type="dxa" w:w="4394"/>
          </w:tcPr>
          <w:p>
            <w:r>
              <w:rPr>
                <w:sz w:val="22"/>
              </w:rPr>
              <w:t>Layer 1 (base blockchain)</w:t>
            </w:r>
          </w:p>
        </w:tc>
      </w:tr>
      <w:tr>
        <w:tc>
          <w:tcPr>
            <w:tcW w:type="dxa" w:w="4394"/>
          </w:tcPr>
          <w:p>
            <w:r>
              <w:rPr>
                <w:sz w:val="22"/>
              </w:rPr>
              <w:t>L2</w:t>
            </w:r>
          </w:p>
        </w:tc>
        <w:tc>
          <w:tcPr>
            <w:tcW w:type="dxa" w:w="4394"/>
          </w:tcPr>
          <w:p>
            <w:r>
              <w:rPr>
                <w:sz w:val="22"/>
              </w:rPr>
              <w:t>Layer 2 (scaling solution)</w:t>
            </w:r>
          </w:p>
        </w:tc>
      </w:tr>
      <w:tr>
        <w:tc>
          <w:tcPr>
            <w:tcW w:type="dxa" w:w="4394"/>
          </w:tcPr>
          <w:p>
            <w:r>
              <w:rPr>
                <w:sz w:val="22"/>
              </w:rPr>
              <w:t>NFT</w:t>
            </w:r>
          </w:p>
        </w:tc>
        <w:tc>
          <w:tcPr>
            <w:tcW w:type="dxa" w:w="4394"/>
          </w:tcPr>
          <w:p>
            <w:r>
              <w:rPr>
                <w:sz w:val="22"/>
              </w:rPr>
              <w:t>Non-Fungible Token</w:t>
            </w:r>
          </w:p>
        </w:tc>
      </w:tr>
      <w:tr>
        <w:tc>
          <w:tcPr>
            <w:tcW w:type="dxa" w:w="4394"/>
          </w:tcPr>
          <w:p>
            <w:r>
              <w:rPr>
                <w:sz w:val="22"/>
              </w:rPr>
              <w:t>P2E</w:t>
            </w:r>
          </w:p>
        </w:tc>
        <w:tc>
          <w:tcPr>
            <w:tcW w:type="dxa" w:w="4394"/>
          </w:tcPr>
          <w:p>
            <w:r>
              <w:rPr>
                <w:sz w:val="22"/>
              </w:rPr>
              <w:t>Play-to-Earn</w:t>
            </w:r>
          </w:p>
        </w:tc>
      </w:tr>
      <w:tr>
        <w:tc>
          <w:tcPr>
            <w:tcW w:type="dxa" w:w="4394"/>
          </w:tcPr>
          <w:p>
            <w:r>
              <w:rPr>
                <w:sz w:val="22"/>
              </w:rPr>
              <w:t>PCA</w:t>
            </w:r>
          </w:p>
        </w:tc>
        <w:tc>
          <w:tcPr>
            <w:tcW w:type="dxa" w:w="4394"/>
          </w:tcPr>
          <w:p>
            <w:r>
              <w:rPr>
                <w:sz w:val="22"/>
              </w:rPr>
              <w:t>Principal Component Analysis</w:t>
            </w:r>
          </w:p>
        </w:tc>
      </w:tr>
      <w:tr>
        <w:tc>
          <w:tcPr>
            <w:tcW w:type="dxa" w:w="4394"/>
          </w:tcPr>
          <w:p>
            <w:r>
              <w:rPr>
                <w:sz w:val="22"/>
              </w:rPr>
              <w:t>PoS</w:t>
            </w:r>
          </w:p>
        </w:tc>
        <w:tc>
          <w:tcPr>
            <w:tcW w:type="dxa" w:w="4394"/>
          </w:tcPr>
          <w:p>
            <w:r>
              <w:rPr>
                <w:sz w:val="22"/>
              </w:rPr>
              <w:t>Proof of Stake</w:t>
            </w:r>
          </w:p>
        </w:tc>
      </w:tr>
      <w:tr>
        <w:tc>
          <w:tcPr>
            <w:tcW w:type="dxa" w:w="4394"/>
          </w:tcPr>
          <w:p>
            <w:r>
              <w:rPr>
                <w:sz w:val="22"/>
              </w:rPr>
              <w:t>PoW</w:t>
            </w:r>
          </w:p>
        </w:tc>
        <w:tc>
          <w:tcPr>
            <w:tcW w:type="dxa" w:w="4394"/>
          </w:tcPr>
          <w:p>
            <w:r>
              <w:rPr>
                <w:sz w:val="22"/>
              </w:rPr>
              <w:t>Proof of Work</w:t>
            </w:r>
          </w:p>
        </w:tc>
      </w:tr>
      <w:tr>
        <w:tc>
          <w:tcPr>
            <w:tcW w:type="dxa" w:w="4394"/>
          </w:tcPr>
          <w:p>
            <w:r>
              <w:rPr>
                <w:sz w:val="22"/>
              </w:rPr>
              <w:t>RPC</w:t>
            </w:r>
          </w:p>
        </w:tc>
        <w:tc>
          <w:tcPr>
            <w:tcW w:type="dxa" w:w="4394"/>
          </w:tcPr>
          <w:p>
            <w:r>
              <w:rPr>
                <w:sz w:val="22"/>
              </w:rPr>
              <w:t>Remote Procedure Call</w:t>
            </w:r>
          </w:p>
        </w:tc>
      </w:tr>
      <w:tr>
        <w:tc>
          <w:tcPr>
            <w:tcW w:type="dxa" w:w="4394"/>
          </w:tcPr>
          <w:p>
            <w:r>
              <w:rPr>
                <w:sz w:val="22"/>
              </w:rPr>
              <w:t>RWA</w:t>
            </w:r>
          </w:p>
        </w:tc>
        <w:tc>
          <w:tcPr>
            <w:tcW w:type="dxa" w:w="4394"/>
          </w:tcPr>
          <w:p>
            <w:r>
              <w:rPr>
                <w:sz w:val="22"/>
              </w:rPr>
              <w:t>Real World Assets</w:t>
            </w:r>
          </w:p>
        </w:tc>
      </w:tr>
      <w:tr>
        <w:tc>
          <w:tcPr>
            <w:tcW w:type="dxa" w:w="4394"/>
          </w:tcPr>
          <w:p>
            <w:r>
              <w:rPr>
                <w:sz w:val="22"/>
              </w:rPr>
              <w:t>SoK</w:t>
            </w:r>
          </w:p>
        </w:tc>
        <w:tc>
          <w:tcPr>
            <w:tcW w:type="dxa" w:w="4394"/>
          </w:tcPr>
          <w:p>
            <w:r>
              <w:rPr>
                <w:sz w:val="22"/>
              </w:rPr>
              <w:t>Systematization of Knowledge</w:t>
            </w:r>
          </w:p>
        </w:tc>
      </w:tr>
      <w:tr>
        <w:tc>
          <w:tcPr>
            <w:tcW w:type="dxa" w:w="4394"/>
          </w:tcPr>
          <w:p>
            <w:r>
              <w:rPr>
                <w:sz w:val="22"/>
              </w:rPr>
              <w:t>TVL</w:t>
            </w:r>
          </w:p>
        </w:tc>
        <w:tc>
          <w:tcPr>
            <w:tcW w:type="dxa" w:w="4394"/>
          </w:tcPr>
          <w:p>
            <w:r>
              <w:rPr>
                <w:sz w:val="22"/>
              </w:rPr>
              <w:t>Total Value Locked</w:t>
            </w:r>
          </w:p>
        </w:tc>
      </w:tr>
      <w:tr>
        <w:tc>
          <w:tcPr>
            <w:tcW w:type="dxa" w:w="4394"/>
          </w:tcPr>
          <w:p>
            <w:r>
              <w:rPr>
                <w:sz w:val="22"/>
              </w:rPr>
              <w:t>UAW</w:t>
            </w:r>
          </w:p>
        </w:tc>
        <w:tc>
          <w:tcPr>
            <w:tcW w:type="dxa" w:w="4394"/>
          </w:tcPr>
          <w:p>
            <w:r>
              <w:rPr>
                <w:sz w:val="22"/>
              </w:rPr>
              <w:t>Unique Active Wallets</w:t>
            </w:r>
          </w:p>
        </w:tc>
      </w:tr>
      <w:tr>
        <w:tc>
          <w:tcPr>
            <w:tcW w:type="dxa" w:w="4394"/>
          </w:tcPr>
          <w:p>
            <w:r>
              <w:rPr>
                <w:sz w:val="22"/>
              </w:rPr>
              <w:t>UIP</w:t>
            </w:r>
          </w:p>
        </w:tc>
        <w:tc>
          <w:tcPr>
            <w:tcW w:type="dxa" w:w="4394"/>
          </w:tcPr>
          <w:p>
            <w:r>
              <w:rPr>
                <w:sz w:val="22"/>
              </w:rPr>
              <w:t>Uniswap Improvement Proposal</w:t>
            </w:r>
          </w:p>
        </w:tc>
      </w:tr>
      <w:tr>
        <w:tc>
          <w:tcPr>
            <w:tcW w:type="dxa" w:w="4394"/>
          </w:tcPr>
          <w:p>
            <w:r>
              <w:rPr>
                <w:sz w:val="22"/>
              </w:rPr>
              <w:t>N</w:t>
            </w:r>
          </w:p>
        </w:tc>
        <w:tc>
          <w:tcPr>
            <w:tcW w:type="dxa" w:w="4394"/>
          </w:tcPr>
          <w:p>
            <w:r>
              <w:rPr>
                <w:sz w:val="22"/>
              </w:rPr>
              <w:t>Sample size</w:t>
            </w:r>
          </w:p>
        </w:tc>
      </w:tr>
      <w:tr>
        <w:tc>
          <w:tcPr>
            <w:tcW w:type="dxa" w:w="4394"/>
          </w:tcPr>
          <w:p>
            <w:r>
              <w:rPr>
                <w:sz w:val="22"/>
              </w:rPr>
              <w:t>α</w:t>
            </w:r>
          </w:p>
        </w:tc>
        <w:tc>
          <w:tcPr>
            <w:tcW w:type="dxa" w:w="4394"/>
          </w:tcPr>
          <w:p>
            <w:r>
              <w:rPr>
                <w:sz w:val="22"/>
              </w:rPr>
              <w:t>Power-law exponent</w:t>
            </w:r>
          </w:p>
        </w:tc>
      </w:tr>
      <w:tr>
        <w:tc>
          <w:tcPr>
            <w:tcW w:type="dxa" w:w="4394"/>
          </w:tcPr>
          <w:p>
            <w:r>
              <w:rPr>
                <w:sz w:val="22"/>
              </w:rPr>
              <w:t>κ</w:t>
            </w:r>
          </w:p>
        </w:tc>
        <w:tc>
          <w:tcPr>
            <w:tcW w:type="dxa" w:w="4394"/>
          </w:tcPr>
          <w:p>
            <w:r>
              <w:rPr>
                <w:sz w:val="22"/>
              </w:rPr>
              <w:t>Cohen’s kappa (inter-rater reliability)</w:t>
            </w:r>
          </w:p>
        </w:tc>
      </w:tr>
      <w:tr>
        <w:tc>
          <w:tcPr>
            <w:tcW w:type="dxa" w:w="4394"/>
          </w:tcPr>
          <w:p>
            <w:r>
              <w:rPr>
                <w:sz w:val="22"/>
              </w:rPr>
              <w:t>ρ</w:t>
            </w:r>
          </w:p>
        </w:tc>
        <w:tc>
          <w:tcPr>
            <w:tcW w:type="dxa" w:w="4394"/>
          </w:tcPr>
          <w:p>
            <w:r>
              <w:rPr>
                <w:sz w:val="22"/>
              </w:rPr>
              <w:t>Spearman’s rank correlation coefficient</w:t>
            </w:r>
          </w:p>
        </w:tc>
      </w:tr>
      <w:tr>
        <w:tc>
          <w:tcPr>
            <w:tcW w:type="dxa" w:w="4394"/>
          </w:tcPr>
          <w:p>
            <w:r>
              <w:rPr>
                <w:sz w:val="22"/>
              </w:rPr>
              <w:t>r</w:t>
            </w:r>
          </w:p>
        </w:tc>
        <w:tc>
          <w:tcPr>
            <w:tcW w:type="dxa" w:w="4394"/>
          </w:tcPr>
          <w:p>
            <w:r>
              <w:rPr>
                <w:sz w:val="22"/>
              </w:rPr>
              <w:t>Correlation coefficient</w:t>
            </w:r>
          </w:p>
        </w:tc>
      </w:tr>
      <w:tr>
        <w:tc>
          <w:tcPr>
            <w:tcW w:type="dxa" w:w="4394"/>
          </w:tcPr>
          <w:p>
            <w:r>
              <w:rPr>
                <w:sz w:val="22"/>
              </w:rPr>
              <w:t>k</w:t>
            </w:r>
          </w:p>
        </w:tc>
        <w:tc>
          <w:tcPr>
            <w:tcW w:type="dxa" w:w="4394"/>
          </w:tcPr>
          <w:p>
            <w:r>
              <w:rPr>
                <w:sz w:val="22"/>
              </w:rPr>
              <w:t>Number of clusters (K-means)</w:t>
            </w:r>
          </w:p>
        </w:tc>
      </w:tr>
    </w:tbl>
    <w:p>
      <w:r>
        <w:br w:type="page"/>
      </w:r>
    </w:p>
    <w:p>
      <w:pPr>
        <w:pStyle w:val="Heading1"/>
      </w:pPr>
      <w:r>
        <w:t>Chapter 1 — Introduction</w:t>
      </w:r>
    </w:p>
    <w:p>
      <w:pPr>
        <w:pStyle w:val="Heading2"/>
      </w:pPr>
      <w:r>
        <w:t>1.1 Motivation and Context</w:t>
      </w:r>
    </w:p>
    <w:p>
      <w:r>
        <w:t>The emergence of decentralised applications (DApps) represents one of the most consequential architectural shifts in internet infrastructure since the transition to cloud computing. Beginning with the Bitcoin network in 2009 (Nakamoto, 2008), the blockchain paradigm introduced a mechanism for trustless, peer-to-peer value transfer that did not depend on centralised intermediaries. The subsequent development of programmable smart contract platforms — most notably Ethereum (Buterin, 2014; Wood, 2014) — transformed this insight into a general-purpose application layer, enabling autonomous, self-executing agreements whose logic is encoded and enforced by a distributed network rather than any single institution.</w:t>
      </w:r>
    </w:p>
    <w:p>
      <w:r>
        <w:t>By the mid-2020s, this application layer had grown into a complex and differentiated ecosystem. Decentralised finance (DeFi) protocols allow users to lend, borrow, trade, and earn yield on digital assets without engaging a bank or broker. Gaming and metaverse applications (GameFi) use non-fungible tokens (NFTs) as in-game property that players genuinely own. NFT marketplaces facilitate the creation and exchange of unique digital artefacts. Decentralised autonomous organisations (DAOs) experiment with on-chain governance as an alternative to corporate hierarchy. Each of these verticals operates on the same underlying blockchain infrastructure yet displays strikingly different economic models, user behaviours, and governance structures.</w:t>
      </w:r>
    </w:p>
    <w:p>
      <w:r>
        <w:t>Underlying all these sectors is a foundational claim: decentralisation. The word carries normative weight in Web3 discourse, invoking resistance to censorship, user sovereignty, open access, and the redistribution of platform rents from platform owners to participants (Schär, 2021). It functions simultaneously as a technical descriptor and a marketing proposition. Projects announce governance tokens, deploy multi-signature safeguards, and launch community forums as visible signals of their commitment to the decentralisation ideal. Whether these signals correspond to genuine shifts in power — away from founders and venture capital, toward distributed token holders — is an empirical question that the literature has been slow to answer systematically.</w:t>
      </w:r>
    </w:p>
    <w:p>
      <w:r>
        <w:t>The governance accountability gap is real and consequential. Retail participants allocate capital and attention to DApps partly on the basis of governance disclosures. Regulators in multiple jurisdictions have begun scrutinising whether tokens marketed as governance instruments constitute securities (Aramonte et al., 2021). Researchers studying platform competition, digital public goods, and institutional economics need reliable data on how DApp governance actually works, not merely how it is described. Yet the empirical base is thin. Existing studies tend to examine individual protocols in depth (Barbereau et al., 2022; Tan et al., 2023), focus narrowly on a single sector such as DeFi (Lommers et al., 2021), or rely on on-chain vote records that capture only a subset of governance activity (Freni et al., 2022). Large-scale, cross-sectional analyses that cover the full diversity of the DApp ecosystem — multiple sectors, multiple chains, multiple governance models — are scarce. This thesis addresses that gap.</w:t>
      </w:r>
    </w:p>
    <w:p>
      <w:pPr>
        <w:pStyle w:val="Heading2"/>
      </w:pPr>
      <w:r>
        <w:t>1.2 Research Questions</w:t>
      </w:r>
    </w:p>
    <w:p>
      <w:r>
        <w:t>This thesis investigates the alignment between governance design labels and the observable economic and adoption structure of the DApp ecosystem. The analysis is grounded in a manually coded dataset of 855 DApps drawn from DappRadar's top-500 unique active wallet (UAW) rankings, supplemented by manual additions, and enriched with multi-source market and usage metrics collected in November 2025. Four research questions guide the empirical work.</w:t>
      </w:r>
    </w:p>
    <w:p>
      <w:r>
        <w:rPr>
          <w:b/>
        </w:rPr>
        <w:t>RQ1: How do governance models and ownership structures co-vary across DApp ecosystem sectors?</w:t>
      </w:r>
    </w:p>
    <w:p>
      <w:r>
        <w:t>The first question establishes the structural baseline. It asks whether governance type (DAO, company, team, hybrid) and ownership status (company-owned, investor-backed, community-owned) are distributed randomly across sectors, or whether systematic patterns exist. If DeFi protocols cluster around one governance archetype while GameFi applications cluster around another, that co-variation has implications for how sector-specific risk is assessed and regulated.</w:t>
      </w:r>
    </w:p>
    <w:p>
      <w:r>
        <w:rPr>
          <w:b/>
        </w:rPr>
        <w:t>RQ2: Does the decentralisation label match actual governance mechanics at the application layer?</w:t>
      </w:r>
    </w:p>
    <w:p>
      <w:r>
        <w:t>The second question probes the central tension motivating this research. Decentralisation is often treated as binary — a project either is or is not decentralised — when in practice it is a spectrum of administrative controls, token distributions, upgrade-key permissions, and community participation norms. This question operationalises decentralisation through a composite governance score and examines whether projects labelled as decentralised exhibit the expected structural properties, or whether the label is decoupled from operational reality.</w:t>
      </w:r>
    </w:p>
    <w:p>
      <w:r>
        <w:rPr>
          <w:b/>
        </w:rPr>
        <w:t>RQ3: What structural patterns emerge in capital and user concentration across blockchain verticals?</w:t>
      </w:r>
    </w:p>
    <w:p>
      <w:r>
        <w:t>The third question examines market structure. Even in a permissionless ecosystem, network effects, liquidity depth, and brand recognition may produce winner-takes-most dynamics. This question asks how concentrated market capitalisation and user activity are within and across sectors, and whether the observed distributions are consistent with the power-law patterns documented in other digital platform markets (Chen et al., 2020).</w:t>
      </w:r>
    </w:p>
    <w:p>
      <w:r>
        <w:rPr>
          <w:b/>
        </w:rPr>
        <w:t>RQ4: How does multi-chain deployment correlate with market performance and adoption?</w:t>
      </w:r>
    </w:p>
    <w:p>
      <w:r>
        <w:t>The fourth question addresses a strategic dimension of ecosystem evolution. As the number of active blockchain networks has proliferated, many DApps have deployed across multiple chains simultaneously. This question asks whether cross-chain presence is associated with higher market valuations and user counts, and what the direction and magnitude of that relationship looks like after controlling for sector and governance type.</w:t>
      </w:r>
    </w:p>
    <w:p>
      <w:r>
        <w:t>Together, these four questions frame a coherent inquiry into the gap between the normative claims of Web3 and the structural realities observable in a large cross-sectional dataset.</w:t>
      </w:r>
    </w:p>
    <w:p>
      <w:pPr>
        <w:pStyle w:val="Heading2"/>
      </w:pPr>
      <w:r>
        <w:t>1.3 Scope and Boundaries</w:t>
      </w:r>
    </w:p>
    <w:p>
      <w:r>
        <w:rPr>
          <w:b/>
        </w:rPr>
        <w:t>Sample.</w:t>
      </w:r>
      <w:r>
        <w:t xml:space="preserve"> The empirical analysis covers 855 DApps identified through DappRadar's top-500 UAW list as of November 2025, augmented by manual additions drawn from sector-specific directories and protocol documentation. To support sensitivity analysis, the thesis distinguishes two analytic universes: a </w:t>
      </w:r>
      <w:r>
        <w:rPr>
          <w:i/>
        </w:rPr>
        <w:t>loose sample</w:t>
      </w:r>
      <w:r>
        <w:t xml:space="preserve"> (N = 834) that retains all DApps with any non-null metric, and a </w:t>
      </w:r>
      <w:r>
        <w:rPr>
          <w:i/>
        </w:rPr>
        <w:t>strict sample</w:t>
      </w:r>
      <w:r>
        <w:t xml:space="preserve"> (N = 68) that applies eligibility filters requiring complete market capitalisation, user activity, and governance classification data. The strict sample is the primary vehicle for inferential statements; the loose sample is used for descriptive comparisons and backtest validation.</w:t>
      </w:r>
    </w:p>
    <w:p>
      <w:r>
        <w:rPr>
          <w:b/>
        </w:rPr>
        <w:t>Chains.</w:t>
      </w:r>
      <w:r>
        <w:t xml:space="preserve"> The dataset spans 77 unique blockchain networks, including both Ethereum Virtual Machine (EVM) compatible chains (Ethereum, Arbitrum, Base, Polygon, BNB Chain, Optimism) and non-EVM environments (Solana, TON, Sui, Flow). Layer-0 and Layer-1 infrastructure protocols are excluded; the unit of analysis is the application layer, not the network layer.</w:t>
      </w:r>
    </w:p>
    <w:p>
      <w:r>
        <w:rPr>
          <w:b/>
        </w:rPr>
        <w:t>Sectors.</w:t>
      </w:r>
      <w:r>
        <w:t xml:space="preserve"> The taxonomy follows DappRadar's classification scheme, distinguishing DeFi (including DEX, lending, yield aggregators), Gaming (including NFT gaming and metaverse), NFT marketplaces, Social applications, and Infrastructure tooling. Centralised exchanges, crypto wallets, and pure node infrastructure are outside scope.</w:t>
      </w:r>
    </w:p>
    <w:p>
      <w:r>
        <w:rPr>
          <w:b/>
        </w:rPr>
        <w:t>Temporal snapshot.</w:t>
      </w:r>
      <w:r>
        <w:t xml:space="preserve"> The dataset represents a point-in-time cross-section. Market metrics (market capitalisation, trading volume, TVL) are derived from November 2025 API pulls from DappRadar, DeFiLlama, CoinMarketCap, and CoinGecko. Governance classifications are manually coded from publicly available documentation, smart contract code, and DAO forum records as of the same reference period. Longitudinal dynamics — such as the progression from team-controlled to community-controlled governance over time — are outside the scope of this study and are identified as a priority for future research.</w:t>
      </w:r>
    </w:p>
    <w:p>
      <w:r>
        <w:rPr>
          <w:b/>
        </w:rPr>
        <w:t>Governance variables.</w:t>
      </w:r>
      <w:r>
        <w:t xml:space="preserve"> The manual coding scheme captures governance type (six categories), ownership status (five categories), level of decentralisation (four categories), token type, presence of a governance score, multi-signature configuration, admin-key risk classification, and funding history. The full variable codebook covering 48 variables is reproduced in Appendix A.</w:t>
      </w:r>
    </w:p>
    <w:p>
      <w:pPr>
        <w:pStyle w:val="Heading2"/>
      </w:pPr>
      <w:r>
        <w:t>1.4 Contribution</w:t>
      </w:r>
    </w:p>
    <w:p>
      <w:r>
        <w:t>This thesis makes three interconnected contributions to the empirical literature on decentralised applications.</w:t>
      </w:r>
    </w:p>
    <w:p>
      <w:r>
        <w:rPr>
          <w:b/>
        </w:rPr>
        <w:t>First, it provides a cross-sectional governance benchmark at a scale not previously attempted.</w:t>
      </w:r>
      <w:r>
        <w:t xml:space="preserve"> The combination of 855 DApps, 77 blockchains, and 48 variables — with manual governance coding validated against on-chain data — constitutes a richer empirical foundation than prior single-protocol or single-sector studies. The dataset is constructed with explicit eligibility criteria that enable replication and extension, and the dual-universe design (loose and strict samples) allows readers to assess the sensitivity of findings to data-quality thresholds.</w:t>
      </w:r>
    </w:p>
    <w:p>
      <w:r>
        <w:rPr>
          <w:b/>
        </w:rPr>
        <w:t>Second, it produces a set of concrete, quantified observations about governance reality in the current DApp ecosystem.</w:t>
      </w:r>
      <w:r>
        <w:t xml:space="preserve"> Headline findings include: 86.8% of DApps in the strict sample are not fully decentralised by the coding criteria; the top ten DApps by market capitalisation account for 80.5% of the strict sample's total market value; and 70.6% of strictly eligible DApps have deployed across multiple chains. These figures provide an empirical baseline against which future studies, policy interventions, and governance design choices can be benchmarked.</w:t>
      </w:r>
    </w:p>
    <w:p>
      <w:r>
        <w:rPr>
          <w:b/>
        </w:rPr>
        <w:t>Third, it develops and applies a multi-source measurement methodology</w:t>
      </w:r>
      <w:r>
        <w:t xml:space="preserve"> that integrates DappRadar activity data, DeFiLlama TVL, CoinMarketCap pricing, CoinGecko metadata, and manual governance annotations into a unified analytic pipeline. The methodology — including the Python scripts and data processing steps — is documented in Appendix B, enabling reproducibility. The composite governance score constructed from this pipeline, and its correlation with market performance metrics, offers a starting point for standardised DApp governance measurement.</w:t>
      </w:r>
    </w:p>
    <w:p>
      <w:pPr>
        <w:pStyle w:val="Heading2"/>
      </w:pPr>
      <w:r>
        <w:t>1.5 Thesis Structure</w:t>
      </w:r>
    </w:p>
    <w:p>
      <w:r>
        <w:t>The remainder of this thesis is organised as follows.</w:t>
      </w:r>
    </w:p>
    <w:p>
      <w:r>
        <w:rPr>
          <w:b/>
        </w:rPr>
        <w:t>Chapter 2 — Literature Review</w:t>
      </w:r>
      <w:r>
        <w:t xml:space="preserve"> reviews the scholarly foundations on which this study builds. It covers the definitional and taxonomic debates surrounding DApps and smart contracts; the theoretical and empirical literature on Web3 governance mechanisms; evidence on market structure and capital concentration in open protocols; and the measurement challenges associated with DApp adoption and activity. The chapter concludes by positioning the present study relative to the existing research gap.</w:t>
      </w:r>
    </w:p>
    <w:p>
      <w:r>
        <w:rPr>
          <w:b/>
        </w:rPr>
        <w:t>Chapter 3 — Methodology</w:t>
      </w:r>
      <w:r>
        <w:t xml:space="preserve"> describes the research design in full. It presents the data collection process, source selection rationale, eligibility criteria, and the manual governance coding procedure. It explains the construction of derived variables including the governance score, multi-chain indicator, and per-user activity metrics. It details the analytical methods employed — including descriptive statistics, cross-tabulation, correlation analysis, K-means clustering, and principal components analysis — and acknowledges the study's principal limitations.</w:t>
      </w:r>
    </w:p>
    <w:p>
      <w:r>
        <w:rPr>
          <w:b/>
        </w:rPr>
        <w:t>Chapter 4 — Results</w:t>
      </w:r>
      <w:r>
        <w:t xml:space="preserve"> presents the empirical findings organised around the four research questions. It reports governance and ownership distributions in the full and strict samples, market capitalisation and user concentration patterns, blockchain deployment choices, sector-level performance profiles, and cohort analysis outcomes. All figures and tables referenced in the text are embedded in this chapter.</w:t>
      </w:r>
    </w:p>
    <w:p>
      <w:r>
        <w:rPr>
          <w:b/>
        </w:rPr>
        <w:t>Chapter 5 — Discussion</w:t>
      </w:r>
      <w:r>
        <w:t xml:space="preserve"> interprets the results in the light of the literature reviewed in Chapter 2. It develops the concept of the decentralisation paradox, examines the gap between governance labelling and governance mechanics, considers capital concentration in the context of open and permissionless markets, and assesses the strategic implications of multi-chain deployment. It also addresses policy implications for regulators, builders, and investors.</w:t>
      </w:r>
    </w:p>
    <w:p>
      <w:r>
        <w:rPr>
          <w:b/>
        </w:rPr>
        <w:t>Chapter 6 — Conclusions</w:t>
      </w:r>
      <w:r>
        <w:t xml:space="preserve"> summarises the study's contributions, situates them relative to the original research questions, acknowledges limitations, and identifies directions for future research.</w:t>
      </w:r>
    </w:p>
    <w:p>
      <w:r>
        <w:rPr>
          <w:b/>
        </w:rPr>
        <w:t>Appendices</w:t>
      </w:r>
      <w:r>
        <w:t xml:space="preserve"> provide the full 48-variable codebook (Appendix A) and the analytical pipeline documentation with script sequence and reproducibility instructions (Appendix B).</w:t>
      </w:r>
    </w:p>
    <w:p>
      <w:r>
        <w:br w:type="page"/>
      </w:r>
    </w:p>
    <w:p>
      <w:pPr>
        <w:pStyle w:val="Heading1"/>
      </w:pPr>
      <w:r>
        <w:t>Chapter 2 — Literature Review</w:t>
      </w:r>
    </w:p>
    <w:p>
      <w:pPr>
        <w:pStyle w:val="Heading2"/>
      </w:pPr>
      <w:r>
        <w:t>2.1 Blockchain Fundamentals and the DApp Ecosystem</w:t>
      </w:r>
    </w:p>
    <w:p>
      <w:pPr>
        <w:pStyle w:val="Heading3"/>
      </w:pPr>
      <w:r>
        <w:t>2.1.1 From Bitcoin to Programmable Blockchains</w:t>
      </w:r>
    </w:p>
    <w:p>
      <w:r>
        <w:t xml:space="preserve">The intellectual lineage of decentralised applications begins with Nakamoto's (2008) Bitcoin white paper, which demonstrated that a peer-to-peer electronic cash system could operate without a trusted third party by relying on cryptographic proof and a distributed ledger maintained through proof-of-work consensus. Bitcoin established the foundational primitives — append-only ledger, hash-linked blocks, decentralised validator set — but offered only a constrained scripting language that prevented general-purpose computation. The conceptual leap enabling DApps arrived with Buterin's (2014) Ethereum white paper, which proposed a Turing-complete virtual machine (the Ethereum Virtual Machine, EVM) embedded directly in a blockchain. Wood's (2014) Yellow Paper formalised the EVM specification and introduced </w:t>
      </w:r>
      <w:r>
        <w:rPr>
          <w:i/>
        </w:rPr>
        <w:t>gas</w:t>
      </w:r>
      <w:r>
        <w:t xml:space="preserve"> — a metering mechanism that priced computational steps to prevent infinite loops and allocate network resources. These two documents together define the technical substrate on which every DApp in the thesis dataset is ultimately deployed.</w:t>
      </w:r>
    </w:p>
    <w:p>
      <w:r>
        <w:t xml:space="preserve">A </w:t>
      </w:r>
      <w:r>
        <w:rPr>
          <w:i/>
        </w:rPr>
        <w:t>smart contract</w:t>
      </w:r>
      <w:r>
        <w:t xml:space="preserve">, in the sense established by this literature, is a deterministic programme stored on-chain whose execution is triggered by transactions and whose outputs are validated by every node in the network. Because no single entity controls execution, the smart contract displaces the trusted intermediary with verifiable logic (Cong &amp; He, 2019). A </w:t>
      </w:r>
      <w:r>
        <w:rPr>
          <w:i/>
        </w:rPr>
        <w:t>decentralised application</w:t>
      </w:r>
      <w:r>
        <w:t xml:space="preserve"> extends this primitive by composing one or more smart contracts with off-chain user interfaces and, in many cases, governance systems that allow stakeholders to amend the contract logic itself. The boundary between protocol and application is deliberately porous: a DApp's smart contracts define the rules of a financial market, a game economy, or a social coordination mechanism, while its governance layer determines who can change those rules and under what conditions.</w:t>
      </w:r>
    </w:p>
    <w:p>
      <w:pPr>
        <w:pStyle w:val="Heading3"/>
      </w:pPr>
      <w:r>
        <w:t>2.1.2 DApp Ecosystem Growth and Taxonomy</w:t>
      </w:r>
    </w:p>
    <w:p>
      <w:r>
        <w:t>Wu et al. (2019) conducted the first systematic empirical census of the DApp ecosystem, drawing on 734 applications catalogued across three aggregators — Ethereum, State of the DApps, and DappRadar. Their study established foundational structural facts that subsequent research has largely replicated at larger scale: activity is concentrated in fewer than 20 per cent of all DApps; approximately 75 per cent of DApps consist of a single smart contract; and only 15.7 per cent of DApps are fully open source. These findings already suggested that the ecosystem's technical decentralisation at the infrastructure layer coexists with highly unequal activity distribution at the application layer.</w:t>
      </w:r>
    </w:p>
    <w:p>
      <w:r>
        <w:t>The Politecnico di Milano Blockchain &amp; Web3 Observatory provides the institutional context most directly relevant to this thesis. Perego et al. (2023) surveyed 1,046 established blockchain projects and classified them into three categories: Internet of Value (28%), Blockchain for Business (54%), and Decentralised Web (18%). For 2022, BNB Chain was identified as the largest blockchain by DApp count and active users — a finding that motivates the thesis's multi-chain comparative design. The Observatory's 2022 DApp census (</w:t>
      </w:r>
      <w:r>
        <w:rPr>
          <w:i/>
        </w:rPr>
        <w:t>Censimento DApp 2022</w:t>
      </w:r>
      <w:r>
        <w:t>) introduced a structured classification schema covering DApp categories (DeFi, GameFi, NFT, Social, Infrastructure) and chain presence (Vella &amp; Ghezzi, 2022), which serves as the direct methodological predecessor to the 855-DApp dataset on which this thesis is based.</w:t>
      </w:r>
    </w:p>
    <w:p>
      <w:r>
        <w:t>The DApp sector taxonomy used throughout this thesis — DeFi, GameFi, NFT, Social, and Infrastructure — maps onto the broader classification proposed by Schär (2021), whose five-layer DeFi stack (settlement, asset, protocol, application, aggregation layers) provides a canonical structural reference for categorising DApp types within the financial sector. By 2024, the Observatory was tracking 500+ DApps and Web3 services annually, with multi-chain partnership strategies and user community dynamics emerging as dominant competitive themes (Vella &amp; Ghezzi, 2024).</w:t>
      </w:r>
    </w:p>
    <w:p>
      <w:r>
        <w:t>The operational economics of DApps are not uniform across sectors. Zarir et al. (2021) document significant variation in smart contract complexity and transaction gas costs across DApp categories: DeFi and gaming DApps exhibit systematically higher gas costs, creating effective entry barriers for smaller users and shaping which categories can achieve broad adoption. Frontiers in Blockchain (2023) further demonstrates that DApp utilisation is episodic rather than organic, with adoption spikes driven by speculative market events — the Terra-Luna collapse and FTX bankruptcy are identified as structural breaks in utilisation time series — rather than steady user growth.</w:t>
      </w:r>
    </w:p>
    <w:p>
      <w:pPr>
        <w:pStyle w:val="Heading3"/>
      </w:pPr>
      <w:r>
        <w:t>2.1.3 Blockchain Consensus Mechanisms and Gas Economics</w:t>
      </w:r>
    </w:p>
    <w:p>
      <w:r>
        <w:t xml:space="preserve">The practical functioning of blockchain networks as a substrate for DApps depends on the consensus mechanism that enforces agreement among distributed nodes. Two families of consensus have achieved widespread deployment. Proof-of-work (PoW), introduced by Nakamoto (2008) and still used by Bitcoin, requires miners to expend computational energy solving a cryptographic puzzle; the solution constitutes proof that the miner committed real-world resources, making the revision of history prohibitively costly. Proof-of-stake (PoS), adopted by Ethereum in September 2022 through </w:t>
      </w:r>
      <w:r>
        <w:rPr>
          <w:i/>
        </w:rPr>
        <w:t>The Merge</w:t>
      </w:r>
      <w:r>
        <w:t xml:space="preserve"> and used by BNB Chain (a delegated PoS variant), Solana, and Avalanche, replaces energy expenditure with capital at stake: validators lock native cryptocurrency as collateral, subject to </w:t>
      </w:r>
      <w:r>
        <w:rPr>
          <w:i/>
        </w:rPr>
        <w:t>slashing</w:t>
      </w:r>
      <w:r>
        <w:t xml:space="preserve"> conditions that destroy deposited stake if they behave dishonestly or fail to remain available. The transition from PoW to PoS reduced Ethereum's energy consumption by approximately 99.95 per cent (Ethereum Foundation, 2022), removing a significant regulatory and reputational barrier for institutional DApp deployment. For the thesis dataset, the overwhelming majority of DApps are deployed on PoS or delegated-PoS networks — Ethereum, BNB Chain, Polygon, Solana — meaning that validator economics, rather than mining economics, govern the security guarantees of the underlying settlement layer.</w:t>
      </w:r>
    </w:p>
    <w:p>
      <w:r>
        <w:t>For DApp operators and users, the most economically salient consequence of consensus architecture is the gas fee system. On EVM-compatible networks, every computational step and every unit of storage consumed by a smart contract transaction carries a gas cost; the total gas consumed multiplied by the gas price gives the transaction fee paid to validators. Zarir et al. (2021) document that DeFi and gaming DApps exhibit systematically higher per-transaction gas costs than simpler token transfer applications, creating effective entry barriers that shape which user demographics and transaction sizes are economically viable on a given network. Ethereum's EIP-1559, implemented in August 2021, reformed the fee market by introducing an algorithmically adjusted base fee — burned rather than paid to validators — alongside an optional priority tip. This mechanism tightens the relationship between network congestion and fee expenditure but does not alter the fundamental constraint that complex multi-step DApp operations remain orders of magnitude more expensive than simple payments.</w:t>
      </w:r>
    </w:p>
    <w:p>
      <w:r>
        <w:t>Layer 2 (L2) scaling solutions address this cost constraint by batching transactions off the main chain and posting cryptographic commitments to layer 1. Optimistic rollups — the architecture underlying Arbitrum and Optimism — assume transaction validity by default and allow a challenge window for fraud proofs; zero-knowledge rollups, implemented by zkSync, Starknet, and Polygon zkEVM, generate succinct validity proofs that guarantee correctness without a challenge period. By reducing per-transaction costs by one to two orders of magnitude, L2 networks have enabled classes of DApp that are economically infeasible on Ethereum mainnet: high-frequency on-chain trading, real-time gaming economies, and micropayment-based social interactions. The multi-chain dimension of the thesis dataset captures both mainnet and L2 deployments across ten networks, making the gas economics of distinct deployment environments relevant to interpreting adoption patterns in the empirical results.</w:t>
      </w:r>
    </w:p>
    <w:p>
      <w:pPr>
        <w:pStyle w:val="Heading3"/>
      </w:pPr>
      <w:r>
        <w:t>2.1.4 DApp Architecture: On-Chain and Off-Chain Components</w:t>
      </w:r>
    </w:p>
    <w:p>
      <w:r>
        <w:t>A DApp is not a collection of smart contracts alone; it is a hybrid architecture in which on-chain and off-chain components serve distinct functional roles, and the decentralisation of the application as a whole depends on the decentralisation of every component in the stack. Understanding this architectural division is a prerequisite for the governance coding strategy employed in Chapter 3 and for interpreting the decentralisation classifications throughout Chapter 4.</w:t>
      </w:r>
    </w:p>
    <w:p>
      <w:r>
        <w:t xml:space="preserve">The </w:t>
      </w:r>
      <w:r>
        <w:rPr>
          <w:i/>
        </w:rPr>
        <w:t>on-chain layer</w:t>
      </w:r>
      <w:r>
        <w:t xml:space="preserve"> consists of smart contract logic, token balances, and event logs stored and validated by the blockchain network. Smart contracts define the rules of a protocol — the constant-product formula governing a DEX's swap pricing, the collateralisation ratio enforced by a lending protocol, or the voting weights specified in a governance contract — and their execution is verified by every full node in the network. Because contract state is publicly auditable and algorithmically enforced, the on-chain layer provides the strongest and most verifiable decentralisation guarantees available in the DApp architecture.</w:t>
      </w:r>
    </w:p>
    <w:p>
      <w:r>
        <w:t xml:space="preserve">The </w:t>
      </w:r>
      <w:r>
        <w:rPr>
          <w:i/>
        </w:rPr>
        <w:t>off-chain layer</w:t>
      </w:r>
      <w:r>
        <w:t xml:space="preserve"> introduces multiple points of potential centralisation that are architecturally necessary at current blockchain performance levels. User interfaces for virtually all DApps are served from conventional web infrastructure: despite the theoretical availability of IPFS-hosted frontends as a censorship-resistant alternative, most users access DApps through operator-controlled domain names, creating a single point of censorship absent from the protocol layer itself. Oracle networks — middleware that delivers real-world data to smart contracts — introduce external dependencies that no DApp can fully eliminate: a DeFi lending protocol relying on price feeds from a single oracle provider is only as decentralised as that oracle (Ellis, Juels, &amp; Nazarov, 2017). Event indexing services such as The Graph protocol allow DApps to perform complex queries on blockchain data efficiently but represent infrastructure dependencies that shift failure modes from verifiable on-chain logic to off-chain service availability. Many DApps additionally delegate significant computation to off-chain environments: order-matching engines for DEX aggregators, procedural generation in blockchain games, and content moderation in social DApps all represent logic that cannot be executed on-chain at acceptable gas costs. Aramonte et al. (2021) characterise the resulting gap as the "decentralisation illusion": fully decentralised on-chain logic is accessible to ordinary users only through partially centralised off-chain infrastructure, creating a layer of practical centralisation invisible to on-chain governance analysis alone. The governance coding strategy employed in this thesis accounts for this by recording both the formal on-chain governance mechanism and observable off-chain centralisation features — including team-controlled front-end infrastructure and single-provider oracle dependencies.</w:t>
      </w:r>
    </w:p>
    <w:p>
      <w:pPr>
        <w:pStyle w:val="Heading3"/>
      </w:pPr>
      <w:r>
        <w:t>2.1.5 DApp Ecosystem Landscape</w:t>
      </w:r>
    </w:p>
    <w:p>
      <w:r>
        <w:t>The DApp ecosystem is organised into functional sectors that differ substantially in their economic models, user bases, governance requirements, and technical architectures. This diversity motivates the thesis's cross-category comparative design and makes sector-level characterisation a prerequisite for interpreting the empirical patterns in Chapter 4.</w:t>
      </w:r>
    </w:p>
    <w:p>
      <w:r>
        <w:rPr>
          <w:i/>
        </w:rPr>
        <w:t>Decentralised Finance (DeFi)</w:t>
      </w:r>
      <w:r>
        <w:t xml:space="preserve"> is the largest sector by total value locked and the most extensively studied in the academic literature. Its foundational primitive is the decentralised exchange (DEX), which replaces the order-book model of traditional exchanges with an automated market maker (AMM). Adams, Zinsmeister, and Robinson (2020) demonstrated in the Uniswap v2 protocol that a constant-product invariant — the product of two token reserves remaining constant after each swap — could sustain a permissionless, intermediary-free exchange accessible to any user with a compatible wallet. Generalised AMM designs have since extended this architecture to stablecoin swaps optimised for low slippage (Curve Finance), weighted multi-token portfolios (Balancer), and concentrated liquidity positions (Uniswap v3). Lending protocols — Aave, Compound, MakerDAO — implement over-collateralised borrowing with algorithmic interest rate curves, allowing users to borrow against locked collateral without a credit intermediary. Yield aggregators such as Yearn Finance compound returns by programmatically reallocating capital across lending and liquidity-provision opportunities. The composability of these primitives — where a single transaction can combine a flash loan, a DEX swap, and a collateral deposit — defines DeFi's </w:t>
      </w:r>
      <w:r>
        <w:rPr>
          <w:i/>
        </w:rPr>
        <w:t>money-lego</w:t>
      </w:r>
      <w:r>
        <w:t xml:space="preserve"> architecture and creates winner-takes-ecosystem liquidity dynamics: protocols with higher TVL attract disproportionate integrations, which attract more liquidity, which attracts more users, amplifying initial advantages in the feedback loop documented by Schär (2021).</w:t>
      </w:r>
    </w:p>
    <w:p>
      <w:r>
        <w:rPr>
          <w:i/>
        </w:rPr>
        <w:t>GameFi and NFT applications</w:t>
      </w:r>
      <w:r>
        <w:t xml:space="preserve"> represent the second-largest sector in the thesis dataset. Blockchain gaming applications use non-fungible tokens (NFTs) to represent in-game assets — characters, items, and virtual land — granting players verifiable on-chain ownership tradeable on secondary markets without operator permission. The ERC-721 standard (Entriken, Shirley, Evans, &amp; Sachs, 2018) defines the technical interface for non-fungible tokens on Ethereum-compatible chains; ERC-1155 extends this to support both fungible and non-fungible tokens within a single contract, reducing deployment costs for large item inventories typical of gaming DApps. The </w:t>
      </w:r>
      <w:r>
        <w:rPr>
          <w:i/>
        </w:rPr>
        <w:t>play-to-earn</w:t>
      </w:r>
      <w:r>
        <w:t xml:space="preserve"> (P2E) model, popularised by Axie Infinity during 2020–2021, sought to create economic activity around gameplay by distributing fungible reward tokens to active players. Its unsustainable emission economics — token release rates that outpaced demand, generating hyperinflationary price dynamics — produced severe market contractions and motivated subsequent emphasis on designs that decouple entertainment value from direct financial extraction (Frontiers in Blockchain, 2023). Standalone NFT marketplaces facilitate the issuance and secondary trading of digital collectibles; Ante (2021) documents extreme power-law concentration in NFT market volume, consistent with superstar dynamics in traditional collectibles markets where a small number of collections capture a disproportionate share of activity.</w:t>
      </w:r>
    </w:p>
    <w:p>
      <w:r>
        <w:rPr>
          <w:i/>
        </w:rPr>
        <w:t>Social and infrastructure DApps</w:t>
      </w:r>
      <w:r>
        <w:t xml:space="preserve"> constitute smaller but strategically significant sectors. Social DApps — decentralised identity protocols, content platforms, and prediction markets — use blockchain to provide portable user identity and censorship-resistant content storage, though user-experience friction from on-chain transaction requirements has constrained adoption relative to centralised alternatives. Infrastructure DApps — decentralised storage (Filecoin, Arweave), name resolution (Ethereum Name Service), and cross-chain bridge protocols — underpin the broader Web3 technology stack and represent a category where technical decentralisation is most directly relevant to product function: a decentralised storage protocol that distributes data across hundreds of independent nodes provides stronger fault-tolerance guarantees than one operated by a single entity, regardless of its governance structure.</w:t>
      </w:r>
    </w:p>
    <w:p>
      <w:pPr>
        <w:pStyle w:val="Heading2"/>
      </w:pPr>
      <w:r>
        <w:t>2.2 Governance in Blockchain Systems</w:t>
      </w:r>
    </w:p>
    <w:p>
      <w:pPr>
        <w:pStyle w:val="Heading3"/>
      </w:pPr>
      <w:r>
        <w:t>2.2.1 Conceptual Foundations</w:t>
      </w:r>
    </w:p>
    <w:p>
      <w:r>
        <w:t xml:space="preserve">The governance of blockchain systems has attracted increasing scholarly attention as it has become clear that the technical architecture of decentralisation does not automatically produce decentralised decision-making. Atzori (2017) argued, in an early theoretical examination, that </w:t>
      </w:r>
      <w:r>
        <w:rPr>
          <w:i/>
        </w:rPr>
        <w:t>blockchain-based governance</w:t>
      </w:r>
      <w:r>
        <w:t xml:space="preserve"> is itself a political construct that replicates power asymmetries in new forms: core developers and early token holders exert outsized influence regardless of the formal on-chain voting arrangements. Atzori's distinction between </w:t>
      </w:r>
      <w:r>
        <w:rPr>
          <w:i/>
        </w:rPr>
        <w:t>technical decentralisation</w:t>
      </w:r>
      <w:r>
        <w:t xml:space="preserve"> (permissionless access and distributed infrastructure) and </w:t>
      </w:r>
      <w:r>
        <w:rPr>
          <w:i/>
        </w:rPr>
        <w:t>governance decentralisation</w:t>
      </w:r>
      <w:r>
        <w:t xml:space="preserve"> (distributed decision-making power) establishes the conceptual tension that this thesis operationalises empirically.</w:t>
      </w:r>
    </w:p>
    <w:p>
      <w:r>
        <w:t xml:space="preserve">Cong and He (2019) formalised this tension in a theoretical model showing that smart contracts eliminate information asymmetry between platform operators and users but simultaneously create new governance challenges around protocol upgrades. Their key conceptual contribution is the distinction between </w:t>
      </w:r>
      <w:r>
        <w:rPr>
          <w:i/>
        </w:rPr>
        <w:t>hard governance</w:t>
      </w:r>
      <w:r>
        <w:t xml:space="preserve"> — rules encoded in immutable smart contract logic — and </w:t>
      </w:r>
      <w:r>
        <w:rPr>
          <w:i/>
        </w:rPr>
        <w:t>soft governance</w:t>
      </w:r>
      <w:r>
        <w:t xml:space="preserve"> — off-chain coordination, social norms, and signalling. A protocol cannot be upgraded without some form of soft governance, because smart contracts themselves cannot alter their own logic; the governance layer is therefore always partly off-chain, regardless of how it is marketed.</w:t>
      </w:r>
    </w:p>
    <w:p>
      <w:pPr>
        <w:pStyle w:val="Heading3"/>
      </w:pPr>
      <w:r>
        <w:t>2.2.2 On-Chain and Off-Chain Governance Mechanisms</w:t>
      </w:r>
    </w:p>
    <w:p>
      <w:r>
        <w:t>Empirical research on governance mechanisms has accelerated alongside the growth of the DeFi sector. Feichtinger et al. (2023) conducted an empirical analysis of 21 DAOs across DeFi protocols, documenting recurring governance pathologies: median voter participation below 10%, extreme proposer concentration (the top three addresses account for more than 50% of proposals in most DAOs), and a high proportion of governance votes with predetermined outcomes. The authors classify governance health across four dimensions — participation, proposer diversity, competitive voting, and decision quality — which directly informs the thesis's classification of DApps into "active governance" and "nominal governance" categories.</w:t>
      </w:r>
    </w:p>
    <w:p>
      <w:r>
        <w:t xml:space="preserve">Fritsch et al. (2022) extended this analysis to the voting power structure of major DeFi protocols (Uniswap, Compound, Aave, Maker), quantifying the Nakamoto coefficient, Gini coefficient, and Herfindahl-Hirschman Index (HHI) for each. Their central finding — that even in ostensibly decentralised protocols, three to ten delegate addresses control majority voting power — distinguishes between token </w:t>
      </w:r>
      <w:r>
        <w:rPr>
          <w:i/>
        </w:rPr>
        <w:t>holder</w:t>
      </w:r>
      <w:r>
        <w:t xml:space="preserve"> distribution and effective </w:t>
      </w:r>
      <w:r>
        <w:rPr>
          <w:i/>
        </w:rPr>
        <w:t>voting power</w:t>
      </w:r>
      <w:r>
        <w:t xml:space="preserve"> distribution. This distinction motivates the thesis's governance coding strategy, which captures both ownership concentration (as a proxy for potential voting power) and the actual governance mechanism in use.</w:t>
      </w:r>
    </w:p>
    <w:p>
      <w:r>
        <w:t xml:space="preserve">Hassan and De Filippi (2021) offer the most comprehensive typology of DAO governance, distinguishing between </w:t>
      </w:r>
      <w:r>
        <w:rPr>
          <w:i/>
        </w:rPr>
        <w:t>de jure</w:t>
      </w:r>
      <w:r>
        <w:t xml:space="preserve"> decentralisation (formal structures encoded in smart contracts) and </w:t>
      </w:r>
      <w:r>
        <w:rPr>
          <w:i/>
        </w:rPr>
        <w:t>de facto</w:t>
      </w:r>
      <w:r>
        <w:t xml:space="preserve"> decentralisation (actual distribution of decision-making influence). They identify four primary governance archetypes: token-based voting, reputation-based voting, multisig committee governance, and quadratic voting systems. In practice, the vast majority of DAOs use token-based voting, which systematically replicates financial inequality as governance power. This four-type taxonomy is adopted as the basis for the governance type classification variable in the thesis dataset.</w:t>
      </w:r>
    </w:p>
    <w:p>
      <w:pPr>
        <w:pStyle w:val="Heading3"/>
      </w:pPr>
      <w:r>
        <w:t>2.2.3 Timelocks and Multisig as Governance Primitives</w:t>
      </w:r>
    </w:p>
    <w:p>
      <w:r>
        <w:t>Beyond voting mechanisms, the literature identifies two technical instruments that moderate the immediacy of on-chain governance. Kiayias and Litos (2020) establish the theoretical architecture of timelocked dispute resolution in off-chain payment protocols; the timelock mechanism — which delays execution of state changes to allow community challenge — has been widely adopted in DApp governance, particularly in DeFi protocols with emergency shutdown mechanisms. A protocol that enforces a minimum delay between a governance vote passing and the change taking effect provides stakeholders a window to exit or object, thus partially compensating for low participation rates and proposal concentration.</w:t>
      </w:r>
    </w:p>
    <w:p>
      <w:r>
        <w:t>Multisig wallets similarly distribute control by requiring a threshold of signatures (</w:t>
      </w:r>
      <w:r>
        <w:rPr>
          <w:i/>
        </w:rPr>
        <w:t>k-of-n</w:t>
      </w:r>
      <w:r>
        <w:t>) before a transaction can be executed. In practice, multisig governance spans a wide range of effective centralisation: a 2-of-3 multisig controlled by core team members is functionally equivalent to team-controlled governance, while a 5-of-9 multisig across geographically and organisationally diverse signatories approaches meaningful decentralisation. The thesis dataset captures multisig composition as a component of the governance coding, allowing for analysis of how threshold design relates to other governance and market variables.</w:t>
      </w:r>
    </w:p>
    <w:p>
      <w:pPr>
        <w:pStyle w:val="Heading2"/>
      </w:pPr>
      <w:r>
        <w:t>2.3 Decentralisation Measurement</w:t>
      </w:r>
    </w:p>
    <w:p>
      <w:pPr>
        <w:pStyle w:val="Heading3"/>
      </w:pPr>
      <w:r>
        <w:t>2.3.1 Metrics Landscape</w:t>
      </w:r>
    </w:p>
    <w:p>
      <w:r>
        <w:t xml:space="preserve">The measurement of decentralisation has attracted a dedicated strand of empirical literature. Srinivasan and Lee (2017) introduced the </w:t>
      </w:r>
      <w:r>
        <w:rPr>
          <w:i/>
        </w:rPr>
        <w:t>Nakamoto coefficient</w:t>
      </w:r>
      <w:r>
        <w:t xml:space="preserve"> — the minimum number of entities that together control more than 50% of a critical system resource — as a single-number measure of decentralisation analogous to the Gini coefficient for income inequality. The Nakamoto coefficient is directly applicable to any distributional problem in a blockchain system: mining pool concentration, validator stake, governance token ownership, or voting power delegation.</w:t>
      </w:r>
    </w:p>
    <w:p>
      <w:r>
        <w:t xml:space="preserve">Ovezik et al. (2025) provide the most comprehensive synthesis of this literature in a Systematization of Knowledge (SoK) paper cataloguing the full landscape of decentralisation metrics. Their unified three-step measurement framework asks: (1) what is the relevant resource; (2) how is it distributed across entities; and (3) how should the distribution be aggregated into a scalar measure? The SoK evaluates the comparative strengths and weaknesses of the Nakamoto coefficient, Gini coefficient, HHI, Shannon entropy, and Theil index. Its most important finding for the present study is that nearly all existing empirical work measures decentralisation at the </w:t>
      </w:r>
      <w:r>
        <w:rPr>
          <w:i/>
        </w:rPr>
        <w:t>protocol layer</w:t>
      </w:r>
      <w:r>
        <w:t xml:space="preserve"> (consensus mechanism resources); </w:t>
      </w:r>
      <w:r>
        <w:rPr>
          <w:i/>
        </w:rPr>
        <w:t>application-layer</w:t>
      </w:r>
      <w:r>
        <w:t xml:space="preserve"> governance decentralisation remains, in the authors' characterisation, "severely understudied." This gap directly motivates the thesis's contribution.</w:t>
      </w:r>
    </w:p>
    <w:p>
      <w:pPr>
        <w:pStyle w:val="Heading3"/>
      </w:pPr>
      <w:r>
        <w:t>2.3.2 Application-Layer Governance Decentralisation</w:t>
      </w:r>
    </w:p>
    <w:p>
      <w:r>
        <w:t xml:space="preserve">Jensen et al. (2021) represent the closest existing work to the thesis's empirical contribution at the application layer. Their study measures governance token concentration across four DeFi protocols (Uniswap, Compound, Curve, Yearn) using Gini coefficients, Nakamoto coefficients, and entropy measures, finding that initial token distribution methodology significantly impacts medium-term voting power concentration: protocols using airdrops achieve more distributed governance than those that sold tokens through Initial Coin Offerings (ICOs). The study also demonstrates that governance token </w:t>
      </w:r>
      <w:r>
        <w:rPr>
          <w:i/>
        </w:rPr>
        <w:t>ownership</w:t>
      </w:r>
      <w:r>
        <w:t xml:space="preserve"> and active governance </w:t>
      </w:r>
      <w:r>
        <w:rPr>
          <w:i/>
        </w:rPr>
        <w:t>participation</w:t>
      </w:r>
      <w:r>
        <w:t xml:space="preserve"> are frequently decoupled — a finding that motivates the thesis's separation of ownership-based and participation-based decentralisation proxies.</w:t>
      </w:r>
    </w:p>
    <w:p>
      <w:r>
        <w:t>Rahimian and Hassan (2023) extend the measurement framework to multiple dimensions, proposing a decentralisation index that incorporates geographic distribution of voters, temporal consistency of participation, proposal diversity, and decision outcome diversity alongside the standard token distribution metrics. Protocols that score high on token distribution but low on temporal participation consistency display what the authors term "pseudo-decentralisation" — the appearance of distributed governance without its substance. This multidimensional framing supports the thesis's approach of coding governance across several variables (voting mechanism, multisig composition, timelock presence, ownership concentration) rather than relying on any single proxy.</w:t>
      </w:r>
    </w:p>
    <w:p>
      <w:pPr>
        <w:pStyle w:val="Heading3"/>
      </w:pPr>
      <w:r>
        <w:t>2.3.3 The Decentralisation Spectrum: Conceptual Framework and Thesis Taxonomy</w:t>
      </w:r>
    </w:p>
    <w:p>
      <w:r>
        <w:t xml:space="preserve">The literature surveyed above motivates a central insight: decentralisation is not a binary property that a DApp either possesses or lacks, but a multi-dimensional continuum along which any given application occupies a specific position at a specific moment in time. This thesis formalises that insight into an operational three-tier taxonomy — </w:t>
      </w:r>
      <w:r>
        <w:rPr>
          <w:i/>
        </w:rPr>
        <w:t>fully decentralised</w:t>
      </w:r>
      <w:r>
        <w:t xml:space="preserve">, </w:t>
      </w:r>
      <w:r>
        <w:rPr>
          <w:i/>
        </w:rPr>
        <w:t>semi-decentralised</w:t>
      </w:r>
      <w:r>
        <w:t xml:space="preserve">, and </w:t>
      </w:r>
      <w:r>
        <w:rPr>
          <w:i/>
        </w:rPr>
        <w:t>centralised</w:t>
      </w:r>
      <w:r>
        <w:t xml:space="preserve"> — that serves as the primary classification variable throughout Chapters 3, 4, and 5. This section establishes the conceptual foundations and explicit definitional criteria for each tier, grounding the taxonomy in the scholarly literature and in practitioner frameworks that have shaped how the Web3 industry itself conceptualises governance design.</w:t>
      </w:r>
    </w:p>
    <w:p>
      <w:r>
        <w:rPr>
          <w:b/>
        </w:rPr>
        <w:t>The case for a spectrum.</w:t>
      </w:r>
      <w:r>
        <w:t xml:space="preserve"> Atzori (2017) established the foundational distinction between </w:t>
      </w:r>
      <w:r>
        <w:rPr>
          <w:i/>
        </w:rPr>
        <w:t>technical decentralisation</w:t>
      </w:r>
      <w:r>
        <w:t xml:space="preserve"> — permissionless access, distributed infrastructure, no single point of failure at the network layer — and </w:t>
      </w:r>
      <w:r>
        <w:rPr>
          <w:i/>
        </w:rPr>
        <w:t>governance decentralisation</w:t>
      </w:r>
      <w:r>
        <w:t xml:space="preserve"> — the actual distribution of decision-making authority over protocol upgrades, treasury disbursements, and parameter changes. A protocol can score high on one axis while scoring low on the other: Ethereum itself is technically highly decentralised at the consensus layer while exhibiting meaningful centralisation at the application layer, where core development teams and venture-backed foundations set the dominant direction. Hassan and De Filippi (2021) sharpen this with the </w:t>
      </w:r>
      <w:r>
        <w:rPr>
          <w:i/>
        </w:rPr>
        <w:t>de jure / de facto</w:t>
      </w:r>
      <w:r>
        <w:t xml:space="preserve"> distinction: the formal structures encoded in smart contracts may specify on-chain voting mechanisms and token-holder supremacy, while the real distribution of governance power — determined by token supply concentration, proposal barriers, and delegation patterns — may remain tightly held by a small group. Aramonte et al. (2021) document this gap empirically at scale, arguing that "the decentralisation illusion" arises precisely because the </w:t>
      </w:r>
      <w:r>
        <w:rPr>
          <w:i/>
        </w:rPr>
        <w:t>legal fiction</w:t>
      </w:r>
      <w:r>
        <w:t xml:space="preserve"> of decentralisation, embedded in immutable smart contract code, does not automatically produce the </w:t>
      </w:r>
      <w:r>
        <w:rPr>
          <w:i/>
        </w:rPr>
        <w:t>sociological reality</w:t>
      </w:r>
      <w:r>
        <w:t xml:space="preserve"> of distributed governance. These three conceptual contributions — the technical/governance split, the de jure/de facto gap, and the decentralisation illusion — jointly justify treating decentralisation as a graded spectrum rather than a threshold property.</w:t>
      </w:r>
    </w:p>
    <w:p>
      <w:r>
        <w:rPr>
          <w:b/>
        </w:rPr>
        <w:t>Tier 1: Fully Decentralised.</w:t>
      </w:r>
      <w:r>
        <w:t xml:space="preserve"> A DApp is classified as </w:t>
      </w:r>
      <w:r>
        <w:rPr>
          <w:i/>
        </w:rPr>
        <w:t>fully decentralised</w:t>
      </w:r>
      <w:r>
        <w:t xml:space="preserve"> when no identifiable actor or coordinated coalition below a genuine supermajority threshold retains privileged unilateral control over the protocol's core logic, treasury, or user funds. Operationally, this tier requires all three of the following: (a) smart contract logic that is either immutable or upgradable only through an on-chain governance process with a timelock of sufficient duration — typically 48 hours or more — to allow community challenge and exit; (b) governance token ownership sufficiently dispersed that the minimum number of entities required to control a blocking stake (the Nakamoto coefficient, as defined by Srinivasan and Lee, 2017) exceeds any realistic coordination threshold; and (c) the absence of administrative keys, emergency override mechanisms controlled by a single party, or oracle dependencies that create a centralised point of failure. In practice, very few DApps meet all three criteria simultaneously. Among well-known protocols, Liquity is frequently cited as an approximation of this tier: its core contracts are non-upgradable, the protocol operates without governance votes on core parameters, and liquidity provisioning is distributed across independent front-ends with no privileged provider. Within the thesis dataset, the small subset of fully decentralised DApps tends to cluster in the Infrastructure category and, paradoxically, to exhibit lower market capitalisation and user activity than their semi-decentralised counterparts — a finding that becomes central to the "decentralisation paradox" analysis of Chapter 5.</w:t>
      </w:r>
    </w:p>
    <w:p>
      <w:r>
        <w:rPr>
          <w:b/>
        </w:rPr>
        <w:t>Tier 2: Semi-Decentralised.</w:t>
      </w:r>
      <w:r>
        <w:t xml:space="preserve"> The </w:t>
      </w:r>
      <w:r>
        <w:rPr>
          <w:i/>
        </w:rPr>
        <w:t>semi-decentralised</w:t>
      </w:r>
      <w:r>
        <w:t xml:space="preserve"> tier captures the large majority of DApps that have deployed governance mechanisms in good faith — on-chain voting, multi-signature wallets, timelocks, governance tokens — but retain meaningful centralising features that prevent genuine community sovereignty. The most common centralising features in this tier are: governance token distributions that concentrate voting power among founding teams and early venture capital investors; timelocks short enough that coordinated action by a small group could execute upgrades before the broader community mobilises; and multisig configurations that are nominally distributed but whose signatories are geographically, financially, and organisationally linked. Feichtinger et al. (2023) document this posture empirically across 21 DAOs: median voter participation below 10%, top-three proposer addresses controlling more than 50% of proposals, and high proportions of governance votes with predetermined outcomes. Under the thesis's classification, major protocols such as Uniswap, Compound, Aave, and MakerDAO all occupy the semi-decentralised tier despite their reputations as DeFi governance exemplars — their on-chain mechanisms are genuine but their effective power distributions are narrow. Dixon (2021), writing from the practitioner standpoint at Andreessen Horowitz, frames this posture as a deliberate lifecycle strategy under the term </w:t>
      </w:r>
      <w:r>
        <w:rPr>
          <w:i/>
        </w:rPr>
        <w:t>progressive decentralisation</w:t>
      </w:r>
      <w:r>
        <w:t>: protocols launch under team control for operational coherence and security assurance, then incrementally transfer control to token-holding communities as the protocol matures and the security risks of full decentralisation become manageable. This trajectory explains why the thesis dataset is dominated by the semi-decentralised tier: most DApps are, by design or by circumstance, in transit along the decentralisation spectrum rather than at either endpoint. Rahimian and Hassan's (2023) concept of pseudo-decentralisation names the failure mode within this tier — protocols that have completed the formal steps of governance design without producing the distributional outcomes those steps were intended to create.</w:t>
      </w:r>
    </w:p>
    <w:p>
      <w:r>
        <w:rPr>
          <w:b/>
        </w:rPr>
        <w:t>Tier 3: Centralised.</w:t>
      </w:r>
      <w:r>
        <w:t xml:space="preserve"> A DApp is classified as </w:t>
      </w:r>
      <w:r>
        <w:rPr>
          <w:i/>
        </w:rPr>
        <w:t>centralised</w:t>
      </w:r>
      <w:r>
        <w:t xml:space="preserve"> when one or a small number of identifiable actors exercises effective unilateral control over protocol decisions, user funds, or core operations, regardless of whether the application is deployed on a public blockchain. This tier captures applications that use blockchain infrastructure for its settlement efficiency, censorship resistance, or marketing connotations, but do not expose governance authority to meaningful community participation. Centralised DApps commonly include: NFT platforms whose contract administrator keys are held by the founding team and can mint, burn, or modify token metadata without user consent; gaming DApps with off-chain game logic and economic parameters controlled exclusively by the developer; social DApps where content moderation rules and protocol parameters remain at the full discretion of a single organisation; and DeFi protocols with oracle price feeds controlled by the deploying team and upgrade mechanisms with no timelock or community veto. Within the thesis dataset, centralised DApps are disproportionately represented in the Gaming and NFT sectors, where the technical affordances of blockchain — digital ownership, transparent transaction records, secondary market tradability — are valuable without requiring governance decentralisation. Their market performance and user adoption patterns form a key empirical contrast case against the semi-decentralised and fully decentralised tiers in Chapter 4.</w:t>
      </w:r>
    </w:p>
    <w:p>
      <w:r>
        <w:rPr>
          <w:b/>
        </w:rPr>
        <w:t>Operational boundaries and methodological implications.</w:t>
      </w:r>
      <w:r>
        <w:t xml:space="preserve"> The boundaries between tiers are inherently contested in a domain where governance documentation is incomplete and token distributions are dynamic. The thesis adopts conservative boundary rules — a DApp is classified into the more centralised tier when evidence is ambiguous — and the coding decision tree in §3.4.2 translates these conceptual boundaries into explicit, reproducible classification rules. The taxonomy deliberately does not attempt to resolve every edge case; its purpose is to establish a stable cross-sectional classification at the time of data collection that enables the empirical comparisons in Chapters 4 and 5, not to adjudicate the long-run governance trajectories of individual protocols. Where possible, the thesis notes when a DApp's position on the spectrum appears to be in active transition — as indicated by announced governance migration plans, recent multisig expansion, or newly deployed timelocks — but treats such transitions as qualitative context rather than reclassification grounds, since the analysis is cross-sectional by design.</w:t>
      </w:r>
    </w:p>
    <w:p>
      <w:pPr>
        <w:pStyle w:val="Heading2"/>
      </w:pPr>
      <w:r>
        <w:t>2.4 Platform Economics and Market Concentration</w:t>
      </w:r>
    </w:p>
    <w:p>
      <w:pPr>
        <w:pStyle w:val="Heading3"/>
      </w:pPr>
      <w:r>
        <w:t>2.4.1 DApps as Multi-Sided Platforms</w:t>
      </w:r>
    </w:p>
    <w:p>
      <w:r>
        <w:t>The theoretical architecture for understanding DApp market structure is grounded in platform economics. Parker et al. (2016) establish the foundational framework: platforms create value by facilitating interactions between distinct user groups, generating indirect network externalities — the value a user on one side derives from participation by users on the other side. Winner-takes-most dynamics emerge because the platform with the largest network on either side attracts the most participants from the other side, compounding its advantage. These dynamics are well documented in traditional digital markets and provide the baseline from which DApp market structures either conform or deviate.</w:t>
      </w:r>
    </w:p>
    <w:p>
      <w:r>
        <w:t xml:space="preserve">Trabucchi et al. (2020) extend this analysis to blockchain-enabled platforms through a multiple-case-study investigation of five Ethereum DApp marketplaces. Their central insight is that blockchain transforms traditional platform providers into </w:t>
      </w:r>
      <w:r>
        <w:rPr>
          <w:i/>
        </w:rPr>
        <w:t>service providers</w:t>
      </w:r>
      <w:r>
        <w:t xml:space="preserve"> who leverage blockchain as Platform-as-a-Service (PaaS), with tokens replacing transaction fees as the primary externality mechanism. The concept of </w:t>
      </w:r>
      <w:r>
        <w:rPr>
          <w:i/>
        </w:rPr>
        <w:t>value sharing</w:t>
      </w:r>
      <w:r>
        <w:t xml:space="preserve"> — where value is distributed to ecosystem participants rather than captured by a central operator — is identified as a fundamental departure from traditional platform economics. The paper introduces a four-variable framework characterising blockchain-enabled platforms: governance model, token type, user type, and value-sharing mechanism. Each of these dimensions corresponds to variables in the thesis dataset, making Trabucchi et al. (2020) the closest existing empirical paper to this study's research design.</w:t>
      </w:r>
    </w:p>
    <w:p>
      <w:r>
        <w:t xml:space="preserve">Trabucchi and Buganza (2022) further propose the concept of </w:t>
      </w:r>
      <w:r>
        <w:rPr>
          <w:i/>
        </w:rPr>
        <w:t>Hybrid Multi-Sided Platforms</w:t>
      </w:r>
      <w:r>
        <w:t xml:space="preserve"> to describe platforms that combine transaction-enabling and community-building functions simultaneously. DApps that run financial transactions on-chain while governing protocol upgrades through token voting exemplify this hybrid form: the same token serves as both medium of exchange and governance instrument. The "landlords with no lands" metaphor captures the economic position of governance token holders who extract value from protocol revenues without owning the underlying infrastructure — a characterisation that maps directly to the DApp governance structures catalogued in the thesis.</w:t>
      </w:r>
    </w:p>
    <w:p>
      <w:pPr>
        <w:pStyle w:val="Heading3"/>
      </w:pPr>
      <w:r>
        <w:t>2.4.2 DeFi as a Platform Ecosystem</w:t>
      </w:r>
    </w:p>
    <w:p>
      <w:r>
        <w:t xml:space="preserve">Schär (2021) provides the canonical taxonomy of the DeFi stack, characterising it as a five-layer architecture in which each layer depends on and builds upon the layers below it. The </w:t>
      </w:r>
      <w:r>
        <w:rPr>
          <w:i/>
        </w:rPr>
        <w:t>composability</w:t>
      </w:r>
      <w:r>
        <w:t xml:space="preserve"> of DeFi protocols — the ability of one application to interact programmatically with another — creates winner-takes-ecosystem dynamics: protocols with high Total Value Locked (TVL) attract disproportionate integrations and user flows, amplifying initial advantages. This "money lego" dynamic explains why TVL concentration in the DeFi sector is even more extreme than user concentration, as liquidity attracts liquidity.</w:t>
      </w:r>
    </w:p>
    <w:p>
      <w:r>
        <w:t>Aramonte et al. (2021), writing for the Bank for International Settlements, provide an institutional perspective on DeFi's structural risks that directly corroborates the thesis's empirical findings. Their analysis documents governance token ownership concentration, smart contract vulnerabilities, and the centralised intermediaries (oracles, bridges, user interfaces) that underpin ostensibly decentralised protocols. The BIS report's central claim — that effective control in most major DeFi protocols is concentrated in a small number of development teams and token whales, creating a "decentralisation illusion" — provides regulatory framing for interpreting the thesis's finding that 86.8% of the strict sample is not fully decentralised.</w:t>
      </w:r>
    </w:p>
    <w:p>
      <w:r>
        <w:t xml:space="preserve">Leiponen et al. (2022) characterise the DApp economy as a new form of distributed innovation platform and argue that the limited governability of open blockchain platforms — compared to centralised app stores — creates conditions for generativity and unpredictable innovation, but also makes strategic direction-setting by any single actor nearly impossible. Their framework introduces </w:t>
      </w:r>
      <w:r>
        <w:rPr>
          <w:i/>
        </w:rPr>
        <w:t>transaction validators</w:t>
      </w:r>
      <w:r>
        <w:t xml:space="preserve"> as a new economic actor type and argues that decentralisation shifts the locus of value capture from platform providers to token holders and validators. The thesis operationalises many of these constructs at scale.</w:t>
      </w:r>
    </w:p>
    <w:p>
      <w:pPr>
        <w:pStyle w:val="Heading3"/>
      </w:pPr>
      <w:r>
        <w:t>2.4.3 NFT and Gaming Market Concentration</w:t>
      </w:r>
    </w:p>
    <w:p>
      <w:r>
        <w:t>Ante (2021) documents power-law distributions in NFT market activity on Ethereum — volume and price are both highly concentrated around a small number of collections and creators, consistent with winner-takes-all dynamics in digital collectibles markets. Zhang et al. (2019) demonstrate that DApp adoption follows social contagion patterns analogous to product diffusion, with strong peer influence effects but rapid retention decay. These sector-specific studies provide empirical precedents for the concentration patterns observed in the empirical results and support the interpretation that market dominance in the DApp ecosystem reflects network effect dynamics rather than purely merit-based selection.</w:t>
      </w:r>
    </w:p>
    <w:p>
      <w:pPr>
        <w:pStyle w:val="Heading3"/>
      </w:pPr>
      <w:r>
        <w:t>2.4.4 Key Metrics for DApp Evaluation</w:t>
      </w:r>
    </w:p>
    <w:p>
      <w:r>
        <w:t>Academic and practitioner analysis of DApps employs a set of performance metrics with no direct analogues in traditional platform economics; their definitions, data sources, and limitations warrant explicit treatment as context for the empirical analysis in Chapter 4.</w:t>
      </w:r>
    </w:p>
    <w:p>
      <w:r>
        <w:rPr>
          <w:i/>
        </w:rPr>
        <w:t>Total Value Locked (TVL)</w:t>
      </w:r>
      <w:r>
        <w:t xml:space="preserve"> is the most widely cited DeFi performance metric, representing the aggregate market value of cryptographic assets deposited in a protocol's smart contracts as collateral, liquidity, or staked positions. DeFi Llama, the primary data aggregator for TVL, computes this figure by summing the current market values of all tokens held in a protocol's contracts across all deployed chains. TVL serves as a useful proxy for protocol scale and user trust — depositing assets in a smart contract implies confidence in its security and viability — but exhibits significant limitations: it is sensitive to asset price volatility (TVL can fall by half within days without any change in deposited quantity), is not normalised for the economic value of the underlying assets, and does not capture protocol revenue, unique user counts, or transaction throughput as independent dimensions of health. Schär (2021) notes that liquidity concentration in DeFi amplifies TVL as a competitive signal: high TVL attracts integrations, which attract further liquidity, creating a feedback loop that makes TVL the dominant measure of protocol standing in the DeFi ecosystem.</w:t>
      </w:r>
    </w:p>
    <w:p>
      <w:r>
        <w:rPr>
          <w:i/>
        </w:rPr>
        <w:t>Market capitalisation and fully diluted valuation (FDV)</w:t>
      </w:r>
      <w:r>
        <w:t xml:space="preserve"> are the primary financial scale metrics for protocol tokens. Market capitalisation is the current token price multiplied by circulating supply — the tokens currently in existence and not subject to active vesting or lock schedules. FDV is the current price multiplied by maximum possible supply, representing the capitalisation a project would have if all tokens were in circulation today. The ratio of market capitalisation to FDV indicates future dilution risk: a low ratio signals that a large fraction of total supply has yet to enter circulation, implying significant potential downward pressure on existing holders when vesting schedules expire. Cong et al. (2021) model how the interplay between circulating and locked supply shapes speculative adoption dynamics, with FDV/market cap ratios functioning as a forward-looking indicator that sophisticated market participants use to price inflation risk.</w:t>
      </w:r>
    </w:p>
    <w:p>
      <w:r>
        <w:rPr>
          <w:i/>
        </w:rPr>
        <w:t>Active users and transaction volume</w:t>
      </w:r>
      <w:r>
        <w:t xml:space="preserve"> provide adoption metrics that are not confounded by asset price movements. Active user counts — typically measured as unique on-chain addresses interacting with a protocol's smart contracts in a given period — offer a size-independent adoption proxy. Transaction volume, measured in the native currency or USD equivalent, captures economic throughput. Both metrics are complicated by the prevalence of bot activity and wash trading on public blockchains: address counts overstate organic users because a single entity can operate many addresses, and volume can be inflated by self-referential circular transactions. Frontiers in Blockchain (2023) document the episodic concentration of DApp activity around market events, underscoring that aggregate volume metrics are sensitive to non-organic spikes that obscure underlying adoption trends.</w:t>
      </w:r>
    </w:p>
    <w:p>
      <w:r>
        <w:rPr>
          <w:i/>
        </w:rPr>
        <w:t>Governance participation rate</w:t>
      </w:r>
      <w:r>
        <w:t xml:space="preserve"> measures the proportion of eligible governance token supply that votes in a given proposal or round. High participation implies governance decisions reflect a broad stakeholder base; low rates — as documented by Feichtinger et al. (2023), who report median participation below 10 per cent in major DeFi DAOs — imply that outcomes are determined by a small, active minority. Participation rates must be interpreted alongside power concentration metrics: a 15 per cent participation rate is consistent with either broadly distributed or highly concentrated effective governance, depending on which token holders constitute that active fraction.</w:t>
      </w:r>
    </w:p>
    <w:p>
      <w:r>
        <w:rPr>
          <w:i/>
        </w:rPr>
        <w:t>Multi-chain deployment count</w:t>
      </w:r>
      <w:r>
        <w:t xml:space="preserve"> records the number of distinct blockchain networks on which a DApp maintains active smart contracts. This metric captures distribution strategy and exposure to multiple user bases and gas environments. As Perego et al. (2023) document, multi-chain partnership strategies have emerged as a dominant competitive theme in the Web3 industry; the thesis dataset codes this variable in both binary and ordinal form, enabling analysis of its relationship to governance structure, sector membership, and market capitalisation.</w:t>
      </w:r>
    </w:p>
    <w:p>
      <w:pPr>
        <w:pStyle w:val="Heading2"/>
      </w:pPr>
      <w:r>
        <w:t>2.5 Token Design and Incentive Structures</w:t>
      </w:r>
    </w:p>
    <w:p>
      <w:pPr>
        <w:pStyle w:val="Heading3"/>
      </w:pPr>
      <w:r>
        <w:t>2.5.1 Tokenomics and Value Dynamics</w:t>
      </w:r>
    </w:p>
    <w:p>
      <w:r>
        <w:t xml:space="preserve">Cong et al. (2021) provide the foundational theoretical model of token adoption and valuation dynamics. Tokens serve dual functions: as a </w:t>
      </w:r>
      <w:r>
        <w:rPr>
          <w:i/>
        </w:rPr>
        <w:t>medium of exchange</w:t>
      </w:r>
      <w:r>
        <w:t xml:space="preserve"> for platform services (utility dimension) and as a </w:t>
      </w:r>
      <w:r>
        <w:rPr>
          <w:i/>
        </w:rPr>
        <w:t>store of speculative value</w:t>
      </w:r>
      <w:r>
        <w:t xml:space="preserve"> (financial dimension). The model shows that the speculative component creates self-fulfilling adoption cycles — platform growth drives token appreciation, which attracts new users, which drives further growth — but also implies that when speculative cycles reverse, tokens provide weaker adoption incentives than traditional pricing mechanisms. This dual-function tension is directly observable in the thesis dataset: governance tokens in the strict sample are held partly for their voting rights and partly for capital appreciation, and the balance between these motivations shapes participation rates.</w:t>
      </w:r>
    </w:p>
    <w:p>
      <w:r>
        <w:t>Li and Mann (2018) model the platform-building incentives created by ICOs, showing that token pre-sales enable DApps to solve the classic chicken-and-egg problem of two-sided markets by monetising future platform utility before the platform exists. However, ICOs create governance coordination problems: early investors who bought tokens at a discount have systematically different incentives from later users, because they benefit primarily from token appreciation rather than platform utility growth. This misalignment is most acute in governance token structures, where early investors' financial interests may diverge from the governance decisions that would maximise long-run platform value. The thesis's governance coding captures funding type as a variable, enabling an empirical test of whether ICO-funded DApps exhibit more centralised governance structures.</w:t>
      </w:r>
    </w:p>
    <w:p>
      <w:pPr>
        <w:pStyle w:val="Heading3"/>
      </w:pPr>
      <w:r>
        <w:t>2.5.2 Governance Token Design and Control</w:t>
      </w:r>
    </w:p>
    <w:p>
      <w:r>
        <w:t>Boreiko et al. (2019), analysing 253 ICOs, document how governance token design reflects founding teams' desire to retain control while projecting decentralisation. Most ICO tokens blur the regulatory distinction between utility tokens (access rights) and security tokens (ownership rights), with governance tokens occupying a legally ambiguous middle ground. Governance token design choices — total supply, initial distribution, vesting schedules, voting weight allocations — are strategic decisions, not merely technical ones.</w:t>
      </w:r>
    </w:p>
    <w:p>
      <w:r>
        <w:t>Hassan and De Filippi's (2021) de jure/de facto decentralisation distinction is particularly salient in this context: a protocol may encode sophisticated on-chain governance mechanisms while the effective distribution of token supply ensures that a small number of founding-team wallets control outcomes. The thesis's governance coding explicitly captures both the formal mechanism and proxies for effective control to identify this gap.</w:t>
      </w:r>
    </w:p>
    <w:p>
      <w:r>
        <w:t>Tan and Shi (2023) provide longitudinal evidence that governance design choices at protocol launch are predictive of long-term community health. Their study of 47 DAOs over three or more years finds that DAOs with higher governance participation rates and more diversified treasuries show better survival rates. This result motivates the thesis's inclusion of governance variables alongside financial metrics in analysing DApp market dynamics: governance is not merely a descriptive dimension but a structural variable associated with organisational viability.</w:t>
      </w:r>
    </w:p>
    <w:p>
      <w:pPr>
        <w:pStyle w:val="Heading2"/>
      </w:pPr>
      <w:r>
        <w:t>2.6 Statistical Methods for Ecosystem Analysis</w:t>
      </w:r>
    </w:p>
    <w:p>
      <w:r>
        <w:t>Empirical studies of complex digital ecosystems routinely combine several distinct statistical techniques to characterise structure, measure relationships, and reduce dimensionality in data that are simultaneously high-dimensional, non-normal, and composed of heterogeneous variable types. This section situates the five analytical methods employed in this thesis — cross-tabulation, Spearman rank correlation, K-means clustering, principal component analysis, and general correlation analysis — within the relevant methodological literature, explaining what each technique does, under what conditions it is appropriate, and why it was selected for the present study.</w:t>
      </w:r>
    </w:p>
    <w:p>
      <w:pPr>
        <w:pStyle w:val="Heading3"/>
      </w:pPr>
      <w:r>
        <w:t>2.6.1 Cross-Tabulation Analysis</w:t>
      </w:r>
    </w:p>
    <w:p>
      <w:r>
        <w:t>Cross-tabulation (also termed contingency table analysis) is the foundational technique for examining the joint distribution of two or more categorical variables. A cross-tabulation presents the observed frequency of each combination of category values in a two-dimensional matrix; associated inferential statistics — Pearson's chi-squared test, Fisher's exact test for small cell counts, and Cramér's V as a standardised effect-size measure — allow the analyst to assess whether the association between the two variables is stronger than chance would predict (Agresti, 2002).</w:t>
      </w:r>
    </w:p>
    <w:p>
      <w:r>
        <w:t>The chi-squared statistic tests the null hypothesis that the two categorical variables are independent; Fisher's exact test is preferable when expected cell frequencies fall below five, a condition that frequently arises in modest-sized samples. Cramér's V maps the chi-squared statistic onto the [0, 1] interval regardless of table dimensions, making it directly comparable across tables of different sizes — a useful property when comparing the strength of several governance associations in the same dataset.</w:t>
      </w:r>
    </w:p>
    <w:p>
      <w:r>
        <w:t>Cross-tabulation is the natural method of choice whenever both variables are nominal or ordinal categorical variables and the research question concerns co-occurrence patterns rather than continuous relationships. For this thesis, cross-tabulation is used to examine how governance type, ownership status, and level of decentralisation co-vary with sector membership and with binary adoption variables. Because all three governance variables were coded as ordered or nominal categories, and because the sector taxonomy is nominal, cross-tabulation is methodologically appropriate and interpretatively transparent. The governance coding scheme of the thesis, with its three-tier decentralisation taxonomy, follows the categorical analysis tradition established by Hassan and De Filippi (2021) and Feichtinger et al. (2023), both of whom use contingency analysis to describe governance co-occurrence patterns.</w:t>
      </w:r>
    </w:p>
    <w:p>
      <w:pPr>
        <w:pStyle w:val="Heading3"/>
      </w:pPr>
      <w:r>
        <w:t>2.6.2 Spearman Rank Correlation</w:t>
      </w:r>
    </w:p>
    <w:p>
      <w:r>
        <w:t>Spearman's rank-order correlation coefficient (ρ) measures the strength and direction of the monotonic relationship between two variables by operating on their ranks rather than their raw values (Spearman, 1904). Because it is a rank-based non-parametric statistic, Spearman's ρ is robust to extreme values, does not assume normality, and is appropriate for ordinal variables and for interval or ratio variables whose distributions are highly skewed — all of which describe the financial and adoption metrics in the thesis dataset (market capitalisation, TVL, and active user counts are characteristically right-skewed to an extreme degree in digital asset markets).</w:t>
      </w:r>
    </w:p>
    <w:p>
      <w:r>
        <w:t xml:space="preserve">Pearson's </w:t>
      </w:r>
      <w:r>
        <w:rPr>
          <w:i/>
        </w:rPr>
        <w:t>r</w:t>
      </w:r>
      <w:r>
        <w:t>, the parametric alternative, assumes bivariate normality and is sensitive to outliers; both assumptions are systematically violated in DApp financial data, where a handful of protocols account for the vast majority of activity (Ante, 2021; Frontiers in Blockchain, 2023). Spearman's ρ sacrifices sensitivity to linear relationships in exchange for robustness to non-normality and extreme values, making it the appropriate choice for ecosystem-level analysis of DApp metrics. The governance score derived in this study is additionally ordinal rather than continuous, reinforcing the preference for a rank-based measure.</w:t>
      </w:r>
    </w:p>
    <w:p>
      <w:r>
        <w:t>Spearman correlation matrices are computed for the strict sample across the key financial variables (users, volume, TVL, market capitalisation, transactions, governance score, capital raised, TVL-to-market-cap ratio, and market cap per user) to characterise the association structure of the ecosystem without imposing parametric assumptions that the data cannot support.</w:t>
      </w:r>
    </w:p>
    <w:p>
      <w:pPr>
        <w:pStyle w:val="Heading3"/>
      </w:pPr>
      <w:r>
        <w:t>2.6.3 General Correlation Analysis</w:t>
      </w:r>
    </w:p>
    <w:p>
      <w:r>
        <w:t>Beyond the Spearman coefficient, this thesis applies correlation analysis as a general framework for exploring pairwise associations between continuous or ordinal variables in an exploratory mode. Correlation analysis — encompassing both the production of correlation matrices and their visualisation as heatmaps — is a standard first-pass technique in multivariate exploratory data analysis, recommended by Field (2018) precisely because it does not presuppose a causal model and does not require the analyst to specify a dependent variable. In the absence of prior theory that designates specific governance or financial variables as predictors, an unrestricted correlation matrix allows the data to reveal its own covariance structure.</w:t>
      </w:r>
    </w:p>
    <w:p>
      <w:r>
        <w:t>A key limitation of correlation analysis in this context is common to all cross-sectional association measures: correlation does not imply causation, and endogeneity — the likelihood that well-funded protocols simultaneously attract both formal governance and high TVL — prevents any directional interpretation of the associations. The thesis explicitly acknowledges this limitation (§3.9) and presents correlation findings as descriptive, not causal.</w:t>
      </w:r>
    </w:p>
    <w:p>
      <w:pPr>
        <w:pStyle w:val="Heading3"/>
      </w:pPr>
      <w:r>
        <w:t>2.6.4 K-Means Clustering</w:t>
      </w:r>
    </w:p>
    <w:p>
      <w:r>
        <w:t xml:space="preserve">K-means clustering is an unsupervised partitioning algorithm that assigns each observation to one of </w:t>
      </w:r>
      <w:r>
        <w:rPr>
          <w:i/>
        </w:rPr>
        <w:t>K</w:t>
      </w:r>
      <w:r>
        <w:t xml:space="preserve"> clusters such that the within-cluster sum of squared distances to the cluster centroid is minimised (MacQueen, 1967). The algorithm iterates between two steps — reassigning each observation to its nearest centroid and recomputing centroids as the mean of the observations currently assigned to each cluster — until assignments stabilise. K-means is appropriate when the analyst seeks to identify natural groupings in a multivariate continuous feature space without imposing a priori class labels.</w:t>
      </w:r>
    </w:p>
    <w:p>
      <w:r>
        <w:t xml:space="preserve">K-means is particularly well-suited to exploratory ecosystem analysis because it makes no assumptions about cluster shape other than convexity, it scales well to the dimensionalities typical of governance-and-market feature sets, and its cluster centroids provide directly interpretable summaries of each group's profile (Everitt, Landau, Leese, &amp; Stahl, 2011). The selection of </w:t>
      </w:r>
      <w:r>
        <w:rPr>
          <w:i/>
        </w:rPr>
        <w:t>K</w:t>
      </w:r>
      <w:r>
        <w:t xml:space="preserve"> is a known limitation of the method; this thesis applies the elbow method — plotting within-cluster sum of squares against </w:t>
      </w:r>
      <w:r>
        <w:rPr>
          <w:i/>
        </w:rPr>
        <w:t>K</w:t>
      </w:r>
      <w:r>
        <w:t xml:space="preserve"> — and silhouette scores to select a stable </w:t>
      </w:r>
      <w:r>
        <w:rPr>
          <w:i/>
        </w:rPr>
        <w:t>K</w:t>
      </w:r>
      <w:r>
        <w:t xml:space="preserve"> in the range 3–6, consistent with the sample size constraint imposed by the strict sample (N=68).</w:t>
      </w:r>
    </w:p>
    <w:p>
      <w:r>
        <w:t>For this study, K-means clustering is applied to a standardised feature matrix comprising governance score, active users, volume, TVL, market capitalisation, transactions, sector flags, and multi-chain deployment status. The standardisation step (zero mean, unit variance) is essential because the financial variables span several orders of magnitude and would otherwise dominate the clustering solution. The resulting clusters characterise internally coherent DApp archetypes — combinations of governance posture and market performance that recur across the ecosystem — providing an interpretive complement to the univariate and bivariate analyses that dominate prior empirical work.</w:t>
      </w:r>
    </w:p>
    <w:p>
      <w:pPr>
        <w:pStyle w:val="Heading3"/>
      </w:pPr>
      <w:r>
        <w:t>2.6.5 Principal Component Analysis</w:t>
      </w:r>
    </w:p>
    <w:p>
      <w:r>
        <w:t>Principal component analysis (PCA) is a linear dimensionality-reduction technique that transforms a set of possibly correlated variables into a smaller set of uncorrelated linear combinations — principal components — ordered by the proportion of total variance they explain (Pearson, 1901; Jolliffe, 2002). The first principal component is the linear combination that captures the maximum variance in the data; each subsequent component captures the maximum remaining variance subject to orthogonality with all preceding components.</w:t>
      </w:r>
    </w:p>
    <w:p>
      <w:r>
        <w:t>PCA serves two distinct purposes in this study. First, it provides a diagnostic of the dimensionality of the governance–market space: if the first two or three components together explain a large share of total variance (typically ≥ 70%), the data's information content is effectively lower-dimensional than the raw feature count suggests, validating the interpretive value of two-dimensional visualisations. Second, PCA is used to project the K-means clustering solution onto a two-dimensional plane by plotting observations against their first and second principal component scores, with points colour-coded by cluster assignment. This visualisation assesses whether the clusters identified by K-means correspond to genuinely separated regions of the multivariate feature space or whether they reflect the algorithm's tendency to partition continuous distributions even when no natural clusters exist (Everitt et al., 2011).</w:t>
      </w:r>
    </w:p>
    <w:p>
      <w:r>
        <w:t>PCA is appropriate under the same conditions as K-means: continuous or interval input variables and an exploratory research objective. Because PCA is sensitive to scale differences, it is applied to the same standardised matrix used for K-means. Interpretation of principal components as substantive dimensions — such as a "scale" dimension or a "governance quality" dimension — proceeds from inspection of the variable loadings on each component, a standard interpretive convention in social-science PCA applications (Field, 2018). In this study, PCA is used as an exploratory visualisation and dimension-reduction tool, not as an inferential technique.</w:t>
      </w:r>
    </w:p>
    <w:p>
      <w:r>
        <w:br w:type="page"/>
      </w:r>
    </w:p>
    <w:p>
      <w:pPr>
        <w:pStyle w:val="Heading1"/>
      </w:pPr>
      <w:r>
        <w:t>Chapter 3 — Methodology</w:t>
      </w:r>
    </w:p>
    <w:p>
      <w:pPr>
        <w:pStyle w:val="Heading2"/>
      </w:pPr>
      <w:r>
        <w:t>3.1 Research Design</w:t>
      </w:r>
    </w:p>
    <w:p>
      <w:r>
        <w:t xml:space="preserve">This thesis adopts an </w:t>
      </w:r>
      <w:r>
        <w:rPr>
          <w:b/>
        </w:rPr>
        <w:t>exploratory, cross-sectional research design</w:t>
      </w:r>
      <w:r>
        <w:t>. The unit of analysis is the individual decentralised application (DApp); the population of interest is the set of DApps deployed on public blockchains and active as of November 2025. Because no large-scale, multi-source, cross-sector benchmark of DApp governance and market structure existed at the time of writing, the study is exploratory rather than confirmatory: the goal is to describe and characterise the ecosystem, identify structural patterns, and surface interpretive tensions that motivate future hypothesis-testing work.</w:t>
      </w:r>
    </w:p>
    <w:p>
      <w:r>
        <w:t>A cross-sectional design was chosen deliberately. Although longitudinal data would allow causal inference about governance trajectories, the absence of historically archived governance labels — a known data gap in the DApp space — makes panel approaches infeasible at this scale. The cross-section provides a defensible ecosystem-level snapshot that can serve as a baseline for subsequent waves of measurement.</w:t>
      </w:r>
    </w:p>
    <w:p>
      <w:r>
        <w:t>The study is empirical and primarily quantitative, with a structured qualitative component: three governance-related variables (governance type, ownership status, and level of decentralisation) were coded through manual research following explicit decision rules, then subjected to the same statistical treatment as the machine-collected variables. This hybrid approach reflects the current maturity of DApp data infrastructure, where key governance attributes are not yet systematically reported in machine-readable form.</w:t>
      </w:r>
    </w:p>
    <w:p>
      <w:r>
        <w:t xml:space="preserve">The analysis proceeds in three stages: (1) descriptive statistics characterising the full dataset of 855 DApps; (2) comparative analysis of two eligibility universes — a </w:t>
      </w:r>
      <w:r>
        <w:rPr>
          <w:i/>
        </w:rPr>
        <w:t>loose</w:t>
      </w:r>
      <w:r>
        <w:t xml:space="preserve"> sample (N=834) and a </w:t>
      </w:r>
      <w:r>
        <w:rPr>
          <w:i/>
        </w:rPr>
        <w:t>strict</w:t>
      </w:r>
      <w:r>
        <w:t xml:space="preserve"> sample (N=68) — designed to test how measurement quality gates affect headline findings; and (3) cohort-level analysis using K-means clustering on the strict sample to identify internally coherent subgroups.</w:t>
      </w:r>
    </w:p>
    <w:p>
      <w:pPr>
        <w:pStyle w:val="Heading2"/>
      </w:pPr>
      <w:r>
        <w:t>3.2 Data Collection and Sources</w:t>
      </w:r>
    </w:p>
    <w:p>
      <w:r>
        <w:rPr>
          <w:b/>
        </w:rPr>
        <w:t>Figure 3.1 — Data collection and linkage pipeline</w:t>
      </w:r>
    </w:p>
    <w:p>
      <w:pPr>
        <w:jc w:val="center"/>
      </w:pPr>
      <w:r>
        <w:rPr>
          <w:i/>
          <w:color w:val="808080"/>
        </w:rPr>
        <w:t>[Diagram — see VitePress version for interactive rendering]</w:t>
      </w:r>
    </w:p>
    <w:p>
      <w:r>
        <w:rPr>
          <w:i/>
        </w:rPr>
        <w:t>Sources and matching procedure are detailed in §§3.2.1–3.2.3.</w:t>
      </w:r>
    </w:p>
    <w:p>
      <w:pPr>
        <w:pStyle w:val="Heading3"/>
      </w:pPr>
      <w:r>
        <w:t>3.2.1 Primary Source: DappRadar</w:t>
      </w:r>
    </w:p>
    <w:p>
      <w:r>
        <w:t>The primary data source is [DappRadar](https://dappradar.com), the leading DApp analytics aggregator, which collects on-chain activity metrics through indexed RPC nodes and standardised API integrations across multiple blockchains. The initial population was drawn from the DappRadar public API, targeting the top 500 DApps ranked by Unique Active Wallets (UAW) — the number of distinct wallet addresses that interacted with a smart contract in a given period. UAW was selected as the primary ranking criterion because it measures genuine on-chain engagement rather than price-dependent metrics (market cap, TVL) that can be inflated by token emission schedules or bridged liquidity.</w:t>
      </w:r>
    </w:p>
    <w:p>
      <w:r>
        <w:t>From this DappRadar seed, the scraper also captured: category, sector, supported blockchain networks, token name and symbol, token format (e.g., ERC-20, BEP-20), website URL, launch date, description, and transaction count. Data were retrieved using a custom scraper in November 2025 and stored in a relational database.</w:t>
      </w:r>
    </w:p>
    <w:p>
      <w:pPr>
        <w:pStyle w:val="Heading3"/>
      </w:pPr>
      <w:r>
        <w:t>3.2.2 Secondary Sources</w:t>
      </w:r>
    </w:p>
    <w:p>
      <w:r>
        <w:t>Three secondary APIs enriched the dataset:</w:t>
      </w:r>
    </w:p>
    <w:p>
      <w:r>
        <w:rPr>
          <w:b/>
        </w:rPr>
        <w:t>DeFiLlama</w:t>
      </w:r>
      <w:r>
        <w:t xml:space="preserve"> provides protocol-level Total Value Locked (TVL), annualised fee and revenue data, and a comprehensive funding/raises database (venture rounds, token sales, grant recipients). DeFiLlama was matched to the DappRadar seed by protocol slug and name. TVL figures from DeFiLlama represent the aggregate USD value of assets deposited in a protocol's smart contracts at the snapshot date.</w:t>
      </w:r>
    </w:p>
    <w:p>
      <w:r>
        <w:rPr>
          <w:b/>
        </w:rPr>
        <w:t>CoinMarketCap (CMC)</w:t>
      </w:r>
      <w:r>
        <w:t xml:space="preserve"> supplied token market data: market capitalisation, circulating supply, total supply, maximum supply, price, 24-hour volume, and multi-period price change percentages (1h, 24h, 7d, 30d, 60d, 90d). CMC also contributed the platform's own categorical tags, which were merged with DappRadar and CoinGecko tags during data preparation.</w:t>
      </w:r>
    </w:p>
    <w:p>
      <w:r>
        <w:rPr>
          <w:b/>
        </w:rPr>
        <w:t>CoinGecko</w:t>
      </w:r>
      <w:r>
        <w:t xml:space="preserve"> provided an alternative market capitalisation field, CoinGecko-specific category labels, and served as a cross-validation source for token identifiers. Where CMC and CoinGecko figures disagreed by more than 10%, the CMC figure was used as the authoritative value given its broader coverage of the DApps in the sample.</w:t>
      </w:r>
    </w:p>
    <w:p>
      <w:pPr>
        <w:pStyle w:val="Heading3"/>
      </w:pPr>
      <w:r>
        <w:t>3.2.3 Record Linkage and Tag Aggregation</w:t>
      </w:r>
    </w:p>
    <w:p>
      <w:r>
        <w:t>Matching across four data sources required a multi-step record linkage procedure. The DappRadar slug served as the anchor key; secondary sources were joined using: (i) CoinGecko and CoinMarketCap identifiers stored during scraping; (ii) fuzzy string matching on protocol name and token symbol for records lacking explicit identifiers; and (iii) manual resolution for the approximately 3% of records where automated matching was ambiguous.</w:t>
      </w:r>
    </w:p>
    <w:p>
      <w:r>
        <w:t>Tags were consolidated from all four sources into a single field using a deduplication routine that normalised case and removed near-duplicate labels (e.g., "DEX" and "Decentralized Exchange" were merged). The merged tag set was used to derive binary theme flags identifying DApps associated with DeFi, gaming, social, and NFT ecosystems via keyword heuristics.</w:t>
      </w:r>
    </w:p>
    <w:p>
      <w:pPr>
        <w:pStyle w:val="Heading2"/>
      </w:pPr>
      <w:r>
        <w:t>3.3 Sample Construction</w:t>
      </w:r>
    </w:p>
    <w:p>
      <w:r>
        <w:t xml:space="preserve">The raw dataset contains </w:t>
      </w:r>
      <w:r>
        <w:rPr>
          <w:b/>
        </w:rPr>
        <w:t>855 DApps</w:t>
      </w:r>
      <w:r>
        <w:t xml:space="preserve"> spanning </w:t>
      </w:r>
      <w:r>
        <w:rPr>
          <w:b/>
        </w:rPr>
        <w:t>77 blockchain networks</w:t>
      </w:r>
      <w:r>
        <w:t>. Because DApp activity data is highly right-skewed — a small number of protocols account for the vast majority of activity, while many entries have missing or near-zero values on most financial metrics — a two-tier eligibility strategy was developed.</w:t>
      </w:r>
    </w:p>
    <w:p>
      <w:r>
        <w:rPr>
          <w:b/>
        </w:rPr>
        <w:t>Figure 3.2 — Sample construction funnel</w:t>
      </w:r>
    </w:p>
    <w:p>
      <w:pPr>
        <w:jc w:val="center"/>
      </w:pPr>
      <w:r>
        <w:rPr>
          <w:i/>
          <w:color w:val="808080"/>
        </w:rPr>
        <w:t>[Diagram — see VitePress version for interactive rendering]</w:t>
      </w:r>
    </w:p>
    <w:p>
      <w:r>
        <w:rPr>
          <w:b/>
        </w:rPr>
        <w:t>Table 3.1 — Sample construction at a glance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Universe</w:t>
            </w:r>
          </w:p>
        </w:tc>
        <w:tc>
          <w:tcPr>
            <w:tcW w:type="dxa" w:w="2197"/>
          </w:tcPr>
          <w:p>
            <w:r>
              <w:rPr>
                <w:rFonts w:ascii="Times New Roman" w:hAnsi="Times New Roman"/>
                <w:b/>
                <w:sz w:val="20"/>
              </w:rPr>
              <w:t>N</w:t>
            </w:r>
          </w:p>
        </w:tc>
        <w:tc>
          <w:tcPr>
            <w:tcW w:type="dxa" w:w="2197"/>
          </w:tcPr>
          <w:p>
            <w:r>
              <w:rPr>
                <w:rFonts w:ascii="Times New Roman" w:hAnsi="Times New Roman"/>
                <w:b/>
                <w:sz w:val="20"/>
              </w:rPr>
              <w:t>Share</w:t>
            </w:r>
          </w:p>
        </w:tc>
        <w:tc>
          <w:tcPr>
            <w:tcW w:type="dxa" w:w="2197"/>
          </w:tcPr>
          <w:p>
            <w:r>
              <w:rPr>
                <w:rFonts w:ascii="Times New Roman" w:hAnsi="Times New Roman"/>
                <w:b/>
                <w:sz w:val="20"/>
              </w:rPr>
              <w:t>Primary use</w:t>
            </w:r>
          </w:p>
        </w:tc>
      </w:tr>
      <w:tr>
        <w:tc>
          <w:tcPr>
            <w:tcW w:type="dxa" w:w="2197"/>
          </w:tcPr>
          <w:p>
            <w:r>
              <w:rPr>
                <w:rFonts w:ascii="Times New Roman" w:hAnsi="Times New Roman"/>
                <w:sz w:val="20"/>
              </w:rPr>
              <w:t>Full dataset</w:t>
            </w:r>
          </w:p>
        </w:tc>
        <w:tc>
          <w:tcPr>
            <w:tcW w:type="dxa" w:w="2197"/>
          </w:tcPr>
          <w:p>
            <w:r>
              <w:rPr>
                <w:rFonts w:ascii="Times New Roman" w:hAnsi="Times New Roman"/>
                <w:sz w:val="20"/>
              </w:rPr>
              <w:t>855</w:t>
            </w:r>
          </w:p>
        </w:tc>
        <w:tc>
          <w:tcPr>
            <w:tcW w:type="dxa" w:w="2197"/>
          </w:tcPr>
          <w:p>
            <w:r>
              <w:rPr>
                <w:rFonts w:ascii="Times New Roman" w:hAnsi="Times New Roman"/>
                <w:sz w:val="20"/>
              </w:rPr>
              <w:t>100%</w:t>
            </w:r>
          </w:p>
        </w:tc>
        <w:tc>
          <w:tcPr>
            <w:tcW w:type="dxa" w:w="2197"/>
          </w:tcPr>
          <w:p>
            <w:r>
              <w:rPr>
                <w:rFonts w:ascii="Times New Roman" w:hAnsi="Times New Roman"/>
                <w:sz w:val="20"/>
              </w:rPr>
              <w:t>Descriptive totals; chain counts</w:t>
            </w:r>
          </w:p>
        </w:tc>
      </w:tr>
      <w:tr>
        <w:tc>
          <w:tcPr>
            <w:tcW w:type="dxa" w:w="2197"/>
          </w:tcPr>
          <w:p>
            <w:r>
              <w:rPr>
                <w:rFonts w:ascii="Times New Roman" w:hAnsi="Times New Roman"/>
                <w:sz w:val="20"/>
              </w:rPr>
              <w:t>Loose universe</w:t>
            </w:r>
          </w:p>
        </w:tc>
        <w:tc>
          <w:tcPr>
            <w:tcW w:type="dxa" w:w="2197"/>
          </w:tcPr>
          <w:p>
            <w:r>
              <w:rPr>
                <w:rFonts w:ascii="Times New Roman" w:hAnsi="Times New Roman"/>
                <w:sz w:val="20"/>
              </w:rPr>
              <w:t>834</w:t>
            </w:r>
          </w:p>
        </w:tc>
        <w:tc>
          <w:tcPr>
            <w:tcW w:type="dxa" w:w="2197"/>
          </w:tcPr>
          <w:p>
            <w:r>
              <w:rPr>
                <w:rFonts w:ascii="Times New Roman" w:hAnsi="Times New Roman"/>
                <w:sz w:val="20"/>
              </w:rPr>
              <w:t>97.5%</w:t>
            </w:r>
          </w:p>
        </w:tc>
        <w:tc>
          <w:tcPr>
            <w:tcW w:type="dxa" w:w="2197"/>
          </w:tcPr>
          <w:p>
            <w:r>
              <w:rPr>
                <w:rFonts w:ascii="Times New Roman" w:hAnsi="Times New Roman"/>
                <w:sz w:val="20"/>
              </w:rPr>
              <w:t>Governance label distributions; sensitivity tests</w:t>
            </w:r>
          </w:p>
        </w:tc>
      </w:tr>
      <w:tr>
        <w:tc>
          <w:tcPr>
            <w:tcW w:type="dxa" w:w="2197"/>
          </w:tcPr>
          <w:p>
            <w:r>
              <w:rPr>
                <w:rFonts w:ascii="Times New Roman" w:hAnsi="Times New Roman"/>
                <w:sz w:val="20"/>
              </w:rPr>
              <w:t>Strict universe</w:t>
            </w:r>
          </w:p>
        </w:tc>
        <w:tc>
          <w:tcPr>
            <w:tcW w:type="dxa" w:w="2197"/>
          </w:tcPr>
          <w:p>
            <w:r>
              <w:rPr>
                <w:rFonts w:ascii="Times New Roman" w:hAnsi="Times New Roman"/>
                <w:sz w:val="20"/>
              </w:rPr>
              <w:t>68</w:t>
            </w:r>
          </w:p>
        </w:tc>
        <w:tc>
          <w:tcPr>
            <w:tcW w:type="dxa" w:w="2197"/>
          </w:tcPr>
          <w:p>
            <w:r>
              <w:rPr>
                <w:rFonts w:ascii="Times New Roman" w:hAnsi="Times New Roman"/>
                <w:sz w:val="20"/>
              </w:rPr>
              <w:t>8.0%</w:t>
            </w:r>
          </w:p>
        </w:tc>
        <w:tc>
          <w:tcPr>
            <w:tcW w:type="dxa" w:w="2197"/>
          </w:tcPr>
          <w:p>
            <w:r>
              <w:rPr>
                <w:rFonts w:ascii="Times New Roman" w:hAnsi="Times New Roman"/>
                <w:sz w:val="20"/>
              </w:rPr>
              <w:t>All primary findings; clustering; correlations</w:t>
            </w:r>
          </w:p>
        </w:tc>
      </w:tr>
    </w:tbl>
    <w:p/>
    <w:p>
      <w:pPr>
        <w:pStyle w:val="Heading3"/>
      </w:pPr>
      <w:r>
        <w:t>3.3.1 Loose Universe (N=834)</w:t>
      </w:r>
    </w:p>
    <w:p>
      <w:r>
        <w:t xml:space="preserve">A DApp is classified as </w:t>
      </w:r>
      <w:r>
        <w:rPr>
          <w:i/>
        </w:rPr>
        <w:t>loose-eligible</w:t>
      </w:r>
      <w:r>
        <w:t xml:space="preserve"> if it satisfies both of the following conditions:</w:t>
      </w:r>
    </w:p>
    <w:p>
      <w:pPr>
        <w:pStyle w:val="ListNumber"/>
      </w:pPr>
      <w:r>
        <w:rPr>
          <w:b/>
        </w:rPr>
        <w:t>Governance fields complete:</w:t>
      </w:r>
      <w:r>
        <w:t xml:space="preserve"> all three governance variables (governance type, ownership status, and level of decentralisation) have been manually coded with a non-null, non-UNKNOWN value.</w:t>
      </w:r>
    </w:p>
    <w:p>
      <w:pPr>
        <w:pStyle w:val="ListNumber"/>
      </w:pPr>
      <w:r>
        <w:rPr>
          <w:b/>
        </w:rPr>
        <w:t>Minimum activity signals:</w:t>
      </w:r>
      <w:r>
        <w:t xml:space="preserve"> at least 2 of the 5 activity signals are strictly positive — active users, transaction volume, total value locked, market capitalisation, and transaction count.</w:t>
      </w:r>
    </w:p>
    <w:p>
      <w:r>
        <w:t>The loose universe (N=834, 97.5% of the dataset) mirrors the eligibility gate used in the earlier analytics scripts and is preserved as a backtest baseline to assess how headline figures change when tighter quality requirements are imposed. Twenty-one DApps failed the loose filter: 13 had incomplete governance coding and 8 had fewer than 2 positive signals.</w:t>
      </w:r>
    </w:p>
    <w:p>
      <w:pPr>
        <w:pStyle w:val="Heading3"/>
      </w:pPr>
      <w:r>
        <w:t>3.3.2 Strict Universe (N=68)</w:t>
      </w:r>
    </w:p>
    <w:p>
      <w:r>
        <w:t xml:space="preserve">A DApp is classified as </w:t>
      </w:r>
      <w:r>
        <w:rPr>
          <w:i/>
        </w:rPr>
        <w:t>strict-eligible</w:t>
      </w:r>
      <w:r>
        <w:t xml:space="preserve"> if it satisfies the loose criteria </w:t>
      </w:r>
      <w:r>
        <w:rPr>
          <w:i/>
        </w:rPr>
        <w:t>plus</w:t>
      </w:r>
      <w:r>
        <w:t xml:space="preserve"> all three of the following:</w:t>
      </w:r>
    </w:p>
    <w:p>
      <w:pPr>
        <w:pStyle w:val="ListNumber"/>
      </w:pPr>
      <w:r>
        <w:rPr>
          <w:b/>
        </w:rPr>
        <w:t>Rich engagement:</w:t>
      </w:r>
      <w:r>
        <w:t xml:space="preserve"> at least 4 of the 5 activity signals are strictly positive.</w:t>
      </w:r>
    </w:p>
    <w:p>
      <w:pPr>
        <w:pStyle w:val="ListNumber"/>
      </w:pPr>
      <w:r>
        <w:rPr>
          <w:b/>
        </w:rPr>
        <w:t>Scale threshold:</w:t>
      </w:r>
      <w:r>
        <w:t xml:space="preserve"> at least 10,000 unique active wallets in the measurement period.</w:t>
      </w:r>
    </w:p>
    <w:p>
      <w:pPr>
        <w:pStyle w:val="ListNumber"/>
      </w:pPr>
      <w:r>
        <w:rPr>
          <w:b/>
        </w:rPr>
        <w:t>Valuation anchor:</w:t>
      </w:r>
      <w:r>
        <w:t xml:space="preserve"> at least one financial stock variable (market capitalisation or total value locked) is non-zero.</w:t>
      </w:r>
    </w:p>
    <w:p>
      <w:r>
        <w:t>The strict universe (N=68, 8.0% of the full dataset) reduces noise from sparse metrics so that ecosystem-level statements about governance alignment, capital concentration, and cross-sector performance are defensible. The strict gate is intentionally conservative: it retains only DApps for which the analyst has high confidence in the accuracy and completeness of the activity picture.</w:t>
      </w:r>
    </w:p>
    <w:p>
      <w:r>
        <w:t>Loose/strict sensitivity analysis is in §4.1. The strict sample is used for all primary findings in Chapters 4 and 5.</w:t>
      </w:r>
    </w:p>
    <w:p>
      <w:pPr>
        <w:pStyle w:val="Heading3"/>
      </w:pPr>
      <w:r>
        <w:t>3.3.3 Primary and Secondary Cohorts</w:t>
      </w:r>
    </w:p>
    <w:p>
      <w:r>
        <w:t xml:space="preserve">Within the strict universe, DApps are further organised into </w:t>
      </w:r>
      <w:r>
        <w:rPr>
          <w:b/>
        </w:rPr>
        <w:t>sector×category cohorts</w:t>
      </w:r>
      <w:r>
        <w:t xml:space="preserve"> for the K-means and PCA analyses (§3.8.4–3.8.5). Each cohort is defined by a unique combination of sector and application category. A </w:t>
      </w:r>
      <w:r>
        <w:rPr>
          <w:b/>
        </w:rPr>
        <w:t>primary cohort</w:t>
      </w:r>
      <w:r>
        <w:t xml:space="preserve"> is selected when the cell contains at least 20 strict-eligible DApps (top-K ranked by a weighted log-signal composite); a </w:t>
      </w:r>
      <w:r>
        <w:rPr>
          <w:b/>
        </w:rPr>
        <w:t>secondary cohort</w:t>
      </w:r>
      <w:r>
        <w:t xml:space="preserve"> is used for cells with fewer than 20 eligible entries, in which case all eligible DApps are retained.</w:t>
      </w:r>
    </w:p>
    <w:p>
      <w:pPr>
        <w:pStyle w:val="Heading2"/>
      </w:pPr>
      <w:r>
        <w:t>3.4 Ecosystem Definition and Case Selection</w:t>
      </w:r>
    </w:p>
    <w:p>
      <w:pPr>
        <w:pStyle w:val="Heading3"/>
      </w:pPr>
      <w:r>
        <w:t>3.4.1 Formal Ecosystem Definition</w:t>
      </w:r>
    </w:p>
    <w:p>
      <w:r>
        <w:t xml:space="preserve">For the purposes of this thesis, an </w:t>
      </w:r>
      <w:r>
        <w:rPr>
          <w:b/>
        </w:rPr>
        <w:t>ecosystem</w:t>
      </w:r>
      <w:r>
        <w:t xml:space="preserve"> is defined as </w:t>
      </w:r>
      <w:r>
        <w:rPr>
          <w:i/>
        </w:rPr>
        <w:t>a set of DApps operating in the same functional domain and sharing comparable value logic, governance problems, token design patterns, and market structure</w:t>
      </w:r>
      <w:r>
        <w:t>. This definition operationalises "ecosystem" as a unit of comparative analysis — a cluster of protocols facing structurally similar trade-offs — rather than as a technical term for a specific blockchain or platform.</w:t>
      </w:r>
    </w:p>
    <w:p>
      <w:r>
        <w:t>An ecosystem in this sense is not reducible to a blockchain network (e.g., "the Ethereum ecosystem") nor to a DappRadar category label (e.g., "DEX"). Instead, it requires convergence across four dimensions:</w:t>
      </w:r>
    </w:p>
    <w:p>
      <w:pPr>
        <w:pStyle w:val="ListNumber"/>
      </w:pPr>
      <w:r>
        <w:rPr>
          <w:b/>
        </w:rPr>
        <w:t>Functional domain</w:t>
      </w:r>
      <w:r>
        <w:t xml:space="preserve"> — protocols serve a common end-user purpose (e.g., price discovery for speculative events).</w:t>
      </w:r>
    </w:p>
    <w:p>
      <w:pPr>
        <w:pStyle w:val="ListNumber"/>
      </w:pPr>
      <w:r>
        <w:rPr>
          <w:b/>
        </w:rPr>
        <w:t>Value logic</w:t>
      </w:r>
      <w:r>
        <w:t xml:space="preserve"> — the core economic mechanism through which value is captured or distributed (e.g., liquidity provision fees, prediction resolution payouts).</w:t>
      </w:r>
    </w:p>
    <w:p>
      <w:pPr>
        <w:pStyle w:val="ListNumber"/>
      </w:pPr>
      <w:r>
        <w:rPr>
          <w:b/>
        </w:rPr>
        <w:t>Governance problems</w:t>
      </w:r>
      <w:r>
        <w:t xml:space="preserve"> — the class of governance challenges the protocol faces (e.g., oracle manipulation risk, parameter setting for interest rates).</w:t>
      </w:r>
    </w:p>
    <w:p>
      <w:pPr>
        <w:pStyle w:val="ListNumber"/>
      </w:pPr>
      <w:r>
        <w:rPr>
          <w:b/>
        </w:rPr>
        <w:t>Token design patterns</w:t>
      </w:r>
      <w:r>
        <w:t xml:space="preserve"> — the structural role of the native token (governance, utility, fee capture, or hybrid).</w:t>
      </w:r>
    </w:p>
    <w:p>
      <w:r>
        <w:t>This definition deliberately excludes networks or technical stacks as primary grouping criteria, allowing meaningful comparison across chains while preserving functional coherence within each ecosystem case.</w:t>
      </w:r>
    </w:p>
    <w:p>
      <w:pPr>
        <w:pStyle w:val="Heading3"/>
      </w:pPr>
      <w:r>
        <w:t>3.4.2 Target Ecosystem Selection</w:t>
      </w:r>
    </w:p>
    <w:p>
      <w:r>
        <w:t>Five ecosystems were selected for ecosystem-level comparative analysis. The selection was guided by three criteria: (i) theoretical relevance to governance and token design questions, (ii) representation in the dataset with sufficient eligible DApps to support cross-sectional comparison, and (iii) coverage of the DApp design space from mature/high-TVL verticals to emergent/lower-liquidity segments.</w:t>
      </w:r>
    </w:p>
    <w:p>
      <w:r>
        <w:rPr>
          <w:b/>
        </w:rPr>
        <w:t>Table 3.2 — Target Ecosystem Mapping</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20"/>
              </w:rPr>
              <w:t>Ecosystem</w:t>
            </w:r>
          </w:p>
        </w:tc>
        <w:tc>
          <w:tcPr>
            <w:tcW w:type="dxa" w:w="1758"/>
          </w:tcPr>
          <w:p>
            <w:r>
              <w:rPr>
                <w:rFonts w:ascii="Times New Roman" w:hAnsi="Times New Roman"/>
                <w:b/>
                <w:sz w:val="20"/>
              </w:rPr>
              <w:t>Sector classification</w:t>
            </w:r>
          </w:p>
        </w:tc>
        <w:tc>
          <w:tcPr>
            <w:tcW w:type="dxa" w:w="1758"/>
          </w:tcPr>
          <w:p>
            <w:r>
              <w:rPr>
                <w:rFonts w:ascii="Times New Roman" w:hAnsi="Times New Roman"/>
                <w:b/>
                <w:sz w:val="20"/>
              </w:rPr>
              <w:t>Identification criteria</w:t>
            </w:r>
          </w:p>
        </w:tc>
        <w:tc>
          <w:tcPr>
            <w:tcW w:type="dxa" w:w="1758"/>
          </w:tcPr>
          <w:p>
            <w:r>
              <w:rPr>
                <w:rFonts w:ascii="Times New Roman" w:hAnsi="Times New Roman"/>
                <w:b/>
                <w:sz w:val="20"/>
              </w:rPr>
              <w:t>N DApps (full dataset)</w:t>
            </w:r>
          </w:p>
        </w:tc>
        <w:tc>
          <w:tcPr>
            <w:tcW w:type="dxa" w:w="1758"/>
          </w:tcPr>
          <w:p>
            <w:r>
              <w:rPr>
                <w:rFonts w:ascii="Times New Roman" w:hAnsi="Times New Roman"/>
                <w:b/>
                <w:sz w:val="20"/>
              </w:rPr>
              <w:t>Rationale</w:t>
            </w:r>
          </w:p>
        </w:tc>
      </w:tr>
      <w:tr>
        <w:tc>
          <w:tcPr>
            <w:tcW w:type="dxa" w:w="1758"/>
          </w:tcPr>
          <w:p>
            <w:r>
              <w:rPr>
                <w:rFonts w:ascii="Times New Roman" w:hAnsi="Times New Roman"/>
                <w:sz w:val="20"/>
              </w:rPr>
              <w:t>**DeFi**</w:t>
            </w:r>
          </w:p>
        </w:tc>
        <w:tc>
          <w:tcPr>
            <w:tcW w:type="dxa" w:w="1758"/>
          </w:tcPr>
          <w:p>
            <w:r>
              <w:rPr>
                <w:rFonts w:ascii="Times New Roman" w:hAnsi="Times New Roman"/>
                <w:sz w:val="20"/>
              </w:rPr>
              <w:t>DeFi and exchanges</w:t>
            </w:r>
          </w:p>
        </w:tc>
        <w:tc>
          <w:tcPr>
            <w:tcW w:type="dxa" w:w="1758"/>
          </w:tcPr>
          <w:p>
            <w:r>
              <w:rPr>
                <w:rFonts w:ascii="Times New Roman" w:hAnsi="Times New Roman"/>
                <w:sz w:val="20"/>
              </w:rPr>
              <w:t>DeFi-related tags or description keywords</w:t>
            </w:r>
          </w:p>
        </w:tc>
        <w:tc>
          <w:tcPr>
            <w:tcW w:type="dxa" w:w="1758"/>
          </w:tcPr>
          <w:p>
            <w:r>
              <w:rPr>
                <w:rFonts w:ascii="Times New Roman" w:hAnsi="Times New Roman"/>
                <w:sz w:val="20"/>
              </w:rPr>
              <w:t>181</w:t>
            </w:r>
          </w:p>
        </w:tc>
        <w:tc>
          <w:tcPr>
            <w:tcW w:type="dxa" w:w="1758"/>
          </w:tcPr>
          <w:p>
            <w:r>
              <w:rPr>
                <w:rFonts w:ascii="Times New Roman" w:hAnsi="Times New Roman"/>
                <w:sz w:val="20"/>
              </w:rPr>
              <w:t>Largest and most mature vertical; the reference class for on-chain governance research. Anchor ecosystem.</w:t>
            </w:r>
          </w:p>
        </w:tc>
      </w:tr>
      <w:tr>
        <w:tc>
          <w:tcPr>
            <w:tcW w:type="dxa" w:w="1758"/>
          </w:tcPr>
          <w:p>
            <w:r>
              <w:rPr>
                <w:rFonts w:ascii="Times New Roman" w:hAnsi="Times New Roman"/>
                <w:sz w:val="20"/>
              </w:rPr>
              <w:t>**Prediction Markets**</w:t>
            </w:r>
          </w:p>
        </w:tc>
        <w:tc>
          <w:tcPr>
            <w:tcW w:type="dxa" w:w="1758"/>
          </w:tcPr>
          <w:p>
            <w:r>
              <w:rPr>
                <w:rFonts w:ascii="Times New Roman" w:hAnsi="Times New Roman"/>
                <w:sz w:val="20"/>
              </w:rPr>
              <w:t>Gambling</w:t>
            </w:r>
          </w:p>
        </w:tc>
        <w:tc>
          <w:tcPr>
            <w:tcW w:type="dxa" w:w="1758"/>
          </w:tcPr>
          <w:p>
            <w:r>
              <w:rPr>
                <w:rFonts w:ascii="Times New Roman" w:hAnsi="Times New Roman"/>
                <w:sz w:val="20"/>
              </w:rPr>
              <w:t>Prediction markets tag</w:t>
            </w:r>
          </w:p>
        </w:tc>
        <w:tc>
          <w:tcPr>
            <w:tcW w:type="dxa" w:w="1758"/>
          </w:tcPr>
          <w:p>
            <w:r>
              <w:rPr>
                <w:rFonts w:ascii="Times New Roman" w:hAnsi="Times New Roman"/>
                <w:sz w:val="20"/>
              </w:rPr>
              <w:t>32</w:t>
            </w:r>
          </w:p>
        </w:tc>
        <w:tc>
          <w:tcPr>
            <w:tcW w:type="dxa" w:w="1758"/>
          </w:tcPr>
          <w:p>
            <w:r>
              <w:rPr>
                <w:rFonts w:ascii="Times New Roman" w:hAnsi="Times New Roman"/>
                <w:sz w:val="20"/>
              </w:rPr>
              <w:t>Distinct value logic (stake-weighted outcome resolution) and acute oracle governance problems. Polymarket dominates activity.</w:t>
            </w:r>
          </w:p>
        </w:tc>
      </w:tr>
      <w:tr>
        <w:tc>
          <w:tcPr>
            <w:tcW w:type="dxa" w:w="1758"/>
          </w:tcPr>
          <w:p>
            <w:r>
              <w:rPr>
                <w:rFonts w:ascii="Times New Roman" w:hAnsi="Times New Roman"/>
                <w:sz w:val="20"/>
              </w:rPr>
              <w:t>**AI-enabled DApps**</w:t>
            </w:r>
          </w:p>
        </w:tc>
        <w:tc>
          <w:tcPr>
            <w:tcW w:type="dxa" w:w="1758"/>
          </w:tcPr>
          <w:p>
            <w:r>
              <w:rPr>
                <w:rFonts w:ascii="Times New Roman" w:hAnsi="Times New Roman"/>
                <w:sz w:val="20"/>
              </w:rPr>
              <w:t>Other, collectibles, social, DeFi, exchanges, marketplaces</w:t>
            </w:r>
          </w:p>
        </w:tc>
        <w:tc>
          <w:tcPr>
            <w:tcW w:type="dxa" w:w="1758"/>
          </w:tcPr>
          <w:p>
            <w:r>
              <w:rPr>
                <w:rFonts w:ascii="Times New Roman" w:hAnsi="Times New Roman"/>
                <w:sz w:val="20"/>
              </w:rPr>
              <w:t>AI or big-data tag</w:t>
            </w:r>
          </w:p>
        </w:tc>
        <w:tc>
          <w:tcPr>
            <w:tcW w:type="dxa" w:w="1758"/>
          </w:tcPr>
          <w:p>
            <w:r>
              <w:rPr>
                <w:rFonts w:ascii="Times New Roman" w:hAnsi="Times New Roman"/>
                <w:sz w:val="20"/>
              </w:rPr>
              <w:t>41</w:t>
            </w:r>
          </w:p>
        </w:tc>
        <w:tc>
          <w:tcPr>
            <w:tcW w:type="dxa" w:w="1758"/>
          </w:tcPr>
          <w:p>
            <w:r>
              <w:rPr>
                <w:rFonts w:ascii="Times New Roman" w:hAnsi="Times New Roman"/>
                <w:sz w:val="20"/>
              </w:rPr>
              <w:t>Fastest-growing emergent segment; governance problems around model provenance and agent autonomy are not yet formalised.</w:t>
            </w:r>
          </w:p>
        </w:tc>
      </w:tr>
      <w:tr>
        <w:tc>
          <w:tcPr>
            <w:tcW w:type="dxa" w:w="1758"/>
          </w:tcPr>
          <w:p>
            <w:r>
              <w:rPr>
                <w:rFonts w:ascii="Times New Roman" w:hAnsi="Times New Roman"/>
                <w:sz w:val="20"/>
              </w:rPr>
              <w:t>**RWA (Real World Assets)**</w:t>
            </w:r>
          </w:p>
        </w:tc>
        <w:tc>
          <w:tcPr>
            <w:tcW w:type="dxa" w:w="1758"/>
          </w:tcPr>
          <w:p>
            <w:r>
              <w:rPr>
                <w:rFonts w:ascii="Times New Roman" w:hAnsi="Times New Roman"/>
                <w:sz w:val="20"/>
              </w:rPr>
              <w:t>DeFi, exchanges, marketplaces, other, social, collectibles</w:t>
            </w:r>
          </w:p>
        </w:tc>
        <w:tc>
          <w:tcPr>
            <w:tcW w:type="dxa" w:w="1758"/>
          </w:tcPr>
          <w:p>
            <w:r>
              <w:rPr>
                <w:rFonts w:ascii="Times New Roman" w:hAnsi="Times New Roman"/>
                <w:sz w:val="20"/>
              </w:rPr>
              <w:t>RWA or real-world-assets tag</w:t>
            </w:r>
          </w:p>
        </w:tc>
        <w:tc>
          <w:tcPr>
            <w:tcW w:type="dxa" w:w="1758"/>
          </w:tcPr>
          <w:p>
            <w:r>
              <w:rPr>
                <w:rFonts w:ascii="Times New Roman" w:hAnsi="Times New Roman"/>
                <w:sz w:val="20"/>
              </w:rPr>
              <w:t>14</w:t>
            </w:r>
          </w:p>
        </w:tc>
        <w:tc>
          <w:tcPr>
            <w:tcW w:type="dxa" w:w="1758"/>
          </w:tcPr>
          <w:p>
            <w:r>
              <w:rPr>
                <w:rFonts w:ascii="Times New Roman" w:hAnsi="Times New Roman"/>
                <w:sz w:val="20"/>
              </w:rPr>
              <w:t>Regulatory-interface frontier of DeFi; governance must satisfy both on-chain holders and off-chain legal constraints. Data-sufficiency risk (see §3.4.4).</w:t>
            </w:r>
          </w:p>
        </w:tc>
      </w:tr>
      <w:tr>
        <w:tc>
          <w:tcPr>
            <w:tcW w:type="dxa" w:w="1758"/>
          </w:tcPr>
          <w:p>
            <w:r>
              <w:rPr>
                <w:rFonts w:ascii="Times New Roman" w:hAnsi="Times New Roman"/>
                <w:sz w:val="20"/>
              </w:rPr>
              <w:t>**DePIN (Decentralised Physical Infrastructure)**</w:t>
            </w:r>
          </w:p>
        </w:tc>
        <w:tc>
          <w:tcPr>
            <w:tcW w:type="dxa" w:w="1758"/>
          </w:tcPr>
          <w:p>
            <w:r>
              <w:rPr>
                <w:rFonts w:ascii="Times New Roman" w:hAnsi="Times New Roman"/>
                <w:sz w:val="20"/>
              </w:rPr>
              <w:t>Other, social, collectibles, DeFi</w:t>
            </w:r>
          </w:p>
        </w:tc>
        <w:tc>
          <w:tcPr>
            <w:tcW w:type="dxa" w:w="1758"/>
          </w:tcPr>
          <w:p>
            <w:r>
              <w:rPr>
                <w:rFonts w:ascii="Times New Roman" w:hAnsi="Times New Roman"/>
                <w:sz w:val="20"/>
              </w:rPr>
              <w:t>DePIN tag</w:t>
            </w:r>
          </w:p>
        </w:tc>
        <w:tc>
          <w:tcPr>
            <w:tcW w:type="dxa" w:w="1758"/>
          </w:tcPr>
          <w:p>
            <w:r>
              <w:rPr>
                <w:rFonts w:ascii="Times New Roman" w:hAnsi="Times New Roman"/>
                <w:sz w:val="20"/>
              </w:rPr>
              <w:t>10</w:t>
            </w:r>
          </w:p>
        </w:tc>
        <w:tc>
          <w:tcPr>
            <w:tcW w:type="dxa" w:w="1758"/>
          </w:tcPr>
          <w:p>
            <w:r>
              <w:rPr>
                <w:rFonts w:ascii="Times New Roman" w:hAnsi="Times New Roman"/>
                <w:sz w:val="20"/>
              </w:rPr>
              <w:t>Token-incentivised physical infrastructure with on-chain governance. Lowest N; subject to the fallback rule (see §3.4.4).</w:t>
            </w:r>
          </w:p>
        </w:tc>
      </w:tr>
    </w:tbl>
    <w:p/>
    <w:p>
      <w:r>
        <w:rPr>
          <w:i/>
        </w:rPr>
        <w:t>Note: Sector classifications reflect DappRadar's taxonomy. A single DApp is assigned to exactly one primary sector. Theme flags and tag filters are documented in §3.7.2. DApps may satisfy the tag filter for an ecosystem regardless of their primary sector classification, which is why sectors span multiple values for AI-enabled DApps, RWA, and DePIN.</w:t>
      </w:r>
    </w:p>
    <w:p>
      <w:pPr>
        <w:pStyle w:val="Heading3"/>
      </w:pPr>
      <w:r>
        <w:t>3.4.3 Case Selection Logic</w:t>
      </w:r>
    </w:p>
    <w:p>
      <w:r>
        <w:t>The five ecosystems were chosen to span a deliberate range on two structural axes:</w:t>
      </w:r>
    </w:p>
    <w:p>
      <w:pPr>
        <w:pStyle w:val="ListBullet"/>
      </w:pPr>
      <w:r>
        <w:rPr>
          <w:b/>
        </w:rPr>
        <w:t>Maturity axis</w:t>
      </w:r>
      <w:r>
        <w:t xml:space="preserve"> (DeFi → Prediction Markets → AI DApps → RWA → DePIN): from the fully institutionalised DeFi governance landscape to experimental, hardware-anchored infrastructure networks.</w:t>
      </w:r>
    </w:p>
    <w:p>
      <w:pPr>
        <w:pStyle w:val="ListBullet"/>
      </w:pPr>
      <w:r>
        <w:rPr>
          <w:b/>
        </w:rPr>
        <w:t>Governance complexity axis</w:t>
      </w:r>
      <w:r>
        <w:t xml:space="preserve"> (simple token votes in DEXs → oracle-dependent prediction resolution → AI model governance → regulatory-compliance dual constraints → physical coordination governance).</w:t>
      </w:r>
    </w:p>
    <w:p>
      <w:r>
        <w:t>Together they cover the major governance archetypes identified in the literature review (Chapter 2): token-weighted voting, oracle-mediated resolution, DAO-controlled parameter governance, and hybrid legal-technical governance. No purely social (SocialFi) or gaming (GameFi) ecosystem is included in the primary selection because those sectors exhibit structurally different value logic — network effects and entertainment value, respectively — that reduces comparability with the financially-oriented governance questions of this thesis.</w:t>
      </w:r>
    </w:p>
    <w:p>
      <w:r>
        <w:rPr>
          <w:b/>
        </w:rPr>
        <w:t>Priority ordering for analysis:</w:t>
      </w:r>
      <w:r>
        <w:t xml:space="preserve"> DeFi (anchor), Prediction Markets (contrast), AI-enabled DApps (emergent), RWA (regulatory frontier), DePIN (physical-infrastructure frontier).</w:t>
      </w:r>
    </w:p>
    <w:p>
      <w:pPr>
        <w:pStyle w:val="Heading3"/>
      </w:pPr>
      <w:r>
        <w:t>3.4.4 Fallback Rule</w:t>
      </w:r>
    </w:p>
    <w:p>
      <w:r>
        <w:t xml:space="preserve">Because RWA (N=14 in the full dataset) and DePIN (N=10) have relatively small eligible populations, a </w:t>
      </w:r>
      <w:r>
        <w:rPr>
          <w:b/>
        </w:rPr>
        <w:t>data-sufficiency threshold</w:t>
      </w:r>
      <w:r>
        <w:t xml:space="preserve"> is applied per ecosystem before including it in the primary comparative analysis:</w:t>
      </w:r>
    </w:p>
    <w:p>
      <w:pPr>
        <w:ind w:left="720"/>
      </w:pPr>
      <w:r>
        <w:rPr>
          <w:b/>
          <w:i/>
        </w:rPr>
        <w:t>Fallback rule:</w:t>
      </w:r>
      <w:r>
        <w:t xml:space="preserve"> If a target ecosystem yields fewer than </w:t>
      </w:r>
      <w:r>
        <w:rPr>
          <w:b/>
        </w:rPr>
        <w:t>10 strict-eligible DApps</w:t>
      </w:r>
      <w:r>
        <w:t xml:space="preserve"> (as defined in §3.3.2 — minimum 10,000 unique users, at least four positive governance signals, and positive market capitalisation or total value locked), that ecosystem is </w:t>
      </w:r>
      <w:r>
        <w:rPr>
          <w:b/>
        </w:rPr>
        <w:t>downgraded to a descriptive mention only</w:t>
      </w:r>
      <w:r>
        <w:t xml:space="preserve"> and excluded from the K-means clustering and cross-tabulation analyses. If three or more of the five ecosystems fail this threshold simultaneously, the comparative analysis is reduced to the </w:t>
      </w:r>
      <w:r>
        <w:rPr>
          <w:b/>
        </w:rPr>
        <w:t>three largest qualifying ecosystems</w:t>
      </w:r>
      <w:r>
        <w:t xml:space="preserve"> by strict-eligible N.</w:t>
      </w:r>
    </w:p>
    <w:p>
      <w:r>
        <w:t xml:space="preserve">Under this rule, the primary comparative analysis will proceed with all five ecosystems if sufficient data are confirmed during the analysis phase; otherwise the analysis defaults to </w:t>
      </w:r>
      <w:r>
        <w:rPr>
          <w:b/>
        </w:rPr>
        <w:t>DeFi, Prediction Markets, and AI-enabled DApps</w:t>
      </w:r>
      <w:r>
        <w:t xml:space="preserve"> — the three ecosystems with the largest tag-identified populations in the full dataset (181, 41, and 32 respectively). RWA and DePIN will be retained as descriptive appendix material even in the fallback scenario.</w:t>
      </w:r>
    </w:p>
    <w:p>
      <w:r>
        <w:t>The threshold of 10 is calibrated so that descriptive cross-tabulation and governance-score summaries remain supportable; below 10, individual-DApp idiosyncrasies dominate aggregate statistics and ecosystem-level generalisations are not defensible.</w:t>
      </w:r>
    </w:p>
    <w:p>
      <w:pPr>
        <w:pStyle w:val="Heading2"/>
      </w:pPr>
      <w:r>
        <w:t>3.5 Variable Codebook</w:t>
      </w:r>
    </w:p>
    <w:p>
      <w:r>
        <w:t xml:space="preserve">The dataset contains </w:t>
      </w:r>
      <w:r>
        <w:rPr>
          <w:b/>
        </w:rPr>
        <w:t>48 variables</w:t>
      </w:r>
      <w:r>
        <w:t xml:space="preserve"> across six categories. Table 3.3 summarises the variable groups; the full codebook is reproduced in Appendix A.</w:t>
      </w:r>
    </w:p>
    <w:p>
      <w:r>
        <w:rPr>
          <w:b/>
        </w:rPr>
        <w:t>Table 3.3 — Variable categories and counts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Category</w:t>
            </w:r>
          </w:p>
        </w:tc>
        <w:tc>
          <w:tcPr>
            <w:tcW w:type="dxa" w:w="2929"/>
          </w:tcPr>
          <w:p>
            <w:r>
              <w:rPr>
                <w:rFonts w:ascii="Times New Roman" w:hAnsi="Times New Roman"/>
                <w:b/>
                <w:sz w:val="20"/>
              </w:rPr>
              <w:t>N variables</w:t>
            </w:r>
          </w:p>
        </w:tc>
        <w:tc>
          <w:tcPr>
            <w:tcW w:type="dxa" w:w="2929"/>
          </w:tcPr>
          <w:p>
            <w:r>
              <w:rPr>
                <w:rFonts w:ascii="Times New Roman" w:hAnsi="Times New Roman"/>
                <w:b/>
                <w:sz w:val="20"/>
              </w:rPr>
              <w:t>Source</w:t>
            </w:r>
          </w:p>
        </w:tc>
      </w:tr>
      <w:tr>
        <w:tc>
          <w:tcPr>
            <w:tcW w:type="dxa" w:w="2929"/>
          </w:tcPr>
          <w:p>
            <w:r>
              <w:rPr>
                <w:rFonts w:ascii="Times New Roman" w:hAnsi="Times New Roman"/>
                <w:sz w:val="20"/>
              </w:rPr>
              <w:t>Core identifiers and external IDs</w:t>
            </w:r>
          </w:p>
        </w:tc>
        <w:tc>
          <w:tcPr>
            <w:tcW w:type="dxa" w:w="2929"/>
          </w:tcPr>
          <w:p>
            <w:r>
              <w:rPr>
                <w:rFonts w:ascii="Times New Roman" w:hAnsi="Times New Roman"/>
                <w:sz w:val="20"/>
              </w:rPr>
              <w:t>6</w:t>
            </w:r>
          </w:p>
        </w:tc>
        <w:tc>
          <w:tcPr>
            <w:tcW w:type="dxa" w:w="2929"/>
          </w:tcPr>
          <w:p>
            <w:r>
              <w:rPr>
                <w:rFonts w:ascii="Times New Roman" w:hAnsi="Times New Roman"/>
                <w:sz w:val="20"/>
              </w:rPr>
              <w:t>DappRadar, CMC, CoinGecko</w:t>
            </w:r>
          </w:p>
        </w:tc>
      </w:tr>
      <w:tr>
        <w:tc>
          <w:tcPr>
            <w:tcW w:type="dxa" w:w="2929"/>
          </w:tcPr>
          <w:p>
            <w:r>
              <w:rPr>
                <w:rFonts w:ascii="Times New Roman" w:hAnsi="Times New Roman"/>
                <w:sz w:val="20"/>
              </w:rPr>
              <w:t>Basic information</w:t>
            </w:r>
          </w:p>
        </w:tc>
        <w:tc>
          <w:tcPr>
            <w:tcW w:type="dxa" w:w="2929"/>
          </w:tcPr>
          <w:p>
            <w:r>
              <w:rPr>
                <w:rFonts w:ascii="Times New Roman" w:hAnsi="Times New Roman"/>
                <w:sz w:val="20"/>
              </w:rPr>
              <w:t>5</w:t>
            </w:r>
          </w:p>
        </w:tc>
        <w:tc>
          <w:tcPr>
            <w:tcW w:type="dxa" w:w="2929"/>
          </w:tcPr>
          <w:p>
            <w:r>
              <w:rPr>
                <w:rFonts w:ascii="Times New Roman" w:hAnsi="Times New Roman"/>
                <w:sz w:val="20"/>
              </w:rPr>
              <w:t>DappRadar, manual</w:t>
            </w:r>
          </w:p>
        </w:tc>
      </w:tr>
      <w:tr>
        <w:tc>
          <w:tcPr>
            <w:tcW w:type="dxa" w:w="2929"/>
          </w:tcPr>
          <w:p>
            <w:r>
              <w:rPr>
                <w:rFonts w:ascii="Times New Roman" w:hAnsi="Times New Roman"/>
                <w:sz w:val="20"/>
              </w:rPr>
              <w:t>Blockchain information</w:t>
            </w:r>
          </w:p>
        </w:tc>
        <w:tc>
          <w:tcPr>
            <w:tcW w:type="dxa" w:w="2929"/>
          </w:tcPr>
          <w:p>
            <w:r>
              <w:rPr>
                <w:rFonts w:ascii="Times New Roman" w:hAnsi="Times New Roman"/>
                <w:sz w:val="20"/>
              </w:rPr>
              <w:t>2</w:t>
            </w:r>
          </w:p>
        </w:tc>
        <w:tc>
          <w:tcPr>
            <w:tcW w:type="dxa" w:w="2929"/>
          </w:tcPr>
          <w:p>
            <w:r>
              <w:rPr>
                <w:rFonts w:ascii="Times New Roman" w:hAnsi="Times New Roman"/>
                <w:sz w:val="20"/>
              </w:rPr>
              <w:t>DappRadar, calculated</w:t>
            </w:r>
          </w:p>
        </w:tc>
      </w:tr>
      <w:tr>
        <w:tc>
          <w:tcPr>
            <w:tcW w:type="dxa" w:w="2929"/>
          </w:tcPr>
          <w:p>
            <w:r>
              <w:rPr>
                <w:rFonts w:ascii="Times New Roman" w:hAnsi="Times New Roman"/>
                <w:sz w:val="20"/>
              </w:rPr>
              <w:t>Governance and ownership (ENUM)</w:t>
            </w:r>
          </w:p>
        </w:tc>
        <w:tc>
          <w:tcPr>
            <w:tcW w:type="dxa" w:w="2929"/>
          </w:tcPr>
          <w:p>
            <w:r>
              <w:rPr>
                <w:rFonts w:ascii="Times New Roman" w:hAnsi="Times New Roman"/>
                <w:sz w:val="20"/>
              </w:rPr>
              <w:t>3</w:t>
            </w:r>
          </w:p>
        </w:tc>
        <w:tc>
          <w:tcPr>
            <w:tcW w:type="dxa" w:w="2929"/>
          </w:tcPr>
          <w:p>
            <w:r>
              <w:rPr>
                <w:rFonts w:ascii="Times New Roman" w:hAnsi="Times New Roman"/>
                <w:sz w:val="20"/>
              </w:rPr>
              <w:t>Manual research</w:t>
            </w:r>
          </w:p>
        </w:tc>
      </w:tr>
      <w:tr>
        <w:tc>
          <w:tcPr>
            <w:tcW w:type="dxa" w:w="2929"/>
          </w:tcPr>
          <w:p>
            <w:r>
              <w:rPr>
                <w:rFonts w:ascii="Times New Roman" w:hAnsi="Times New Roman"/>
                <w:sz w:val="20"/>
              </w:rPr>
              <w:t>Activity and financial metrics</w:t>
            </w:r>
          </w:p>
        </w:tc>
        <w:tc>
          <w:tcPr>
            <w:tcW w:type="dxa" w:w="2929"/>
          </w:tcPr>
          <w:p>
            <w:r>
              <w:rPr>
                <w:rFonts w:ascii="Times New Roman" w:hAnsi="Times New Roman"/>
                <w:sz w:val="20"/>
              </w:rPr>
              <w:t>18</w:t>
            </w:r>
          </w:p>
        </w:tc>
        <w:tc>
          <w:tcPr>
            <w:tcW w:type="dxa" w:w="2929"/>
          </w:tcPr>
          <w:p>
            <w:r>
              <w:rPr>
                <w:rFonts w:ascii="Times New Roman" w:hAnsi="Times New Roman"/>
                <w:sz w:val="20"/>
              </w:rPr>
              <w:t>DappRadar, DeFiLlama</w:t>
            </w:r>
          </w:p>
        </w:tc>
      </w:tr>
      <w:tr>
        <w:tc>
          <w:tcPr>
            <w:tcW w:type="dxa" w:w="2929"/>
          </w:tcPr>
          <w:p>
            <w:r>
              <w:rPr>
                <w:rFonts w:ascii="Times New Roman" w:hAnsi="Times New Roman"/>
                <w:sz w:val="20"/>
              </w:rPr>
              <w:t>Token supply and market price data</w:t>
            </w:r>
          </w:p>
        </w:tc>
        <w:tc>
          <w:tcPr>
            <w:tcW w:type="dxa" w:w="2929"/>
          </w:tcPr>
          <w:p>
            <w:r>
              <w:rPr>
                <w:rFonts w:ascii="Times New Roman" w:hAnsi="Times New Roman"/>
                <w:sz w:val="20"/>
              </w:rPr>
              <w:t>14</w:t>
            </w:r>
          </w:p>
        </w:tc>
        <w:tc>
          <w:tcPr>
            <w:tcW w:type="dxa" w:w="2929"/>
          </w:tcPr>
          <w:p>
            <w:r>
              <w:rPr>
                <w:rFonts w:ascii="Times New Roman" w:hAnsi="Times New Roman"/>
                <w:sz w:val="20"/>
              </w:rPr>
              <w:t>CMC, CoinGecko</w:t>
            </w:r>
          </w:p>
        </w:tc>
      </w:tr>
    </w:tbl>
    <w:p/>
    <w:p>
      <w:pPr>
        <w:pStyle w:val="Heading3"/>
      </w:pPr>
      <w:r>
        <w:t>3.5.1 Core Activity Variables</w:t>
      </w:r>
    </w:p>
    <w:p>
      <w:pPr>
        <w:pStyle w:val="ListBullet"/>
      </w:pPr>
      <w:r>
        <w:rPr>
          <w:b/>
        </w:rPr>
        <w:t>Users</w:t>
      </w:r>
      <w:r>
        <w:t>: unique active wallets in the measurement period (DappRadar). Primary engagement proxy.</w:t>
      </w:r>
    </w:p>
    <w:p>
      <w:pPr>
        <w:pStyle w:val="ListBullet"/>
      </w:pPr>
      <w:r>
        <w:rPr>
          <w:b/>
        </w:rPr>
        <w:t>Volume</w:t>
      </w:r>
      <w:r>
        <w:t>: total transaction/trading volume in USD (DappRadar). Measures economic throughput.</w:t>
      </w:r>
    </w:p>
    <w:p>
      <w:pPr>
        <w:pStyle w:val="ListBullet"/>
      </w:pPr>
      <w:r>
        <w:rPr>
          <w:b/>
        </w:rPr>
        <w:t>TVL (Total Value Locked)</w:t>
      </w:r>
      <w:r>
        <w:t>: total value locked in smart contracts in USD (DeFiLlama). Relevant primarily for DeFi protocols.</w:t>
      </w:r>
    </w:p>
    <w:p>
      <w:pPr>
        <w:pStyle w:val="ListBullet"/>
      </w:pPr>
      <w:r>
        <w:rPr>
          <w:b/>
        </w:rPr>
        <w:t>Transactions</w:t>
      </w:r>
      <w:r>
        <w:t>: total transaction count (DappRadar). Captures activity frequency independently of user count.</w:t>
      </w:r>
    </w:p>
    <w:p>
      <w:pPr>
        <w:pStyle w:val="ListBullet"/>
      </w:pPr>
      <w:r>
        <w:rPr>
          <w:b/>
        </w:rPr>
        <w:t>Market capitalisation</w:t>
      </w:r>
      <w:r>
        <w:t>: token market capitalisation in USD (CoinMarketCap primary, CoinGecko fallback). Measures token-market valuation.</w:t>
      </w:r>
    </w:p>
    <w:p>
      <w:pPr>
        <w:pStyle w:val="ListBullet"/>
      </w:pPr>
      <w:r>
        <w:rPr>
          <w:b/>
        </w:rPr>
        <w:t>CoinGecko market capitalisation</w:t>
      </w:r>
      <w:r>
        <w:t>: CoinGecko market cap (used as cross-validation).</w:t>
      </w:r>
    </w:p>
    <w:p>
      <w:pPr>
        <w:pStyle w:val="Heading3"/>
      </w:pPr>
      <w:r>
        <w:t>3.5.2 Governance and Ownership Variables</w:t>
      </w:r>
    </w:p>
    <w:p>
      <w:r>
        <w:t>The three governance ENUM variables are described in full in §3.6. Additional derived variables used in the analysis:</w:t>
      </w:r>
    </w:p>
    <w:p>
      <w:pPr>
        <w:pStyle w:val="ListBullet"/>
      </w:pPr>
      <w:r>
        <w:rPr>
          <w:b/>
        </w:rPr>
        <w:t>Governance score</w:t>
      </w:r>
      <w:r>
        <w:t xml:space="preserve"> (0–1): a numeric index scoring the governance architecture on a scale from fully centralised (0) to fully decentralised (1), derived from the three governance classification variables (§3.7.1).</w:t>
      </w:r>
    </w:p>
    <w:p>
      <w:pPr>
        <w:pStyle w:val="ListBullet"/>
      </w:pPr>
      <w:r>
        <w:rPr>
          <w:b/>
        </w:rPr>
        <w:t>Governance token flag</w:t>
      </w:r>
      <w:r>
        <w:t xml:space="preserve"> (categorical): whether the DApp's primary token is classified as a governance token.</w:t>
      </w:r>
    </w:p>
    <w:p>
      <w:pPr>
        <w:pStyle w:val="ListBullet"/>
      </w:pPr>
      <w:r>
        <w:rPr>
          <w:b/>
        </w:rPr>
        <w:t>Multi-chain deployment</w:t>
      </w:r>
      <w:r>
        <w:t xml:space="preserve"> (boolean): whether the DApp is deployed on more than one blockchain.</w:t>
      </w:r>
    </w:p>
    <w:p>
      <w:pPr>
        <w:pStyle w:val="Heading2"/>
      </w:pPr>
      <w:r>
        <w:t>3.6 Manual Governance Coding</w:t>
      </w:r>
    </w:p>
    <w:p>
      <w:r>
        <w:t>Three variables were populated through systematic manual research rather than automated data collection. This section documents the decision rules used to ensure coding consistency.</w:t>
      </w:r>
    </w:p>
    <w:p>
      <w:pPr>
        <w:pStyle w:val="Heading3"/>
      </w:pPr>
      <w:r>
        <w:t>3.6.1 Governance Type</w:t>
      </w:r>
    </w:p>
    <w:p>
      <w:r>
        <w:rPr>
          <w:b/>
        </w:rPr>
        <w:t>Purpose:</w:t>
      </w:r>
      <w:r>
        <w:t xml:space="preserve"> captures the formal mechanism through which protocol upgrade and parameter decisions are made.</w:t>
      </w:r>
    </w:p>
    <w:p>
      <w:r>
        <w:rPr>
          <w:b/>
        </w:rPr>
        <w:t>Enum values and decision rules: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Decision rule</w:t>
            </w:r>
          </w:p>
        </w:tc>
      </w:tr>
      <w:tr>
        <w:tc>
          <w:tcPr>
            <w:tcW w:type="dxa" w:w="4394"/>
          </w:tcPr>
          <w:p>
            <w:r>
              <w:rPr>
                <w:rFonts w:ascii="Times New Roman" w:hAnsi="Times New Roman"/>
                <w:sz w:val="20"/>
              </w:rPr>
              <w:t>None</w:t>
            </w:r>
          </w:p>
        </w:tc>
        <w:tc>
          <w:tcPr>
            <w:tcW w:type="dxa" w:w="4394"/>
          </w:tcPr>
          <w:p>
            <w:r>
              <w:rPr>
                <w:rFonts w:ascii="Times New Roman" w:hAnsi="Times New Roman"/>
                <w:sz w:val="20"/>
              </w:rPr>
              <w:t>No governance forum, vote, or documented change process; team deploys upgrades silently</w:t>
            </w:r>
          </w:p>
        </w:tc>
      </w:tr>
      <w:tr>
        <w:tc>
          <w:tcPr>
            <w:tcW w:type="dxa" w:w="4394"/>
          </w:tcPr>
          <w:p>
            <w:r>
              <w:rPr>
                <w:rFonts w:ascii="Times New Roman" w:hAnsi="Times New Roman"/>
                <w:sz w:val="20"/>
              </w:rPr>
              <w:t>Team-controlled</w:t>
            </w:r>
          </w:p>
        </w:tc>
        <w:tc>
          <w:tcPr>
            <w:tcW w:type="dxa" w:w="4394"/>
          </w:tcPr>
          <w:p>
            <w:r>
              <w:rPr>
                <w:rFonts w:ascii="Times New Roman" w:hAnsi="Times New Roman"/>
                <w:sz w:val="20"/>
              </w:rPr>
              <w:t>Decisions documented as team-only; no external voting mechanism even if community forum exists</w:t>
            </w:r>
          </w:p>
        </w:tc>
      </w:tr>
      <w:tr>
        <w:tc>
          <w:tcPr>
            <w:tcW w:type="dxa" w:w="4394"/>
          </w:tcPr>
          <w:p>
            <w:r>
              <w:rPr>
                <w:rFonts w:ascii="Times New Roman" w:hAnsi="Times New Roman"/>
                <w:sz w:val="20"/>
              </w:rPr>
              <w:t>Snapshot off-chain</w:t>
            </w:r>
          </w:p>
        </w:tc>
        <w:tc>
          <w:tcPr>
            <w:tcW w:type="dxa" w:w="4394"/>
          </w:tcPr>
          <w:p>
            <w:r>
              <w:rPr>
                <w:rFonts w:ascii="Times New Roman" w:hAnsi="Times New Roman"/>
                <w:sz w:val="20"/>
              </w:rPr>
              <w:t>Proposals and votes processed via Snapshot (or equivalent off-chain signalling tool) with documented precedent of influencing protocol decisions</w:t>
            </w:r>
          </w:p>
        </w:tc>
      </w:tr>
      <w:tr>
        <w:tc>
          <w:tcPr>
            <w:tcW w:type="dxa" w:w="4394"/>
          </w:tcPr>
          <w:p>
            <w:r>
              <w:rPr>
                <w:rFonts w:ascii="Times New Roman" w:hAnsi="Times New Roman"/>
                <w:sz w:val="20"/>
              </w:rPr>
              <w:t>On-chain token governance</w:t>
            </w:r>
          </w:p>
        </w:tc>
        <w:tc>
          <w:tcPr>
            <w:tcW w:type="dxa" w:w="4394"/>
          </w:tcPr>
          <w:p>
            <w:r>
              <w:rPr>
                <w:rFonts w:ascii="Times New Roman" w:hAnsi="Times New Roman"/>
                <w:sz w:val="20"/>
              </w:rPr>
              <w:t>Binding votes executed via on-chain governor contract (e.g., Governor Bravo, OpenZeppelin Governor); no team veto after vote passes</w:t>
            </w:r>
          </w:p>
        </w:tc>
      </w:tr>
      <w:tr>
        <w:tc>
          <w:tcPr>
            <w:tcW w:type="dxa" w:w="4394"/>
          </w:tcPr>
          <w:p>
            <w:r>
              <w:rPr>
                <w:rFonts w:ascii="Times New Roman" w:hAnsi="Times New Roman"/>
                <w:sz w:val="20"/>
              </w:rPr>
              <w:t>Hybrid</w:t>
            </w:r>
          </w:p>
        </w:tc>
        <w:tc>
          <w:tcPr>
            <w:tcW w:type="dxa" w:w="4394"/>
          </w:tcPr>
          <w:p>
            <w:r>
              <w:rPr>
                <w:rFonts w:ascii="Times New Roman" w:hAnsi="Times New Roman"/>
                <w:sz w:val="20"/>
              </w:rPr>
              <w:t>Combination of two or more mechanisms at comparable weight (e.g., Snapshot for signalling + multisig execution)</w:t>
            </w:r>
          </w:p>
        </w:tc>
      </w:tr>
      <w:tr>
        <w:tc>
          <w:tcPr>
            <w:tcW w:type="dxa" w:w="4394"/>
          </w:tcPr>
          <w:p>
            <w:r>
              <w:rPr>
                <w:rFonts w:ascii="Times New Roman" w:hAnsi="Times New Roman"/>
                <w:sz w:val="20"/>
              </w:rPr>
              <w:t>Multisig with community input</w:t>
            </w:r>
          </w:p>
        </w:tc>
        <w:tc>
          <w:tcPr>
            <w:tcW w:type="dxa" w:w="4394"/>
          </w:tcPr>
          <w:p>
            <w:r>
              <w:rPr>
                <w:rFonts w:ascii="Times New Roman" w:hAnsi="Times New Roman"/>
                <w:sz w:val="20"/>
              </w:rPr>
              <w:t>Execution via N-of-M multisig but proposals originate from community forum or off-chain poll</w:t>
            </w:r>
          </w:p>
        </w:tc>
      </w:tr>
      <w:tr>
        <w:tc>
          <w:tcPr>
            <w:tcW w:type="dxa" w:w="4394"/>
          </w:tcPr>
          <w:p>
            <w:r>
              <w:rPr>
                <w:rFonts w:ascii="Times New Roman" w:hAnsi="Times New Roman"/>
                <w:sz w:val="20"/>
              </w:rPr>
              <w:t>DAO with timelock</w:t>
            </w:r>
          </w:p>
        </w:tc>
        <w:tc>
          <w:tcPr>
            <w:tcW w:type="dxa" w:w="4394"/>
          </w:tcPr>
          <w:p>
            <w:r>
              <w:rPr>
                <w:rFonts w:ascii="Times New Roman" w:hAnsi="Times New Roman"/>
                <w:sz w:val="20"/>
              </w:rPr>
              <w:t>On-chain DAO governance where passed proposals enter a mandatory timelock queue before execution</w:t>
            </w:r>
          </w:p>
        </w:tc>
      </w:tr>
    </w:tbl>
    <w:p/>
    <w:p>
      <w:r>
        <w:rPr>
          <w:b/>
        </w:rPr>
        <w:t>Sources consulted per DApp:</w:t>
      </w:r>
      <w:r>
        <w:t xml:space="preserve"> official documentation, governance portals (Tally, Boardroom, Snapshot), whitepaper, smart contract audit reports. When sources conflicted, the most recent publicly available document was used.</w:t>
      </w:r>
    </w:p>
    <w:p>
      <w:pPr>
        <w:pStyle w:val="Heading3"/>
      </w:pPr>
      <w:r>
        <w:t>3.6.2 Ownership Status</w:t>
      </w:r>
    </w:p>
    <w:p>
      <w:r>
        <w:rPr>
          <w:b/>
        </w:rPr>
        <w:t>Purpose:</w:t>
      </w:r>
      <w:r>
        <w:t xml:space="preserve"> captures who controls the treasury, contract admin keys, and upgrade authority.</w:t>
      </w:r>
    </w:p>
    <w:p>
      <w:r>
        <w:rPr>
          <w:b/>
        </w:rPr>
        <w:t>Enum values and decision rules: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Decision rule</w:t>
            </w:r>
          </w:p>
        </w:tc>
      </w:tr>
      <w:tr>
        <w:tc>
          <w:tcPr>
            <w:tcW w:type="dxa" w:w="4394"/>
          </w:tcPr>
          <w:p>
            <w:r>
              <w:rPr>
                <w:rFonts w:ascii="Times New Roman" w:hAnsi="Times New Roman"/>
                <w:sz w:val="20"/>
              </w:rPr>
              <w:t>Company-owned</w:t>
            </w:r>
          </w:p>
        </w:tc>
        <w:tc>
          <w:tcPr>
            <w:tcW w:type="dxa" w:w="4394"/>
          </w:tcPr>
          <w:p>
            <w:r>
              <w:rPr>
                <w:rFonts w:ascii="Times New Roman" w:hAnsi="Times New Roman"/>
                <w:sz w:val="20"/>
              </w:rPr>
              <w:t>A registered private company holds admin keys or the treasury multisig is controlled by company employees</w:t>
            </w:r>
          </w:p>
        </w:tc>
      </w:tr>
      <w:tr>
        <w:tc>
          <w:tcPr>
            <w:tcW w:type="dxa" w:w="4394"/>
          </w:tcPr>
          <w:p>
            <w:r>
              <w:rPr>
                <w:rFonts w:ascii="Times New Roman" w:hAnsi="Times New Roman"/>
                <w:sz w:val="20"/>
              </w:rPr>
              <w:t>Foundation-owned</w:t>
            </w:r>
          </w:p>
        </w:tc>
        <w:tc>
          <w:tcPr>
            <w:tcW w:type="dxa" w:w="4394"/>
          </w:tcPr>
          <w:p>
            <w:r>
              <w:rPr>
                <w:rFonts w:ascii="Times New Roman" w:hAnsi="Times New Roman"/>
                <w:sz w:val="20"/>
              </w:rPr>
              <w:t>A non-profit or public-benefit foundation holds primary control; company does not retain override rights</w:t>
            </w:r>
          </w:p>
        </w:tc>
      </w:tr>
      <w:tr>
        <w:tc>
          <w:tcPr>
            <w:tcW w:type="dxa" w:w="4394"/>
          </w:tcPr>
          <w:p>
            <w:r>
              <w:rPr>
                <w:rFonts w:ascii="Times New Roman" w:hAnsi="Times New Roman"/>
                <w:sz w:val="20"/>
              </w:rPr>
              <w:t>DAO-owned</w:t>
            </w:r>
          </w:p>
        </w:tc>
        <w:tc>
          <w:tcPr>
            <w:tcW w:type="dxa" w:w="4394"/>
          </w:tcPr>
          <w:p>
            <w:r>
              <w:rPr>
                <w:rFonts w:ascii="Times New Roman" w:hAnsi="Times New Roman"/>
                <w:sz w:val="20"/>
              </w:rPr>
              <w:t>Admin keys and treasury are controlled by a DAO via on-chain votes; no single legal entity retains a unilateral veto</w:t>
            </w:r>
          </w:p>
        </w:tc>
      </w:tr>
      <w:tr>
        <w:tc>
          <w:tcPr>
            <w:tcW w:type="dxa" w:w="4394"/>
          </w:tcPr>
          <w:p>
            <w:r>
              <w:rPr>
                <w:rFonts w:ascii="Times New Roman" w:hAnsi="Times New Roman"/>
                <w:sz w:val="20"/>
              </w:rPr>
              <w:t>Mixed</w:t>
            </w:r>
          </w:p>
        </w:tc>
        <w:tc>
          <w:tcPr>
            <w:tcW w:type="dxa" w:w="4394"/>
          </w:tcPr>
          <w:p>
            <w:r>
              <w:rPr>
                <w:rFonts w:ascii="Times New Roman" w:hAnsi="Times New Roman"/>
                <w:sz w:val="20"/>
              </w:rPr>
              <w:t>Multiple parties share ownership (e.g., company + foundation, or DAO + company with veto rights)</w:t>
            </w:r>
          </w:p>
        </w:tc>
      </w:tr>
      <w:tr>
        <w:tc>
          <w:tcPr>
            <w:tcW w:type="dxa" w:w="4394"/>
          </w:tcPr>
          <w:p>
            <w:r>
              <w:rPr>
                <w:rFonts w:ascii="Times New Roman" w:hAnsi="Times New Roman"/>
                <w:sz w:val="20"/>
              </w:rPr>
              <w:t>Orphaned</w:t>
            </w:r>
          </w:p>
        </w:tc>
        <w:tc>
          <w:tcPr>
            <w:tcW w:type="dxa" w:w="4394"/>
          </w:tcPr>
          <w:p>
            <w:r>
              <w:rPr>
                <w:rFonts w:ascii="Times New Roman" w:hAnsi="Times New Roman"/>
                <w:sz w:val="20"/>
              </w:rPr>
              <w:t>Protocol is deployed but no active team or DAO maintains it; no contact or update in &gt; 12 months</w:t>
            </w:r>
          </w:p>
        </w:tc>
      </w:tr>
      <w:tr>
        <w:tc>
          <w:tcPr>
            <w:tcW w:type="dxa" w:w="4394"/>
          </w:tcPr>
          <w:p>
            <w:r>
              <w:rPr>
                <w:rFonts w:ascii="Times New Roman" w:hAnsi="Times New Roman"/>
                <w:sz w:val="20"/>
              </w:rPr>
              <w:t>Unknown</w:t>
            </w:r>
          </w:p>
        </w:tc>
        <w:tc>
          <w:tcPr>
            <w:tcW w:type="dxa" w:w="4394"/>
          </w:tcPr>
          <w:p>
            <w:r>
              <w:rPr>
                <w:rFonts w:ascii="Times New Roman" w:hAnsi="Times New Roman"/>
                <w:sz w:val="20"/>
              </w:rPr>
              <w:t>Insufficient public evidence to determine ownership after reasonable research effort (&gt; 30 minutes per DApp)</w:t>
            </w:r>
          </w:p>
        </w:tc>
      </w:tr>
    </w:tbl>
    <w:p/>
    <w:p>
      <w:pPr>
        <w:pStyle w:val="Heading3"/>
      </w:pPr>
      <w:r>
        <w:t>3.6.3 Level of Decentralisation</w:t>
      </w:r>
    </w:p>
    <w:p>
      <w:r>
        <w:rPr>
          <w:b/>
        </w:rPr>
        <w:t>Purpose:</w:t>
      </w:r>
      <w:r>
        <w:t xml:space="preserve"> provides a summary ordinal assessment of the DApp's overall decentralisation posture, integrating governance, ownership, and operational signals.</w:t>
      </w:r>
    </w:p>
    <w:p>
      <w:r>
        <w:rPr>
          <w:b/>
        </w:rPr>
        <w:t>Enum values and decision rules: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Qualifying conditions</w:t>
            </w:r>
          </w:p>
        </w:tc>
      </w:tr>
      <w:tr>
        <w:tc>
          <w:tcPr>
            <w:tcW w:type="dxa" w:w="4394"/>
          </w:tcPr>
          <w:p>
            <w:r>
              <w:rPr>
                <w:rFonts w:ascii="Times New Roman" w:hAnsi="Times New Roman"/>
                <w:sz w:val="20"/>
              </w:rPr>
              <w:t>Centralised</w:t>
            </w:r>
          </w:p>
        </w:tc>
        <w:tc>
          <w:tcPr>
            <w:tcW w:type="dxa" w:w="4394"/>
          </w:tcPr>
          <w:p>
            <w:r>
              <w:rPr>
                <w:rFonts w:ascii="Times New Roman" w:hAnsi="Times New Roman"/>
                <w:sz w:val="20"/>
              </w:rPr>
              <w:t>Company-owned AND team-controlled OR no governance; no community override mechanism</w:t>
            </w:r>
          </w:p>
        </w:tc>
      </w:tr>
      <w:tr>
        <w:tc>
          <w:tcPr>
            <w:tcW w:type="dxa" w:w="4394"/>
          </w:tcPr>
          <w:p>
            <w:r>
              <w:rPr>
                <w:rFonts w:ascii="Times New Roman" w:hAnsi="Times New Roman"/>
                <w:sz w:val="20"/>
              </w:rPr>
              <w:t>Semi-decentralised</w:t>
            </w:r>
          </w:p>
        </w:tc>
        <w:tc>
          <w:tcPr>
            <w:tcW w:type="dxa" w:w="4394"/>
          </w:tcPr>
          <w:p>
            <w:r>
              <w:rPr>
                <w:rFonts w:ascii="Times New Roman" w:hAnsi="Times New Roman"/>
                <w:sz w:val="20"/>
              </w:rPr>
              <w:t>At least one community-facing mechanism (Snapshot, multisig with input, or token governance) but company or foundation retains blocking power</w:t>
            </w:r>
          </w:p>
        </w:tc>
      </w:tr>
      <w:tr>
        <w:tc>
          <w:tcPr>
            <w:tcW w:type="dxa" w:w="4394"/>
          </w:tcPr>
          <w:p>
            <w:r>
              <w:rPr>
                <w:rFonts w:ascii="Times New Roman" w:hAnsi="Times New Roman"/>
                <w:sz w:val="20"/>
              </w:rPr>
              <w:t>Decentralised</w:t>
            </w:r>
          </w:p>
        </w:tc>
        <w:tc>
          <w:tcPr>
            <w:tcW w:type="dxa" w:w="4394"/>
          </w:tcPr>
          <w:p>
            <w:r>
              <w:rPr>
                <w:rFonts w:ascii="Times New Roman" w:hAnsi="Times New Roman"/>
                <w:sz w:val="20"/>
              </w:rPr>
              <w:t>On-chain governance with no company veto, DAO-owned treasury, open smart contract upgradeability governed by token holders, AND active participation track record</w:t>
            </w:r>
          </w:p>
        </w:tc>
      </w:tr>
    </w:tbl>
    <w:p/>
    <w:p>
      <w:r>
        <w:t>The Decentralised label was applied conservatively: the existence of a governance token alone was not sufficient. The protocol must also exhibit: (i) documented community-driven governance decisions, (ii) no admin key held by a single company, and (iii) no proxy upgrade pattern that bypasses on-chain voting.</w:t>
      </w:r>
    </w:p>
    <w:p>
      <w:pPr>
        <w:pStyle w:val="Heading3"/>
      </w:pPr>
      <w:r>
        <w:t>3.6.4 Intra-Coder Reliability</w:t>
      </w:r>
    </w:p>
    <w:p>
      <w:r>
        <w:t xml:space="preserve">All governance coding was performed by a single researcher (the thesis author). To test consistency, a random sample of 30 DApps (approximately 3.5% of the dataset) was re-coded independently after a two-week interval. This procedure measures </w:t>
      </w:r>
      <w:r>
        <w:rPr>
          <w:i/>
        </w:rPr>
        <w:t>intra-coder</w:t>
      </w:r>
      <w:r>
        <w:t xml:space="preserve"> (test-retest) reliability — the consistency of a single coder across time — rather than inter-coder reliability, which would require an independent second coder. Cohen's kappa for governance type was κ = 0.81 (substantial agreement); for ownership status, κ = 0.79; for level of decentralisation, κ = 0.88. These values indicate that the coding scheme, while manually applied, is sufficiently operationalised to produce reproducible results. The UNKNOWN category absorbs residual uncertainty rather than forcing ambiguous cases into a definitive classification. The absence of a second independent coder is acknowledged as a limitation; see §3.9.</w:t>
      </w:r>
    </w:p>
    <w:p>
      <w:pPr>
        <w:pStyle w:val="Heading2"/>
      </w:pPr>
      <w:r>
        <w:t>3.7 Derived Metrics</w:t>
      </w:r>
    </w:p>
    <w:p>
      <w:pPr>
        <w:pStyle w:val="Heading3"/>
      </w:pPr>
      <w:r>
        <w:t>3.7.1 Governance Score</w:t>
      </w:r>
    </w:p>
    <w:p>
      <w:r>
        <w:t>A composite governance score (0–1) is derived from the three ENUM variables to support correlation and clustering analyses. The formula and component weights are:</w:t>
      </w:r>
    </w:p>
    <w:p>
      <w:pPr>
        <w:jc w:val="center"/>
      </w:pPr>
      <w:r>
        <w:rPr>
          <w:rFonts w:ascii="Cambria Math" w:hAnsi="Cambria Math"/>
          <w:sz w:val="22"/>
        </w:rPr>
        <w:t>\text{governance\_score} = 0.50 \times w_{\text{decentralisation}} + 0.35 \times w_{\text{governance\_type}} + 0.15 \times w_{\text{ownership}}</w:t>
      </w:r>
    </w:p>
    <w:p>
      <w:r>
        <w:rPr>
          <w:b/>
        </w:rPr>
        <w:t>Table 3.4 — Governance score component weights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Dimension</w:t>
            </w:r>
          </w:p>
        </w:tc>
        <w:tc>
          <w:tcPr>
            <w:tcW w:type="dxa" w:w="2929"/>
          </w:tcPr>
          <w:p>
            <w:r>
              <w:rPr>
                <w:rFonts w:ascii="Times New Roman" w:hAnsi="Times New Roman"/>
                <w:b/>
                <w:sz w:val="20"/>
              </w:rPr>
              <w:t>Value</w:t>
            </w:r>
          </w:p>
        </w:tc>
        <w:tc>
          <w:tcPr>
            <w:tcW w:type="dxa" w:w="2929"/>
          </w:tcPr>
          <w:p>
            <w:r>
              <w:rPr>
                <w:rFonts w:ascii="Times New Roman" w:hAnsi="Times New Roman"/>
                <w:b/>
                <w:sz w:val="20"/>
              </w:rPr>
              <w:t>Component weight</w:t>
            </w:r>
          </w:p>
        </w:tc>
      </w:tr>
      <w:tr>
        <w:tc>
          <w:tcPr>
            <w:tcW w:type="dxa" w:w="2929"/>
          </w:tcPr>
          <w:p>
            <w:r>
              <w:rPr>
                <w:rFonts w:ascii="Times New Roman" w:hAnsi="Times New Roman"/>
                <w:sz w:val="20"/>
              </w:rPr>
              <w:t>**Level of decentralisation** (weight 0.50)</w:t>
            </w:r>
          </w:p>
        </w:tc>
        <w:tc>
          <w:tcPr>
            <w:tcW w:type="dxa" w:w="2929"/>
          </w:tcPr>
          <w:p>
            <w:r>
              <w:rPr>
                <w:rFonts w:ascii="Times New Roman" w:hAnsi="Times New Roman"/>
                <w:sz w:val="20"/>
              </w:rPr>
              <w:t>Centralised</w:t>
            </w:r>
          </w:p>
        </w:tc>
        <w:tc>
          <w:tcPr>
            <w:tcW w:type="dxa" w:w="2929"/>
          </w:tcPr>
          <w:p>
            <w:r>
              <w:rPr>
                <w:rFonts w:ascii="Times New Roman" w:hAnsi="Times New Roman"/>
                <w:sz w:val="20"/>
              </w:rPr>
              <w:t>0.00</w:t>
            </w:r>
          </w:p>
        </w:tc>
      </w:tr>
      <w:tr>
        <w:tc>
          <w:tcPr>
            <w:tcW w:type="dxa" w:w="2929"/>
          </w:tcPr>
          <w:p>
            <w:r>
              <w:rPr>
                <w:rFonts w:ascii="Times New Roman" w:hAnsi="Times New Roman"/>
                <w:sz w:val="20"/>
              </w:rPr>
            </w:r>
          </w:p>
        </w:tc>
        <w:tc>
          <w:tcPr>
            <w:tcW w:type="dxa" w:w="2929"/>
          </w:tcPr>
          <w:p>
            <w:r>
              <w:rPr>
                <w:rFonts w:ascii="Times New Roman" w:hAnsi="Times New Roman"/>
                <w:sz w:val="20"/>
              </w:rPr>
              <w:t>Semi-decentralised</w:t>
            </w:r>
          </w:p>
        </w:tc>
        <w:tc>
          <w:tcPr>
            <w:tcW w:type="dxa" w:w="2929"/>
          </w:tcPr>
          <w:p>
            <w:r>
              <w:rPr>
                <w:rFonts w:ascii="Times New Roman" w:hAnsi="Times New Roman"/>
                <w:sz w:val="20"/>
              </w:rPr>
              <w:t>0.50</w:t>
            </w:r>
          </w:p>
        </w:tc>
      </w:tr>
      <w:tr>
        <w:tc>
          <w:tcPr>
            <w:tcW w:type="dxa" w:w="2929"/>
          </w:tcPr>
          <w:p>
            <w:r>
              <w:rPr>
                <w:rFonts w:ascii="Times New Roman" w:hAnsi="Times New Roman"/>
                <w:sz w:val="20"/>
              </w:rPr>
            </w:r>
          </w:p>
        </w:tc>
        <w:tc>
          <w:tcPr>
            <w:tcW w:type="dxa" w:w="2929"/>
          </w:tcPr>
          <w:p>
            <w:r>
              <w:rPr>
                <w:rFonts w:ascii="Times New Roman" w:hAnsi="Times New Roman"/>
                <w:sz w:val="20"/>
              </w:rPr>
              <w:t>Decentralised</w:t>
            </w:r>
          </w:p>
        </w:tc>
        <w:tc>
          <w:tcPr>
            <w:tcW w:type="dxa" w:w="2929"/>
          </w:tcPr>
          <w:p>
            <w:r>
              <w:rPr>
                <w:rFonts w:ascii="Times New Roman" w:hAnsi="Times New Roman"/>
                <w:sz w:val="20"/>
              </w:rPr>
              <w:t>1.00</w:t>
            </w:r>
          </w:p>
        </w:tc>
      </w:tr>
      <w:tr>
        <w:tc>
          <w:tcPr>
            <w:tcW w:type="dxa" w:w="2929"/>
          </w:tcPr>
          <w:p>
            <w:r>
              <w:rPr>
                <w:rFonts w:ascii="Times New Roman" w:hAnsi="Times New Roman"/>
                <w:sz w:val="20"/>
              </w:rPr>
              <w:t>**Governance type** (weight 0.35)</w:t>
            </w:r>
          </w:p>
        </w:tc>
        <w:tc>
          <w:tcPr>
            <w:tcW w:type="dxa" w:w="2929"/>
          </w:tcPr>
          <w:p>
            <w:r>
              <w:rPr>
                <w:rFonts w:ascii="Times New Roman" w:hAnsi="Times New Roman"/>
                <w:sz w:val="20"/>
              </w:rPr>
              <w:t>None</w:t>
            </w:r>
          </w:p>
        </w:tc>
        <w:tc>
          <w:tcPr>
            <w:tcW w:type="dxa" w:w="2929"/>
          </w:tcPr>
          <w:p>
            <w:r>
              <w:rPr>
                <w:rFonts w:ascii="Times New Roman" w:hAnsi="Times New Roman"/>
                <w:sz w:val="20"/>
              </w:rPr>
              <w:t>0.00</w:t>
            </w:r>
          </w:p>
        </w:tc>
      </w:tr>
      <w:tr>
        <w:tc>
          <w:tcPr>
            <w:tcW w:type="dxa" w:w="2929"/>
          </w:tcPr>
          <w:p>
            <w:r>
              <w:rPr>
                <w:rFonts w:ascii="Times New Roman" w:hAnsi="Times New Roman"/>
                <w:sz w:val="20"/>
              </w:rPr>
            </w:r>
          </w:p>
        </w:tc>
        <w:tc>
          <w:tcPr>
            <w:tcW w:type="dxa" w:w="2929"/>
          </w:tcPr>
          <w:p>
            <w:r>
              <w:rPr>
                <w:rFonts w:ascii="Times New Roman" w:hAnsi="Times New Roman"/>
                <w:sz w:val="20"/>
              </w:rPr>
              <w:t>Team-controlled</w:t>
            </w:r>
          </w:p>
        </w:tc>
        <w:tc>
          <w:tcPr>
            <w:tcW w:type="dxa" w:w="2929"/>
          </w:tcPr>
          <w:p>
            <w:r>
              <w:rPr>
                <w:rFonts w:ascii="Times New Roman" w:hAnsi="Times New Roman"/>
                <w:sz w:val="20"/>
              </w:rPr>
              <w:t>0.10</w:t>
            </w:r>
          </w:p>
        </w:tc>
      </w:tr>
      <w:tr>
        <w:tc>
          <w:tcPr>
            <w:tcW w:type="dxa" w:w="2929"/>
          </w:tcPr>
          <w:p>
            <w:r>
              <w:rPr>
                <w:rFonts w:ascii="Times New Roman" w:hAnsi="Times New Roman"/>
                <w:sz w:val="20"/>
              </w:rPr>
            </w:r>
          </w:p>
        </w:tc>
        <w:tc>
          <w:tcPr>
            <w:tcW w:type="dxa" w:w="2929"/>
          </w:tcPr>
          <w:p>
            <w:r>
              <w:rPr>
                <w:rFonts w:ascii="Times New Roman" w:hAnsi="Times New Roman"/>
                <w:sz w:val="20"/>
              </w:rPr>
              <w:t>Snapshot off-chain</w:t>
            </w:r>
          </w:p>
        </w:tc>
        <w:tc>
          <w:tcPr>
            <w:tcW w:type="dxa" w:w="2929"/>
          </w:tcPr>
          <w:p>
            <w:r>
              <w:rPr>
                <w:rFonts w:ascii="Times New Roman" w:hAnsi="Times New Roman"/>
                <w:sz w:val="20"/>
              </w:rPr>
              <w:t>0.40</w:t>
            </w:r>
          </w:p>
        </w:tc>
      </w:tr>
      <w:tr>
        <w:tc>
          <w:tcPr>
            <w:tcW w:type="dxa" w:w="2929"/>
          </w:tcPr>
          <w:p>
            <w:r>
              <w:rPr>
                <w:rFonts w:ascii="Times New Roman" w:hAnsi="Times New Roman"/>
                <w:sz w:val="20"/>
              </w:rPr>
            </w:r>
          </w:p>
        </w:tc>
        <w:tc>
          <w:tcPr>
            <w:tcW w:type="dxa" w:w="2929"/>
          </w:tcPr>
          <w:p>
            <w:r>
              <w:rPr>
                <w:rFonts w:ascii="Times New Roman" w:hAnsi="Times New Roman"/>
                <w:sz w:val="20"/>
              </w:rPr>
              <w:t>Multisig with community input</w:t>
            </w:r>
          </w:p>
        </w:tc>
        <w:tc>
          <w:tcPr>
            <w:tcW w:type="dxa" w:w="2929"/>
          </w:tcPr>
          <w:p>
            <w:r>
              <w:rPr>
                <w:rFonts w:ascii="Times New Roman" w:hAnsi="Times New Roman"/>
                <w:sz w:val="20"/>
              </w:rPr>
              <w:t>0.50</w:t>
            </w:r>
          </w:p>
        </w:tc>
      </w:tr>
      <w:tr>
        <w:tc>
          <w:tcPr>
            <w:tcW w:type="dxa" w:w="2929"/>
          </w:tcPr>
          <w:p>
            <w:r>
              <w:rPr>
                <w:rFonts w:ascii="Times New Roman" w:hAnsi="Times New Roman"/>
                <w:sz w:val="20"/>
              </w:rPr>
            </w:r>
          </w:p>
        </w:tc>
        <w:tc>
          <w:tcPr>
            <w:tcW w:type="dxa" w:w="2929"/>
          </w:tcPr>
          <w:p>
            <w:r>
              <w:rPr>
                <w:rFonts w:ascii="Times New Roman" w:hAnsi="Times New Roman"/>
                <w:sz w:val="20"/>
              </w:rPr>
              <w:t>Hybrid</w:t>
            </w:r>
          </w:p>
        </w:tc>
        <w:tc>
          <w:tcPr>
            <w:tcW w:type="dxa" w:w="2929"/>
          </w:tcPr>
          <w:p>
            <w:r>
              <w:rPr>
                <w:rFonts w:ascii="Times New Roman" w:hAnsi="Times New Roman"/>
                <w:sz w:val="20"/>
              </w:rPr>
              <w:t>0.60</w:t>
            </w:r>
          </w:p>
        </w:tc>
      </w:tr>
      <w:tr>
        <w:tc>
          <w:tcPr>
            <w:tcW w:type="dxa" w:w="2929"/>
          </w:tcPr>
          <w:p>
            <w:r>
              <w:rPr>
                <w:rFonts w:ascii="Times New Roman" w:hAnsi="Times New Roman"/>
                <w:sz w:val="20"/>
              </w:rPr>
            </w:r>
          </w:p>
        </w:tc>
        <w:tc>
          <w:tcPr>
            <w:tcW w:type="dxa" w:w="2929"/>
          </w:tcPr>
          <w:p>
            <w:r>
              <w:rPr>
                <w:rFonts w:ascii="Times New Roman" w:hAnsi="Times New Roman"/>
                <w:sz w:val="20"/>
              </w:rPr>
              <w:t>On-chain token governance</w:t>
            </w:r>
          </w:p>
        </w:tc>
        <w:tc>
          <w:tcPr>
            <w:tcW w:type="dxa" w:w="2929"/>
          </w:tcPr>
          <w:p>
            <w:r>
              <w:rPr>
                <w:rFonts w:ascii="Times New Roman" w:hAnsi="Times New Roman"/>
                <w:sz w:val="20"/>
              </w:rPr>
              <w:t>0.80</w:t>
            </w:r>
          </w:p>
        </w:tc>
      </w:tr>
      <w:tr>
        <w:tc>
          <w:tcPr>
            <w:tcW w:type="dxa" w:w="2929"/>
          </w:tcPr>
          <w:p>
            <w:r>
              <w:rPr>
                <w:rFonts w:ascii="Times New Roman" w:hAnsi="Times New Roman"/>
                <w:sz w:val="20"/>
              </w:rPr>
            </w:r>
          </w:p>
        </w:tc>
        <w:tc>
          <w:tcPr>
            <w:tcW w:type="dxa" w:w="2929"/>
          </w:tcPr>
          <w:p>
            <w:r>
              <w:rPr>
                <w:rFonts w:ascii="Times New Roman" w:hAnsi="Times New Roman"/>
                <w:sz w:val="20"/>
              </w:rPr>
              <w:t>DAO with timelock</w:t>
            </w:r>
          </w:p>
        </w:tc>
        <w:tc>
          <w:tcPr>
            <w:tcW w:type="dxa" w:w="2929"/>
          </w:tcPr>
          <w:p>
            <w:r>
              <w:rPr>
                <w:rFonts w:ascii="Times New Roman" w:hAnsi="Times New Roman"/>
                <w:sz w:val="20"/>
              </w:rPr>
              <w:t>1.00</w:t>
            </w:r>
          </w:p>
        </w:tc>
      </w:tr>
      <w:tr>
        <w:tc>
          <w:tcPr>
            <w:tcW w:type="dxa" w:w="2929"/>
          </w:tcPr>
          <w:p>
            <w:r>
              <w:rPr>
                <w:rFonts w:ascii="Times New Roman" w:hAnsi="Times New Roman"/>
                <w:sz w:val="20"/>
              </w:rPr>
              <w:t>**Ownership status** (weight 0.15)</w:t>
            </w:r>
          </w:p>
        </w:tc>
        <w:tc>
          <w:tcPr>
            <w:tcW w:type="dxa" w:w="2929"/>
          </w:tcPr>
          <w:p>
            <w:r>
              <w:rPr>
                <w:rFonts w:ascii="Times New Roman" w:hAnsi="Times New Roman"/>
                <w:sz w:val="20"/>
              </w:rPr>
              <w:t>Company-owned</w:t>
            </w:r>
          </w:p>
        </w:tc>
        <w:tc>
          <w:tcPr>
            <w:tcW w:type="dxa" w:w="2929"/>
          </w:tcPr>
          <w:p>
            <w:r>
              <w:rPr>
                <w:rFonts w:ascii="Times New Roman" w:hAnsi="Times New Roman"/>
                <w:sz w:val="20"/>
              </w:rPr>
              <w:t>0.00</w:t>
            </w:r>
          </w:p>
        </w:tc>
      </w:tr>
      <w:tr>
        <w:tc>
          <w:tcPr>
            <w:tcW w:type="dxa" w:w="2929"/>
          </w:tcPr>
          <w:p>
            <w:r>
              <w:rPr>
                <w:rFonts w:ascii="Times New Roman" w:hAnsi="Times New Roman"/>
                <w:sz w:val="20"/>
              </w:rPr>
            </w:r>
          </w:p>
        </w:tc>
        <w:tc>
          <w:tcPr>
            <w:tcW w:type="dxa" w:w="2929"/>
          </w:tcPr>
          <w:p>
            <w:r>
              <w:rPr>
                <w:rFonts w:ascii="Times New Roman" w:hAnsi="Times New Roman"/>
                <w:sz w:val="20"/>
              </w:rPr>
              <w:t>Unknown</w:t>
            </w:r>
          </w:p>
        </w:tc>
        <w:tc>
          <w:tcPr>
            <w:tcW w:type="dxa" w:w="2929"/>
          </w:tcPr>
          <w:p>
            <w:r>
              <w:rPr>
                <w:rFonts w:ascii="Times New Roman" w:hAnsi="Times New Roman"/>
                <w:sz w:val="20"/>
              </w:rPr>
              <w:t>0.00</w:t>
            </w:r>
          </w:p>
        </w:tc>
      </w:tr>
      <w:tr>
        <w:tc>
          <w:tcPr>
            <w:tcW w:type="dxa" w:w="2929"/>
          </w:tcPr>
          <w:p>
            <w:r>
              <w:rPr>
                <w:rFonts w:ascii="Times New Roman" w:hAnsi="Times New Roman"/>
                <w:sz w:val="20"/>
              </w:rPr>
            </w:r>
          </w:p>
        </w:tc>
        <w:tc>
          <w:tcPr>
            <w:tcW w:type="dxa" w:w="2929"/>
          </w:tcPr>
          <w:p>
            <w:r>
              <w:rPr>
                <w:rFonts w:ascii="Times New Roman" w:hAnsi="Times New Roman"/>
                <w:sz w:val="20"/>
              </w:rPr>
              <w:t>Orphaned</w:t>
            </w:r>
          </w:p>
        </w:tc>
        <w:tc>
          <w:tcPr>
            <w:tcW w:type="dxa" w:w="2929"/>
          </w:tcPr>
          <w:p>
            <w:r>
              <w:rPr>
                <w:rFonts w:ascii="Times New Roman" w:hAnsi="Times New Roman"/>
                <w:sz w:val="20"/>
              </w:rPr>
              <w:t>0.20</w:t>
            </w:r>
          </w:p>
        </w:tc>
      </w:tr>
      <w:tr>
        <w:tc>
          <w:tcPr>
            <w:tcW w:type="dxa" w:w="2929"/>
          </w:tcPr>
          <w:p>
            <w:r>
              <w:rPr>
                <w:rFonts w:ascii="Times New Roman" w:hAnsi="Times New Roman"/>
                <w:sz w:val="20"/>
              </w:rPr>
            </w:r>
          </w:p>
        </w:tc>
        <w:tc>
          <w:tcPr>
            <w:tcW w:type="dxa" w:w="2929"/>
          </w:tcPr>
          <w:p>
            <w:r>
              <w:rPr>
                <w:rFonts w:ascii="Times New Roman" w:hAnsi="Times New Roman"/>
                <w:sz w:val="20"/>
              </w:rPr>
              <w:t>Foundation-owned</w:t>
            </w:r>
          </w:p>
        </w:tc>
        <w:tc>
          <w:tcPr>
            <w:tcW w:type="dxa" w:w="2929"/>
          </w:tcPr>
          <w:p>
            <w:r>
              <w:rPr>
                <w:rFonts w:ascii="Times New Roman" w:hAnsi="Times New Roman"/>
                <w:sz w:val="20"/>
              </w:rPr>
              <w:t>0.50</w:t>
            </w:r>
          </w:p>
        </w:tc>
      </w:tr>
      <w:tr>
        <w:tc>
          <w:tcPr>
            <w:tcW w:type="dxa" w:w="2929"/>
          </w:tcPr>
          <w:p>
            <w:r>
              <w:rPr>
                <w:rFonts w:ascii="Times New Roman" w:hAnsi="Times New Roman"/>
                <w:sz w:val="20"/>
              </w:rPr>
            </w:r>
          </w:p>
        </w:tc>
        <w:tc>
          <w:tcPr>
            <w:tcW w:type="dxa" w:w="2929"/>
          </w:tcPr>
          <w:p>
            <w:r>
              <w:rPr>
                <w:rFonts w:ascii="Times New Roman" w:hAnsi="Times New Roman"/>
                <w:sz w:val="20"/>
              </w:rPr>
              <w:t>Mixed</w:t>
            </w:r>
          </w:p>
        </w:tc>
        <w:tc>
          <w:tcPr>
            <w:tcW w:type="dxa" w:w="2929"/>
          </w:tcPr>
          <w:p>
            <w:r>
              <w:rPr>
                <w:rFonts w:ascii="Times New Roman" w:hAnsi="Times New Roman"/>
                <w:sz w:val="20"/>
              </w:rPr>
              <w:t>0.50</w:t>
            </w:r>
          </w:p>
        </w:tc>
      </w:tr>
      <w:tr>
        <w:tc>
          <w:tcPr>
            <w:tcW w:type="dxa" w:w="2929"/>
          </w:tcPr>
          <w:p>
            <w:r>
              <w:rPr>
                <w:rFonts w:ascii="Times New Roman" w:hAnsi="Times New Roman"/>
                <w:sz w:val="20"/>
              </w:rPr>
            </w:r>
          </w:p>
        </w:tc>
        <w:tc>
          <w:tcPr>
            <w:tcW w:type="dxa" w:w="2929"/>
          </w:tcPr>
          <w:p>
            <w:r>
              <w:rPr>
                <w:rFonts w:ascii="Times New Roman" w:hAnsi="Times New Roman"/>
                <w:sz w:val="20"/>
              </w:rPr>
              <w:t>DAO-owned</w:t>
            </w:r>
          </w:p>
        </w:tc>
        <w:tc>
          <w:tcPr>
            <w:tcW w:type="dxa" w:w="2929"/>
          </w:tcPr>
          <w:p>
            <w:r>
              <w:rPr>
                <w:rFonts w:ascii="Times New Roman" w:hAnsi="Times New Roman"/>
                <w:sz w:val="20"/>
              </w:rPr>
              <w:t>1.00</w:t>
            </w:r>
          </w:p>
        </w:tc>
      </w:tr>
    </w:tbl>
    <w:p/>
    <w:p>
      <w:r>
        <w:t>Weights reflect the theoretical primacy of the overall decentralisation assessment, with governance type as the strongest operational signal and ownership as a secondary anchor. This index is ordinal in character: a higher score indicates a more community-facing architecture, but absolute numeric differences should not be interpreted as interval distances. The score is used descriptively and as an input to clustering; it is not modelled as a dependent variable.</w:t>
      </w:r>
    </w:p>
    <w:p>
      <w:pPr>
        <w:pStyle w:val="Heading3"/>
      </w:pPr>
      <w:r>
        <w:t>3.7.2 Theme Flags</w:t>
      </w:r>
    </w:p>
    <w:p>
      <w:r>
        <w:t>Binary theme flags identify DApps associated with each major ecosystem vertical:</w:t>
      </w:r>
    </w:p>
    <w:p>
      <w:pPr>
        <w:pStyle w:val="ListBullet"/>
      </w:pPr>
      <w:r>
        <w:rPr>
          <w:b/>
        </w:rPr>
        <w:t>DeFi flag</w:t>
      </w:r>
      <w:r>
        <w:t>: tags or description contain DeFi-related keywords (DEX, lending, yield, stablecoin, liquidity, bridge, derivatives)</w:t>
      </w:r>
    </w:p>
    <w:p>
      <w:pPr>
        <w:pStyle w:val="ListBullet"/>
      </w:pPr>
      <w:r>
        <w:rPr>
          <w:b/>
        </w:rPr>
        <w:t>Gaming flag</w:t>
      </w:r>
      <w:r>
        <w:t>: tags or description contain gaming keywords (game, GameFi, play-to-earn, NFT game, metaverse)</w:t>
      </w:r>
    </w:p>
    <w:p>
      <w:pPr>
        <w:pStyle w:val="ListBullet"/>
      </w:pPr>
      <w:r>
        <w:rPr>
          <w:b/>
        </w:rPr>
        <w:t>Social flag</w:t>
      </w:r>
      <w:r>
        <w:t>: tags related to social networking, messaging, or content platforms</w:t>
      </w:r>
    </w:p>
    <w:p>
      <w:pPr>
        <w:pStyle w:val="ListBullet"/>
      </w:pPr>
      <w:r>
        <w:rPr>
          <w:b/>
        </w:rPr>
        <w:t>NFT flag</w:t>
      </w:r>
      <w:r>
        <w:t>: NFT marketplace, collectibles, or digital art platform</w:t>
      </w:r>
    </w:p>
    <w:p>
      <w:r>
        <w:t>Flags are non-exclusive: a DApp may carry multiple flags. The heuristic was validated against DappRadar sector labels for a 50-DApp sample (accuracy: 93%).</w:t>
      </w:r>
    </w:p>
    <w:p>
      <w:pPr>
        <w:pStyle w:val="Heading3"/>
      </w:pPr>
      <w:r>
        <w:t>3.7.3 Efficiency Ratios</w:t>
      </w:r>
    </w:p>
    <w:p>
      <w:r>
        <w:t>Two ratio variables proxy capital efficiency:</w:t>
      </w:r>
    </w:p>
    <w:p>
      <w:pPr>
        <w:pStyle w:val="ListBullet"/>
      </w:pPr>
      <w:r>
        <w:rPr>
          <w:b/>
        </w:rPr>
        <w:t>TVL ratio</w:t>
      </w:r>
      <w:r>
        <w:t>: TVL divided by market capitalisation. Values greater than 1 indicate protocols where deposited capital exceeds token market value (common in early-stage or low-float DeFi protocols).</w:t>
      </w:r>
    </w:p>
    <w:p>
      <w:pPr>
        <w:pStyle w:val="ListBullet"/>
      </w:pPr>
      <w:r>
        <w:rPr>
          <w:b/>
        </w:rPr>
        <w:t>Market cap per user</w:t>
      </w:r>
      <w:r>
        <w:t>: market capitalisation divided by active user count. Proxies per-user market valuation; used to identify valuation outliers in §4.3.</w:t>
      </w:r>
    </w:p>
    <w:p>
      <w:pPr>
        <w:pStyle w:val="Heading3"/>
      </w:pPr>
      <w:r>
        <w:t>3.7.4 Signal Count</w:t>
      </w:r>
    </w:p>
    <w:p>
      <w:r>
        <w:t>The activity signal count (integer, 0–5) counts how many of the five activity signals (users, volume, total value locked, market capitalisation, and transactions) are strictly positive. This composite is used directly in the eligibility filters (§3.3) and as a data-quality covariate in the analysis.</w:t>
      </w:r>
    </w:p>
    <w:p>
      <w:pPr>
        <w:pStyle w:val="Heading3"/>
      </w:pPr>
      <w:r>
        <w:t>3.7.5 Cohort Ranking Score</w:t>
      </w:r>
    </w:p>
    <w:p>
      <w:r>
        <w:t>Within each sector×category cohort, DApps are ranked by a weighted log-signal composite:</w:t>
      </w:r>
    </w:p>
    <w:p>
      <w:pPr>
        <w:spacing w:after="0" w:before="0"/>
      </w:pPr>
      <w:r>
        <w:rPr>
          <w:rFonts w:ascii="Courier New" w:hAnsi="Courier New"/>
          <w:sz w:val="18"/>
        </w:rPr>
        <w:t>cohort_score = 1.0 × log1p(users)</w:t>
      </w:r>
    </w:p>
    <w:p>
      <w:pPr>
        <w:spacing w:after="0" w:before="0"/>
      </w:pPr>
      <w:r>
        <w:rPr>
          <w:rFonts w:ascii="Courier New" w:hAnsi="Courier New"/>
          <w:sz w:val="18"/>
        </w:rPr>
        <w:t xml:space="preserve">             + 1.0 × log1p(volume)</w:t>
      </w:r>
    </w:p>
    <w:p>
      <w:pPr>
        <w:spacing w:after="0" w:before="0"/>
      </w:pPr>
      <w:r>
        <w:rPr>
          <w:rFonts w:ascii="Courier New" w:hAnsi="Courier New"/>
          <w:sz w:val="18"/>
        </w:rPr>
        <w:t xml:space="preserve">             + 0.8 × log1p(tvl)</w:t>
      </w:r>
    </w:p>
    <w:p>
      <w:pPr>
        <w:spacing w:after="0" w:before="0"/>
      </w:pPr>
      <w:r>
        <w:rPr>
          <w:rFonts w:ascii="Courier New" w:hAnsi="Courier New"/>
          <w:sz w:val="18"/>
        </w:rPr>
        <w:t xml:space="preserve">             + 0.8 × log1p(market_cap)</w:t>
      </w:r>
    </w:p>
    <w:p>
      <w:pPr>
        <w:spacing w:after="0" w:before="0"/>
      </w:pPr>
      <w:r>
        <w:rPr>
          <w:rFonts w:ascii="Courier New" w:hAnsi="Courier New"/>
          <w:sz w:val="18"/>
        </w:rPr>
        <w:t xml:space="preserve">             + 0.6 × log1p(transactions)</w:t>
      </w:r>
    </w:p>
    <w:p>
      <w:r>
        <w:t>Log-transformation compresses the extremely right-skewed distributions of all five financial variables while preserving rank ordering. The weights reflect the theoretical importance of user engagement (1.0) over purely financial stock variables (0.6–0.8). For cohorts with fewer than 20 eligible DApps, all members are included without truncation.</w:t>
      </w:r>
    </w:p>
    <w:p>
      <w:pPr>
        <w:pStyle w:val="Heading2"/>
      </w:pPr>
      <w:r>
        <w:t>3.8 Analytical Methods</w:t>
      </w:r>
    </w:p>
    <w:p>
      <w:pPr>
        <w:pStyle w:val="Heading3"/>
      </w:pPr>
      <w:r>
        <w:t>3.8.1 Descriptive Statistics</w:t>
      </w:r>
    </w:p>
    <w:p>
      <w:r>
        <w:t>Standard summary statistics (mean, median, standard deviation, interquartile range, minimum, maximum) are computed for all continuous variables in both the loose and strict universes. Because all financial variables are extremely right-skewed, median and IQR are reported as primary central tendency and spread statistics; means are presented where relevant for comparison.</w:t>
      </w:r>
    </w:p>
    <w:p>
      <w:r>
        <w:t>Frequency tables and proportions are reported for all categorical variables (governance type, ownership status, level of decentralisation, multi-chain deployment, DeFi flag, etc.). Loose/strict differences serve as a sensitivity analysis ("backtest") for headline proportions.</w:t>
      </w:r>
    </w:p>
    <w:p>
      <w:pPr>
        <w:pStyle w:val="Heading3"/>
      </w:pPr>
      <w:r>
        <w:t>3.8.2 Cross-Tabulation Analysis</w:t>
      </w:r>
    </w:p>
    <w:p>
      <w:r>
        <w:t>Cross-tabulations examine the joint distributions of governance variables with each other and with selected market and adoption variables. Key cross-tabs produced:</w:t>
      </w:r>
    </w:p>
    <w:p>
      <w:pPr>
        <w:pStyle w:val="ListBullet"/>
      </w:pPr>
      <w:r>
        <w:t>Level of decentralisation × governance type (loose, strict, cohort)</w:t>
      </w:r>
    </w:p>
    <w:p>
      <w:pPr>
        <w:pStyle w:val="ListBullet"/>
      </w:pPr>
      <w:r>
        <w:t>Level of decentralisation × ownership status (loose, strict, cohort)</w:t>
      </w:r>
    </w:p>
    <w:p>
      <w:pPr>
        <w:pStyle w:val="ListBullet"/>
      </w:pPr>
      <w:r>
        <w:t>Governance type × governance token flag (loose, strict, cohort)</w:t>
      </w:r>
    </w:p>
    <w:p>
      <w:r>
        <w:t>Because several cells are sparse in the strict sample (N=68), chi-squared tests are supplemented with exact Fisher tests for 2×2 sub-tables and interpreted with reference to effect size (Cramér's V) rather than p-values alone. Statistical significance is used as a filtering heuristic, not as a causal claim.</w:t>
      </w:r>
    </w:p>
    <w:p>
      <w:pPr>
        <w:pStyle w:val="Heading3"/>
      </w:pPr>
      <w:r>
        <w:t>3.8.3 Correlation Analysis</w:t>
      </w:r>
    </w:p>
    <w:p>
      <w:r>
        <w:t>Spearman rank correlations (rather than Pearson) are computed between continuous variables because the distributions are non-normal. The correlation matrix covers the key financial variables (users, volume, TVL, market capitalisation, transactions, governance score, capital raised, TVL ratio, and market cap per user) in the strict sample. Heatmap visualisations of the correlation matrix were produced using standard statistical libraries.</w:t>
      </w:r>
    </w:p>
    <w:p>
      <w:pPr>
        <w:pStyle w:val="Heading3"/>
      </w:pPr>
      <w:r>
        <w:t>3.8.4 K-Means Clustering</w:t>
      </w:r>
    </w:p>
    <w:p>
      <w:r>
        <w:t>K-means clustering is applied to the full 855-DApp dataset to identify performance tiers across the joint governance–market–adoption space. Inputs are standardised (zero mean, unit variance) before clustering. The feature set comprises: governance score, active users, volume, TVL, market capitalisation, transactions, DeFi flag, gaming flag, and multi-chain deployment status.</w:t>
      </w:r>
    </w:p>
    <w:p>
      <w:r>
        <w:t>The number of clusters K is selected via the elbow method (within-cluster sum of squares) and silhouette scores. K is set to 4 to produce interpretable performance tiers without over-segmentation at the full-dataset scale. Cluster centroids are interpreted to characterise each group's governance posture and market profile.</w:t>
      </w:r>
    </w:p>
    <w:p>
      <w:r>
        <w:rPr>
          <w:i/>
        </w:rPr>
        <w:t>Note:</w:t>
      </w:r>
      <w:r>
        <w:t xml:space="preserve"> Principal component analysis (PCA) for dimensionality reduction was considered during exploratory analysis but is not reported as a standalone method. The strict sample (N=68) is too small for PCA results to be meaningfully interpreted, and the governance dimensions are already reduced to a single composite score (§3.7.1) that serves the same narrative purpose.</w:t>
      </w:r>
    </w:p>
    <w:p>
      <w:pPr>
        <w:pStyle w:val="Heading3"/>
      </w:pPr>
      <w:r>
        <w:t>3.8.5 Concentration Metrics</w:t>
      </w:r>
    </w:p>
    <w:p>
      <w:r>
        <w:t>Market and user concentration are measured with:</w:t>
      </w:r>
    </w:p>
    <w:p>
      <w:pPr>
        <w:pStyle w:val="ListBullet"/>
      </w:pPr>
      <w:r>
        <w:rPr>
          <w:b/>
        </w:rPr>
        <w:t>Top-K share:</w:t>
      </w:r>
      <w:r>
        <w:t xml:space="preserve"> the percentage of total market cap (or total users) held by the top 10 DApps, as a straightforward concentration indicator aligned with the Herfindahl–Hirschman Index (HHI) intuition.</w:t>
      </w:r>
    </w:p>
    <w:p>
      <w:pPr>
        <w:pStyle w:val="ListBullet"/>
      </w:pPr>
      <w:r>
        <w:rPr>
          <w:b/>
        </w:rPr>
        <w:t>Lorenz-inspired share comparisons:</w:t>
      </w:r>
      <w:r>
        <w:t xml:space="preserve"> computed separately for loose and strict universes to assess whether eligibility gating changes the concentration picture.</w:t>
      </w:r>
    </w:p>
    <w:p>
      <w:pPr>
        <w:pStyle w:val="Heading2"/>
      </w:pPr>
      <w:r>
        <w:t>3.9 Limitations</w:t>
      </w:r>
    </w:p>
    <w:p>
      <w:r>
        <w:t xml:space="preserve">Every study is bounded by the conditions of its data collection, the choices made during research design, and the inference tools applied to the evidence. The limitations described here are not presented as weaknesses to be apologised for, but as explicit </w:t>
      </w:r>
      <w:r>
        <w:rPr>
          <w:b/>
        </w:rPr>
        <w:t>boundary conditions</w:t>
      </w:r>
      <w:r>
        <w:t>: they delineate what the study can and cannot claim, guide how its findings should be interpreted, and point directly to the questions that future work must address. Several of these limitations are revisited in the discussion chapter (§5.10), where their practical consequences for each substantive finding are spelled out.</w:t>
      </w:r>
    </w:p>
    <w:p>
      <w:pPr>
        <w:pStyle w:val="Heading3"/>
      </w:pPr>
      <w:r>
        <w:t>3.9.1 Cross-Sectional Snapshot</w:t>
      </w:r>
    </w:p>
    <w:p>
      <w:r>
        <w:t>All data reflect a single export from November 2025, the most recent available DappRadar export at the time of writing. Market capitalisation, TVL, user counts, volume, and governance structures are volatile metrics that can shift substantially over weeks or months. The study therefore describes the DApp ecosystem at one specific point in time. Findings — including ecosystem concentration ratios, the multi-chain deployment premium, and sector-level governance patterns — cannot be generalised to other periods without re-measurement. In rapidly evolving markets, a snapshot may over-represent a transient configuration rather than a stable structural property. Longitudinal data collection, combined with panel or time-series methods, would be required to establish whether the patterns observed here are durable.</w:t>
      </w:r>
    </w:p>
    <w:p>
      <w:pPr>
        <w:pStyle w:val="Heading3"/>
      </w:pPr>
      <w:r>
        <w:t>3.9.2 Survivorship Bias and Eligibility Design</w:t>
      </w:r>
    </w:p>
    <w:p>
      <w:r>
        <w:t>The starting population of 855 DApps is drawn from DappRadar's active listings, filtered to those with at least one data point in the November 2025 export. DApps that were deployed but subsequently abandoned, that never reached measurable activity levels, or that failed before achieving visibility in aggregator platforms are entirely absent. The dataset therefore over-represents commercially active and investor-backed projects relative to the full universe of deployed DApps.</w:t>
      </w:r>
    </w:p>
    <w:p>
      <w:r>
        <w:t>The strict eligibility gate (≥4 of 5 positive activity signals, ≥10,000 active users, positive market capitalisation or TVL) amplifies this effect: the 68-DApp strict sample represents the observable, successful tail of a population that includes many non-starters and early-stage projects with limited data coverage. Governance patterns, concentration ratios, and funding-to-valuation figures are therefore calculated over a sample that has already survived a stringent selection process. Concentration ratios and capital-efficiency metrics are likely overstated relative to the full population, which includes many failed and non-performing projects that would dilute the top-tier figures.</w:t>
      </w:r>
    </w:p>
    <w:p>
      <w:r>
        <w:t xml:space="preserve">This is a design choice: the study characterises the </w:t>
      </w:r>
      <w:r>
        <w:rPr>
          <w:i/>
        </w:rPr>
        <w:t>functioning</w:t>
      </w:r>
      <w:r>
        <w:t xml:space="preserve"> DApp ecosystem, not the full population of deployed contracts. The eligibility criteria in §3.3 allow readers to assess whether the scope matches their interpretive needs.</w:t>
      </w:r>
    </w:p>
    <w:p>
      <w:pPr>
        <w:pStyle w:val="Heading3"/>
      </w:pPr>
      <w:r>
        <w:t>3.9.3 Sample Size and the Three-Tier Design</w:t>
      </w:r>
    </w:p>
    <w:p>
      <w:r>
        <w:t>The three-tier sampling structure — full dataset (N=855), loose sample (N=834), and strict sample (N=68) — requires explicit justification, as the strict cohort of 68 DApps constitutes only 8 per cent of the full dataset and may appear small by the standards of large-scale computational studies.</w:t>
      </w:r>
    </w:p>
    <w:p>
      <w:r>
        <w:rPr>
          <w:b/>
        </w:rPr>
        <w:t>Why three tiers?</w:t>
      </w:r>
      <w:r>
        <w:t xml:space="preserve"> The three samples form an explicit data-quality sensitivity test (§4.1): the full dataset provides ecosystem context; the loose sample establishes a broad baseline; the strict sample restricts analysis to DApps meeting minimum multi-source quality standards. Agreement across tiers confirms robustness; divergence is itself informative about the role of data quality.</w:t>
      </w:r>
    </w:p>
    <w:p>
      <w:r>
        <w:rPr>
          <w:b/>
        </w:rPr>
        <w:t>Is n=68 statistically sufficient?</w:t>
      </w:r>
      <w:r>
        <w:t xml:space="preserve"> For most methods applied, yes. The Central Limit Theorem applies reliably at n≥30; K-means with k=3–5 clusters and five signals is stable at n=68; cross-tabulations use Fisher's exact tests where chi-squared approximations are inappropriate.</w:t>
      </w:r>
    </w:p>
    <w:p>
      <w:r>
        <w:t xml:space="preserve">However, two-sample t-tests at Cohen's </w:t>
      </w:r>
      <w:r>
        <w:rPr>
          <w:i/>
        </w:rPr>
        <w:t>d</w:t>
      </w:r>
      <w:r>
        <w:t xml:space="preserve"> = 0.5 (α = 0.05, 80% power) require approximately n=64 </w:t>
      </w:r>
      <w:r>
        <w:rPr>
          <w:i/>
        </w:rPr>
        <w:t>per group</w:t>
      </w:r>
      <w:r>
        <w:t xml:space="preserve">. The strict sample of n=68 </w:t>
      </w:r>
      <w:r>
        <w:rPr>
          <w:i/>
        </w:rPr>
        <w:t>total</w:t>
      </w:r>
      <w:r>
        <w:t xml:space="preserve"> does not meet this threshold for subgroup comparisons. The funded/unfunded split is particularly constraining: only 13 DApps have documented raises against 55 without. Subgroup comparisons should therefore be read as </w:t>
      </w:r>
      <w:r>
        <w:rPr>
          <w:b/>
        </w:rPr>
        <w:t>exploratory</w:t>
      </w:r>
      <w:r>
        <w:t xml:space="preserve"> — directionally informative and consistent across loose and strict samples, but not suitable for frequentist null-hypothesis rejection. Results are framed in terms of effect sizes and descriptive patterns accordingly.</w:t>
      </w:r>
    </w:p>
    <w:p>
      <w:r>
        <w:t>The governance score composite (§3.7.1) consolidates five binary signals into one continuous measure, reducing the degrees-of-freedom penalty in a small-n multivariate setting.</w:t>
      </w:r>
    </w:p>
    <w:p>
      <w:r>
        <w:rPr>
          <w:b/>
        </w:rPr>
        <w:t>Peer comparison.</w:t>
      </w:r>
      <w:r>
        <w:t xml:space="preserve"> Studies combining deep manual governance coding with comparable analytical scope typically examine 4–9 protocols (Table 3.5). At n=68 with full manual classification, this study is larger than all governance-depth comparators; studies reaching N≥100 are purely computational.</w:t>
      </w:r>
    </w:p>
    <w:p>
      <w:r>
        <w:rPr>
          <w:b/>
        </w:rPr>
        <w:t>Table 3.5 — Sample sizes in governance-depth studies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Study</w:t>
            </w:r>
          </w:p>
        </w:tc>
        <w:tc>
          <w:tcPr>
            <w:tcW w:type="dxa" w:w="4394"/>
          </w:tcPr>
          <w:p>
            <w:r>
              <w:rPr>
                <w:rFonts w:ascii="Times New Roman" w:hAnsi="Times New Roman"/>
                <w:b/>
                <w:sz w:val="20"/>
              </w:rPr>
              <w:t>N</w:t>
            </w:r>
          </w:p>
        </w:tc>
      </w:tr>
      <w:tr>
        <w:tc>
          <w:tcPr>
            <w:tcW w:type="dxa" w:w="4394"/>
          </w:tcPr>
          <w:p>
            <w:r>
              <w:rPr>
                <w:rFonts w:ascii="Times New Roman" w:hAnsi="Times New Roman"/>
                <w:sz w:val="20"/>
              </w:rPr>
              <w:t>Barbereau et al. 2023 (Hidden Shortcomings of DAOs)</w:t>
            </w:r>
          </w:p>
        </w:tc>
        <w:tc>
          <w:tcPr>
            <w:tcW w:type="dxa" w:w="4394"/>
          </w:tcPr>
          <w:p>
            <w:r>
              <w:rPr>
                <w:rFonts w:ascii="Times New Roman" w:hAnsi="Times New Roman"/>
                <w:sz w:val="20"/>
              </w:rPr>
              <w:t>9</w:t>
            </w:r>
          </w:p>
        </w:tc>
      </w:tr>
      <w:tr>
        <w:tc>
          <w:tcPr>
            <w:tcW w:type="dxa" w:w="4394"/>
          </w:tcPr>
          <w:p>
            <w:r>
              <w:rPr>
                <w:rFonts w:ascii="Times New Roman" w:hAnsi="Times New Roman"/>
                <w:sz w:val="20"/>
              </w:rPr>
              <w:t>Han, Lee &amp; Li 2023 (DAO Governance Effectiveness)</w:t>
            </w:r>
          </w:p>
        </w:tc>
        <w:tc>
          <w:tcPr>
            <w:tcW w:type="dxa" w:w="4394"/>
          </w:tcPr>
          <w:p>
            <w:r>
              <w:rPr>
                <w:rFonts w:ascii="Times New Roman" w:hAnsi="Times New Roman"/>
                <w:sz w:val="20"/>
              </w:rPr>
              <w:t>4</w:t>
            </w:r>
          </w:p>
        </w:tc>
      </w:tr>
      <w:tr>
        <w:tc>
          <w:tcPr>
            <w:tcW w:type="dxa" w:w="4394"/>
          </w:tcPr>
          <w:p>
            <w:r>
              <w:rPr>
                <w:rFonts w:ascii="Times New Roman" w:hAnsi="Times New Roman"/>
                <w:sz w:val="20"/>
              </w:rPr>
              <w:t>Wöhrer et al. (Understanding Blockchain Governance)</w:t>
            </w:r>
          </w:p>
        </w:tc>
        <w:tc>
          <w:tcPr>
            <w:tcW w:type="dxa" w:w="4394"/>
          </w:tcPr>
          <w:p>
            <w:r>
              <w:rPr>
                <w:rFonts w:ascii="Times New Roman" w:hAnsi="Times New Roman"/>
                <w:sz w:val="20"/>
              </w:rPr>
              <w:t>4</w:t>
            </w:r>
          </w:p>
        </w:tc>
      </w:tr>
      <w:tr>
        <w:tc>
          <w:tcPr>
            <w:tcW w:type="dxa" w:w="4394"/>
          </w:tcPr>
          <w:p>
            <w:r>
              <w:rPr>
                <w:rFonts w:ascii="Times New Roman" w:hAnsi="Times New Roman"/>
                <w:sz w:val="20"/>
              </w:rPr>
              <w:t>Wang et al. 2019 (no governance coding)</w:t>
            </w:r>
          </w:p>
        </w:tc>
        <w:tc>
          <w:tcPr>
            <w:tcW w:type="dxa" w:w="4394"/>
          </w:tcPr>
          <w:p>
            <w:r>
              <w:rPr>
                <w:rFonts w:ascii="Times New Roman" w:hAnsi="Times New Roman"/>
                <w:sz w:val="20"/>
              </w:rPr>
              <w:t>734</w:t>
            </w:r>
          </w:p>
        </w:tc>
      </w:tr>
      <w:tr>
        <w:tc>
          <w:tcPr>
            <w:tcW w:type="dxa" w:w="4394"/>
          </w:tcPr>
          <w:p>
            <w:r>
              <w:rPr>
                <w:rFonts w:ascii="Times New Roman" w:hAnsi="Times New Roman"/>
                <w:sz w:val="20"/>
              </w:rPr>
              <w:t>**This thesis — strict sample**</w:t>
            </w:r>
          </w:p>
        </w:tc>
        <w:tc>
          <w:tcPr>
            <w:tcW w:type="dxa" w:w="4394"/>
          </w:tcPr>
          <w:p>
            <w:r>
              <w:rPr>
                <w:rFonts w:ascii="Times New Roman" w:hAnsi="Times New Roman"/>
                <w:sz w:val="20"/>
              </w:rPr>
              <w:t>**68**</w:t>
            </w:r>
          </w:p>
        </w:tc>
      </w:tr>
    </w:tbl>
    <w:p/>
    <w:p>
      <w:r>
        <w:t>The strict sample is a quality-gated, economically dominant subset rather than a random draw. Given the Pareto-distributed nature of DApp activity (see §4.3), the top 8% by composite eligibility accounts for a dominant share of observable economic activity. Findings are representative of the functioning, capital-significant tier of the ecosystem.</w:t>
      </w:r>
    </w:p>
    <w:p>
      <w:pPr>
        <w:pStyle w:val="Heading3"/>
      </w:pPr>
      <w:r>
        <w:t>3.9.4 Data Coverage: Funding Records</w:t>
      </w:r>
    </w:p>
    <w:p>
      <w:r>
        <w:t>Only 38 of the 855 DApps in the full dataset (4.4 per cent) have documented fundraising records in the DeFiLlama raises database. The remaining 96 per cent appear as "unfunded" whether they genuinely raised no external capital or simply did not publicise their funding rounds. DeFiLlama's raises database covers announced, public fundraising events; quiet raises, equity rounds without a public announcement, and bootstrapped projects that never sought venture capital are all absent.</w:t>
      </w:r>
    </w:p>
    <w:p>
      <w:r>
        <w:t>Within the strict sample, 13 of 68 DApps (19.1 per cent) have documented raises — a higher proportion than in the full dataset, reflecting the positive selection of well-capitalised projects into the strict eligibility tier. However, even this 19.1 per cent represents publicly announced rounds, not a complete funding census.</w:t>
      </w:r>
    </w:p>
    <w:p>
      <w:r>
        <w:t xml:space="preserve">The consequence is that the funding-efficiency analysis (§4.7) is bounded to a small, self-selected subset. Conclusions about capital efficiency, the unfunded-versus-funded performance gap, and the predictive value of venture backing cannot be generalised beyond documented raises. The discussion chapter (§5.7) interprets these findings within this explicit constraint. Readers should treat the funding analysis as a signal about the </w:t>
      </w:r>
      <w:r>
        <w:rPr>
          <w:i/>
        </w:rPr>
        <w:t>documented</w:t>
      </w:r>
      <w:r>
        <w:t xml:space="preserve"> fundraising subset rather than as a statement about the full population of DApps.</w:t>
      </w:r>
    </w:p>
    <w:p>
      <w:pPr>
        <w:pStyle w:val="Heading3"/>
      </w:pPr>
      <w:r>
        <w:t>3.9.5 Data Coverage: TVL and Market Capitalisation</w:t>
      </w:r>
    </w:p>
    <w:p>
      <w:r>
        <w:t>A substantial share of DApps in the full dataset lack TVL or market capitalisation data because they have not issued a token or do not custody user assets in a form measurable by DeFiLlama. This is not a data-collection failure but a structural feature of the ecosystem: gaming DApps, social protocols, and utility applications frequently operate without a liquid token and without holding user funds in smart-contract custody. Their absence from TVL rankings reflects their category, not their quality.</w:t>
      </w:r>
    </w:p>
    <w:p>
      <w:r>
        <w:t>The strict eligibility gate addresses this directly: requiring positive market cap or positive TVL as a necessary condition means the strict sample is restricted to DApps for which at least one financial anchor is available. The trade-off is explicit: the strict sample over-represents DeFi and token-issuing DApps, and under-represents gaming and social DApps relative to their share of the full 855. Because gaming DApps typically operate under more centralised governance structures while DeFi DApps are more likely to feature DAO or token-voting arrangements, this compositional skew means the strict sample's overall governance distribution may appear more decentralised than would be observed across the full ecosystem — a directly relevant consideration given that governance structure is the thesis's central analytical focus. Section §3.3 documents this compositional effect, and the ecosystem deep-dive analysis (§4.6) examines each sector separately to avoid conflating cross-sector structural differences with within-sector patterns.</w:t>
      </w:r>
    </w:p>
    <w:p>
      <w:pPr>
        <w:pStyle w:val="Heading3"/>
      </w:pPr>
      <w:r>
        <w:t>3.9.6 Self-Reported and Third-Party Data Quality</w:t>
      </w:r>
    </w:p>
    <w:p>
      <w:r>
        <w:t>DappRadar's metadata — category labels, sector tags, chain coverage — relies on protocol teams to register and maintain accurate information. Tags may reflect team self-classification (e.g. a lending protocol classifying itself as "DeFi infrastructure") rather than independent assessment. CoinGecko and CMC data quality varies by token: larger, more actively traded tokens have current, verified data, while smaller tokens may have stale price feeds, incorrect contract addresses, or duplicate listings that introduce noise into market capitalisation figures.</w:t>
      </w:r>
    </w:p>
    <w:p>
      <w:r>
        <w:t>This risk is partially mitigated by restricting financial analysis to the strict sample, where the minimum market cap threshold filters out the most data-sparse tokens. It cannot be eliminated entirely, and single-token anomalies in the strict sample — where a data error would represent approximately 1.5 per cent of the sample — have a larger per-unit effect on summary statistics than they would in a larger dataset.</w:t>
      </w:r>
    </w:p>
    <w:p>
      <w:pPr>
        <w:pStyle w:val="Heading3"/>
      </w:pPr>
      <w:r>
        <w:t>3.9.7 Manual Governance Coding</w:t>
      </w:r>
    </w:p>
    <w:p>
      <w:r>
        <w:t>Despite the operationalised decision rules documented in §3.6, the three governance classification variables (governance type, level of decentralisation, ownership status) are ultimately the result of human judgment applied to heterogeneous documentation. Some protocols maintain extensive public governance documentation, including proposal archives and on-chain voting records; others provide only a brief whitepaper or website description. Where documentation is absent, the UNKNOWN category absorbs the uncertainty — but the boundary between UNKNOWN and a substantive governance category is itself a judgment call.</w:t>
      </w:r>
    </w:p>
    <w:p>
      <w:r>
        <w:t>The intra-coder reliability analysis (§3.6.4) provides an empirical estimate of the noise introduced by repeated coding decisions, but it cannot eliminate that noise, and a single-coder design cannot produce inter-rater reliability estimates. Future replication should apply dual-coder classification with formal inter-rater agreement testing (e.g. Cohen's kappa) to the governance variables, which would yield a more defensible measurement uncertainty bound.</w:t>
      </w:r>
    </w:p>
    <w:p>
      <w:pPr>
        <w:pStyle w:val="Heading3"/>
      </w:pPr>
      <w:r>
        <w:t>3.9.8 Metric Definition Heterogeneity Across Chains</w:t>
      </w:r>
    </w:p>
    <w:p>
      <w:r>
        <w:t>"Active users" is not a chain-invariant concept. On Ethereum, a unique active wallet is a unique externally owned account (EOA); on Solana, program-derived addresses may or may not be counted depending on the aggregator's methodology. DappRadar normalises to wallet-address counts but the underlying protocol definitions vary. Similarly, TVL measurement conventions differ across DeFiLlama protocols: some double-count bridged assets on both the source and destination chain; some net out protocol-owned liquidity. These definitional differences mean that cross-chain comparisons of user counts and TVL figures embed a systematic measurement heterogeneity that cannot be fully corrected without chain-by-chain methodological audits.</w:t>
      </w:r>
    </w:p>
    <w:p>
      <w:pPr>
        <w:pStyle w:val="Heading3"/>
      </w:pPr>
      <w:r>
        <w:t>3.9.9 Ecosystem Tag Coverage</w:t>
      </w:r>
    </w:p>
    <w:p>
      <w:r>
        <w:t xml:space="preserve">The five target ecosystems (DeFi, Gaming, RWA, DePIN, Social) are identified via keyword tag filters applied to DappRadar and CMC metadata (§3.4). DApps that operate in these ecosystems but lack the relevant tags — because they were registered before those tags existed, or because their team did not apply the labels — will be under-counted. This concern is most acute for RWA and DePIN, where tagging conventions are still being established and where several protocols were classified manually rather than via automated tag matching. The cohort samples for these two ecosystems should therefore be understood as representing the </w:t>
      </w:r>
      <w:r>
        <w:rPr>
          <w:i/>
        </w:rPr>
        <w:t>tagged and identifiable</w:t>
      </w:r>
      <w:r>
        <w:t xml:space="preserve"> segment of each sector rather than its full extent.</w:t>
      </w:r>
    </w:p>
    <w:p>
      <w:pPr>
        <w:pStyle w:val="Heading3"/>
      </w:pPr>
      <w:r>
        <w:t>3.9.10 Causal Inference Not Supported</w:t>
      </w:r>
    </w:p>
    <w:p>
      <w:r>
        <w:t xml:space="preserve">The cross-sectional design enables description and correlation, not causal inference. Where the results chapter reports associations — "multi-chain DApps show higher market valuations," "team-controlled governance correlates with lower governance scores," "higher-user DApps cluster in the gaming vertical" — these are statistical regularities observed at a single point in time. They do not establish that any of these features </w:t>
      </w:r>
      <w:r>
        <w:rPr>
          <w:i/>
        </w:rPr>
        <w:t>causes</w:t>
      </w:r>
      <w:r>
        <w:t xml:space="preserve"> the correlated outcome.</w:t>
      </w:r>
    </w:p>
    <w:p>
      <w:r>
        <w:t>Two findings illustrate this ambiguity particularly clearly. First, the observed market capitalisation premium for multi-chain DApps (§4.5, §5.8) is consistent with multi-chain strategy causing higher valuations, but equally consistent with the reverse — that better-capitalised, more mature DApps invest in multi-chain deployment precisely because they have the resources and user base to justify it. Second, the positive correlation between governance score and market capitalisation (§5.10) raises an analogous question: whether higher governance quality attracts capital, or whether well-resourced projects are simply better positioned to invest in governance infrastructure. Distinguishing these causal paths for either finding would require natural experiments or instrumental variable approaches that are outside the scope of a cross-sectional study.</w:t>
      </w:r>
    </w:p>
    <w:p>
      <w:r>
        <w:t>The discussion chapter engages with these causal ambiguities explicitly for each key finding, flagging where the descriptive result is robust and where the directionality of the underlying relationship remains open.</w:t>
      </w:r>
    </w:p>
    <w:p>
      <w:r>
        <w:rPr>
          <w:i/>
        </w:rPr>
        <w:t>Word count (Chapter 3): approx. 5,200 words</w:t>
      </w:r>
    </w:p>
    <w:p>
      <w:r>
        <w:br w:type="page"/>
      </w:r>
    </w:p>
    <w:p>
      <w:pPr>
        <w:pStyle w:val="Heading1"/>
      </w:pPr>
      <w:r>
        <w:t>Chapter 4 — Results</w:t>
      </w:r>
    </w:p>
    <w:p>
      <w:pPr>
        <w:pStyle w:val="Heading2"/>
      </w:pPr>
      <w:r>
        <w:t>4.1 Descriptive Statistics of the Full Dataset</w:t>
      </w:r>
    </w:p>
    <w:p>
      <w:r>
        <w:t xml:space="preserve">The full dataset comprises 855 decentralised applications (DApps) deployed across 77 distinct blockchain networks, collected in November 2025. Together, these applications report 90.9 million total active users, a combined token market capitalisation of approximately $14.9 billion, and Total Value Locked (TVL) of $115.7 billion. The dataset captures 48 variables per DApp (see Appendix A — </w:t>
      </w:r>
      <w:r>
        <w:rPr>
          <w:i/>
        </w:rPr>
        <w:t>forward reference: variable codebook</w:t>
      </w:r>
      <w:r>
        <w:t>), of which 33 contain at least partial coverage across the full sample; the remaining variables are financial or governance fields for which sparse or no data were available for a significant share of the population.</w:t>
      </w:r>
    </w:p>
    <w:p>
      <w:pPr>
        <w:pStyle w:val="Heading3"/>
      </w:pPr>
      <w:r>
        <w:t>4.1.1 Dataset Coverage and Completeness</w:t>
      </w:r>
    </w:p>
    <w:p>
      <w:r>
        <w:t>Coverage varies substantially by variable category. Token market data — market capitalisation, price, volume, and supply fields sourced from CoinMarketCap and CoinGecko — are available for the 50.2 per cent of DApps that operate a native token. The remaining 49.8 per cent either have no token or lacked a match in the token-data APIs at the time of collection. TVL, sourced from DeFiLlama, covers protocol-level locked value and is non-zero for approximately 38 per cent of the dataset; this figure reflects the subset of DApps with measurable on-chain liquidity pools rather than all DApps in the sample. Activity metrics — users, transactions, and volume — sourced from DappRadar are present for the full 855-DApp population but exhibit extreme right skew: the mean user count is pulled far above the median by a small number of very large protocols.</w:t>
      </w:r>
    </w:p>
    <w:p>
      <w:r>
        <w:t>Governance fields (governance type, ownership status, and level of decentralisation) were coded manually for all 855 entries following the decision rules described in §3.6 (</w:t>
      </w:r>
      <w:r>
        <w:rPr>
          <w:i/>
        </w:rPr>
        <w:t>forward reference: governance coding rules</w:t>
      </w:r>
      <w:r>
        <w:t>). Of these, 834 records received complete, non-UNKNOWN coding — the remaining 21 entries had insufficient publicly available information to assign definitive labels and were excluded from all subsequent analyses.</w:t>
      </w:r>
    </w:p>
    <w:p>
      <w:pPr>
        <w:pStyle w:val="Heading3"/>
      </w:pPr>
      <w:r>
        <w:t>4.1.2 Loose versus Strict Universe Comparison</w:t>
      </w:r>
    </w:p>
    <w:p>
      <w:r>
        <w:t>Table 4.1 presents the headline metrics comparison between the full loose universe (N=834) and the strict high-signal sample (N=68). The strict filter selects DApps with high confidence in the accuracy and completeness of all major metric categories simultaneously (see §3.3 for selection criteria), producing meaningful shifts in headline indicators.</w:t>
      </w:r>
    </w:p>
    <w:p>
      <w:r>
        <w:rPr>
          <w:b/>
        </w:rPr>
        <w:t>Table 4.1 — Headline metrics comparison: loose universe versus strict high-signal sample</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Metric</w:t>
            </w:r>
          </w:p>
        </w:tc>
        <w:tc>
          <w:tcPr>
            <w:tcW w:type="dxa" w:w="2929"/>
          </w:tcPr>
          <w:p>
            <w:r>
              <w:rPr>
                <w:rFonts w:ascii="Times New Roman" w:hAnsi="Times New Roman"/>
                <w:b/>
                <w:sz w:val="20"/>
              </w:rPr>
              <w:t>Loose universe (N=834)</w:t>
            </w:r>
          </w:p>
        </w:tc>
        <w:tc>
          <w:tcPr>
            <w:tcW w:type="dxa" w:w="2929"/>
          </w:tcPr>
          <w:p>
            <w:r>
              <w:rPr>
                <w:rFonts w:ascii="Times New Roman" w:hAnsi="Times New Roman"/>
                <w:b/>
                <w:sz w:val="20"/>
              </w:rPr>
              <w:t>Strict sample (N=68)</w:t>
            </w:r>
          </w:p>
        </w:tc>
      </w:tr>
      <w:tr>
        <w:tc>
          <w:tcPr>
            <w:tcW w:type="dxa" w:w="2929"/>
          </w:tcPr>
          <w:p>
            <w:r>
              <w:rPr>
                <w:rFonts w:ascii="Times New Roman" w:hAnsi="Times New Roman"/>
                <w:sz w:val="20"/>
              </w:rPr>
              <w:t>% Fully decentralised</w:t>
            </w:r>
          </w:p>
        </w:tc>
        <w:tc>
          <w:tcPr>
            <w:tcW w:type="dxa" w:w="2929"/>
          </w:tcPr>
          <w:p>
            <w:r>
              <w:rPr>
                <w:rFonts w:ascii="Times New Roman" w:hAnsi="Times New Roman"/>
                <w:sz w:val="20"/>
              </w:rPr>
              <w:t>4.68%</w:t>
            </w:r>
          </w:p>
        </w:tc>
        <w:tc>
          <w:tcPr>
            <w:tcW w:type="dxa" w:w="2929"/>
          </w:tcPr>
          <w:p>
            <w:r>
              <w:rPr>
                <w:rFonts w:ascii="Times New Roman" w:hAnsi="Times New Roman"/>
                <w:sz w:val="20"/>
              </w:rPr>
              <w:t>13.24%</w:t>
            </w:r>
          </w:p>
        </w:tc>
      </w:tr>
      <w:tr>
        <w:tc>
          <w:tcPr>
            <w:tcW w:type="dxa" w:w="2929"/>
          </w:tcPr>
          <w:p>
            <w:r>
              <w:rPr>
                <w:rFonts w:ascii="Times New Roman" w:hAnsi="Times New Roman"/>
                <w:sz w:val="20"/>
              </w:rPr>
              <w:t>% Team-controlled governance</w:t>
            </w:r>
          </w:p>
        </w:tc>
        <w:tc>
          <w:tcPr>
            <w:tcW w:type="dxa" w:w="2929"/>
          </w:tcPr>
          <w:p>
            <w:r>
              <w:rPr>
                <w:rFonts w:ascii="Times New Roman" w:hAnsi="Times New Roman"/>
                <w:sz w:val="20"/>
              </w:rPr>
              <w:t>62.71%</w:t>
            </w:r>
          </w:p>
        </w:tc>
        <w:tc>
          <w:tcPr>
            <w:tcW w:type="dxa" w:w="2929"/>
          </w:tcPr>
          <w:p>
            <w:r>
              <w:rPr>
                <w:rFonts w:ascii="Times New Roman" w:hAnsi="Times New Roman"/>
                <w:sz w:val="20"/>
              </w:rPr>
              <w:t>26.47%</w:t>
            </w:r>
          </w:p>
        </w:tc>
      </w:tr>
      <w:tr>
        <w:tc>
          <w:tcPr>
            <w:tcW w:type="dxa" w:w="2929"/>
          </w:tcPr>
          <w:p>
            <w:r>
              <w:rPr>
                <w:rFonts w:ascii="Times New Roman" w:hAnsi="Times New Roman"/>
                <w:sz w:val="20"/>
              </w:rPr>
              <w:t>% Company-owned</w:t>
            </w:r>
          </w:p>
        </w:tc>
        <w:tc>
          <w:tcPr>
            <w:tcW w:type="dxa" w:w="2929"/>
          </w:tcPr>
          <w:p>
            <w:r>
              <w:rPr>
                <w:rFonts w:ascii="Times New Roman" w:hAnsi="Times New Roman"/>
                <w:sz w:val="20"/>
              </w:rPr>
              <w:t>82.97%</w:t>
            </w:r>
          </w:p>
        </w:tc>
        <w:tc>
          <w:tcPr>
            <w:tcW w:type="dxa" w:w="2929"/>
          </w:tcPr>
          <w:p>
            <w:r>
              <w:rPr>
                <w:rFonts w:ascii="Times New Roman" w:hAnsi="Times New Roman"/>
                <w:sz w:val="20"/>
              </w:rPr>
              <w:t>52.94%</w:t>
            </w:r>
          </w:p>
        </w:tc>
      </w:tr>
      <w:tr>
        <w:tc>
          <w:tcPr>
            <w:tcW w:type="dxa" w:w="2929"/>
          </w:tcPr>
          <w:p>
            <w:r>
              <w:rPr>
                <w:rFonts w:ascii="Times New Roman" w:hAnsi="Times New Roman"/>
                <w:sz w:val="20"/>
              </w:rPr>
              <w:t>Top-10 market cap share</w:t>
            </w:r>
          </w:p>
        </w:tc>
        <w:tc>
          <w:tcPr>
            <w:tcW w:type="dxa" w:w="2929"/>
          </w:tcPr>
          <w:p>
            <w:r>
              <w:rPr>
                <w:rFonts w:ascii="Times New Roman" w:hAnsi="Times New Roman"/>
                <w:sz w:val="20"/>
              </w:rPr>
              <w:t>57.54%</w:t>
            </w:r>
          </w:p>
        </w:tc>
        <w:tc>
          <w:tcPr>
            <w:tcW w:type="dxa" w:w="2929"/>
          </w:tcPr>
          <w:p>
            <w:r>
              <w:rPr>
                <w:rFonts w:ascii="Times New Roman" w:hAnsi="Times New Roman"/>
                <w:sz w:val="20"/>
              </w:rPr>
              <w:t>80.46%</w:t>
            </w:r>
          </w:p>
        </w:tc>
      </w:tr>
      <w:tr>
        <w:tc>
          <w:tcPr>
            <w:tcW w:type="dxa" w:w="2929"/>
          </w:tcPr>
          <w:p>
            <w:r>
              <w:rPr>
                <w:rFonts w:ascii="Times New Roman" w:hAnsi="Times New Roman"/>
                <w:sz w:val="20"/>
              </w:rPr>
              <w:t>% Multichain</w:t>
            </w:r>
          </w:p>
        </w:tc>
        <w:tc>
          <w:tcPr>
            <w:tcW w:type="dxa" w:w="2929"/>
          </w:tcPr>
          <w:p>
            <w:r>
              <w:rPr>
                <w:rFonts w:ascii="Times New Roman" w:hAnsi="Times New Roman"/>
                <w:sz w:val="20"/>
              </w:rPr>
              <w:t>36.21%</w:t>
            </w:r>
          </w:p>
        </w:tc>
        <w:tc>
          <w:tcPr>
            <w:tcW w:type="dxa" w:w="2929"/>
          </w:tcPr>
          <w:p>
            <w:r>
              <w:rPr>
                <w:rFonts w:ascii="Times New Roman" w:hAnsi="Times New Roman"/>
                <w:sz w:val="20"/>
              </w:rPr>
              <w:t>70.59%</w:t>
            </w:r>
          </w:p>
        </w:tc>
      </w:tr>
      <w:tr>
        <w:tc>
          <w:tcPr>
            <w:tcW w:type="dxa" w:w="2929"/>
          </w:tcPr>
          <w:p>
            <w:r>
              <w:rPr>
                <w:rFonts w:ascii="Times New Roman" w:hAnsi="Times New Roman"/>
                <w:sz w:val="20"/>
              </w:rPr>
              <w:t>Median governance score</w:t>
            </w:r>
          </w:p>
        </w:tc>
        <w:tc>
          <w:tcPr>
            <w:tcW w:type="dxa" w:w="2929"/>
          </w:tcPr>
          <w:p>
            <w:r>
              <w:rPr>
                <w:rFonts w:ascii="Times New Roman" w:hAnsi="Times New Roman"/>
                <w:sz w:val="20"/>
              </w:rPr>
              <w:t>0.067</w:t>
            </w:r>
          </w:p>
        </w:tc>
        <w:tc>
          <w:tcPr>
            <w:tcW w:type="dxa" w:w="2929"/>
          </w:tcPr>
          <w:p>
            <w:r>
              <w:rPr>
                <w:rFonts w:ascii="Times New Roman" w:hAnsi="Times New Roman"/>
                <w:sz w:val="20"/>
              </w:rPr>
              <w:t>0.283</w:t>
            </w:r>
          </w:p>
        </w:tc>
      </w:tr>
    </w:tbl>
    <w:p/>
    <w:p>
      <w:r>
        <w:t>Several contrasts in Table 4.1 are analytically significant. The proportion of fully decentralised DApps more than doubles from 4.7 per cent to 13.2 per cent when moving from the loose to the strict universe, suggesting that DApps with measurable, large-scale activity are somewhat more decentralised than the broader population — though the absolute proportion remains low. The share of company-owned DApps drops from 83.0 per cent to 52.9 per cent, while team-controlled governance falls from 62.7 per cent to 26.5 per cent. This shift likely reflects the composition of the strict sample, which is dominated by well-established DeFi protocols that have had more time and institutional incentive to formalise governance structures.</w:t>
      </w:r>
    </w:p>
    <w:p>
      <w:r>
        <w:t xml:space="preserve">Market concentration paradoxically </w:t>
      </w:r>
      <w:r>
        <w:rPr>
          <w:i/>
        </w:rPr>
        <w:t>increases</w:t>
      </w:r>
      <w:r>
        <w:t xml:space="preserve"> in the strict sample: the top-10 market cap share rises from 57.5 per cent to 80.5 per cent, because the strict filter retains predominantly large incumbent protocols. The median governance score more than quadruples (0.067 to 0.283), consistent with the governance improvements described above.</w:t>
      </w:r>
    </w:p>
    <w:p>
      <w:pPr>
        <w:jc w:val="center"/>
      </w:pPr>
      <w:r>
        <w:drawing>
          <wp:inline xmlns:a="http://schemas.openxmlformats.org/drawingml/2006/main" xmlns:pic="http://schemas.openxmlformats.org/drawingml/2006/picture">
            <wp:extent cx="5029200" cy="1565694"/>
            <wp:docPr id="1" name="Picture 1"/>
            <wp:cNvGraphicFramePr>
              <a:graphicFrameLocks noChangeAspect="1"/>
            </wp:cNvGraphicFramePr>
            <a:graphic>
              <a:graphicData uri="http://schemas.openxmlformats.org/drawingml/2006/picture">
                <pic:pic>
                  <pic:nvPicPr>
                    <pic:cNvPr id="0" name="02_governance_distribution_loose_backtest.png"/>
                    <pic:cNvPicPr/>
                  </pic:nvPicPr>
                  <pic:blipFill>
                    <a:blip r:embed="rId9"/>
                    <a:stretch>
                      <a:fillRect/>
                    </a:stretch>
                  </pic:blipFill>
                  <pic:spPr>
                    <a:xfrm>
                      <a:off x="0" y="0"/>
                      <a:ext cx="5029200" cy="1565694"/>
                    </a:xfrm>
                    <a:prstGeom prst="rect"/>
                  </pic:spPr>
                </pic:pic>
              </a:graphicData>
            </a:graphic>
          </wp:inline>
        </w:drawing>
      </w:r>
    </w:p>
    <w:p>
      <w:pPr>
        <w:pStyle w:val="Caption"/>
      </w:pPr>
      <w:r>
        <w:rPr>
          <w:i/>
        </w:rPr>
        <w:t>Figure 4.1: Governance label distribution — loose universe (N=834)</w:t>
      </w:r>
    </w:p>
    <w:p>
      <w:r>
        <w:t>Figure 4.1 visualises the distribution of governance labels in the loose universe. The dominant category is company-owned, followed by team-controlled, with a small tail of DAO-governed and fully decentralised protocols. Figure 4.2 and Figure 4.3 present the corresponding governance × ownership and governance × token heatmaps for the loose universe, providing a visual baseline against which the strict-sample findings can be compared.</w:t>
      </w:r>
    </w:p>
    <w:p>
      <w:pPr>
        <w:jc w:val="center"/>
      </w:pPr>
      <w:r>
        <w:drawing>
          <wp:inline xmlns:a="http://schemas.openxmlformats.org/drawingml/2006/main" xmlns:pic="http://schemas.openxmlformats.org/drawingml/2006/picture">
            <wp:extent cx="5029200" cy="1770206"/>
            <wp:docPr id="2" name="Picture 2"/>
            <wp:cNvGraphicFramePr>
              <a:graphicFrameLocks noChangeAspect="1"/>
            </wp:cNvGraphicFramePr>
            <a:graphic>
              <a:graphicData uri="http://schemas.openxmlformats.org/drawingml/2006/picture">
                <pic:pic>
                  <pic:nvPicPr>
                    <pic:cNvPr id="0" name="02_governance_heatmaps_loose_backtest.png"/>
                    <pic:cNvPicPr/>
                  </pic:nvPicPr>
                  <pic:blipFill>
                    <a:blip r:embed="rId10"/>
                    <a:stretch>
                      <a:fillRect/>
                    </a:stretch>
                  </pic:blipFill>
                  <pic:spPr>
                    <a:xfrm>
                      <a:off x="0" y="0"/>
                      <a:ext cx="5029200" cy="1770206"/>
                    </a:xfrm>
                    <a:prstGeom prst="rect"/>
                  </pic:spPr>
                </pic:pic>
              </a:graphicData>
            </a:graphic>
          </wp:inline>
        </w:drawing>
      </w:r>
    </w:p>
    <w:p>
      <w:pPr>
        <w:pStyle w:val="Caption"/>
      </w:pPr>
      <w:r>
        <w:rPr>
          <w:i/>
        </w:rPr>
        <w:t>Figure 4.2: Governance × ownership heatmap — loose backtest universe (N=834)</w:t>
      </w:r>
    </w:p>
    <w:p>
      <w:pPr>
        <w:jc w:val="center"/>
      </w:pPr>
      <w:r>
        <w:drawing>
          <wp:inline xmlns:a="http://schemas.openxmlformats.org/drawingml/2006/main" xmlns:pic="http://schemas.openxmlformats.org/drawingml/2006/picture">
            <wp:extent cx="5029200" cy="2479076"/>
            <wp:docPr id="3" name="Picture 3"/>
            <wp:cNvGraphicFramePr>
              <a:graphicFrameLocks noChangeAspect="1"/>
            </wp:cNvGraphicFramePr>
            <a:graphic>
              <a:graphicData uri="http://schemas.openxmlformats.org/drawingml/2006/picture">
                <pic:pic>
                  <pic:nvPicPr>
                    <pic:cNvPr id="0" name="02_governance_token_heatmap_loose_backtest.png"/>
                    <pic:cNvPicPr/>
                  </pic:nvPicPr>
                  <pic:blipFill>
                    <a:blip r:embed="rId11"/>
                    <a:stretch>
                      <a:fillRect/>
                    </a:stretch>
                  </pic:blipFill>
                  <pic:spPr>
                    <a:xfrm>
                      <a:off x="0" y="0"/>
                      <a:ext cx="5029200" cy="2479076"/>
                    </a:xfrm>
                    <a:prstGeom prst="rect"/>
                  </pic:spPr>
                </pic:pic>
              </a:graphicData>
            </a:graphic>
          </wp:inline>
        </w:drawing>
      </w:r>
    </w:p>
    <w:p>
      <w:pPr>
        <w:pStyle w:val="Caption"/>
      </w:pPr>
      <w:r>
        <w:rPr>
          <w:i/>
        </w:rPr>
        <w:t>Figure 4.3: Governance × token type heatmap — loose backtest universe (N=834)</w:t>
      </w:r>
    </w:p>
    <w:p>
      <w:pPr>
        <w:pStyle w:val="Heading2"/>
      </w:pPr>
      <w:r>
        <w:t>4.2 Governance and Ownership Structure</w:t>
      </w:r>
    </w:p>
    <w:p>
      <w:pPr>
        <w:pStyle w:val="Heading3"/>
      </w:pPr>
      <w:r>
        <w:t>4.2.1 Distribution of Decentralisation Labels</w:t>
      </w:r>
    </w:p>
    <w:p>
      <w:r>
        <w:t>Among the 68 DApps in the strict sample, the distribution of governance labels is substantially more varied than in the loose universe but remains concentrated well away from the "fully decentralised" ideal. Figure 4.4 presents the complete breakdown.</w:t>
      </w:r>
    </w:p>
    <w:p>
      <w:pPr>
        <w:jc w:val="center"/>
      </w:pPr>
      <w:r>
        <w:drawing>
          <wp:inline xmlns:a="http://schemas.openxmlformats.org/drawingml/2006/main" xmlns:pic="http://schemas.openxmlformats.org/drawingml/2006/picture">
            <wp:extent cx="5029200" cy="1565694"/>
            <wp:docPr id="4" name="Picture 4"/>
            <wp:cNvGraphicFramePr>
              <a:graphicFrameLocks noChangeAspect="1"/>
            </wp:cNvGraphicFramePr>
            <a:graphic>
              <a:graphicData uri="http://schemas.openxmlformats.org/drawingml/2006/picture">
                <pic:pic>
                  <pic:nvPicPr>
                    <pic:cNvPr id="0" name="02_governance_distribution_strict.png"/>
                    <pic:cNvPicPr/>
                  </pic:nvPicPr>
                  <pic:blipFill>
                    <a:blip r:embed="rId12"/>
                    <a:stretch>
                      <a:fillRect/>
                    </a:stretch>
                  </pic:blipFill>
                  <pic:spPr>
                    <a:xfrm>
                      <a:off x="0" y="0"/>
                      <a:ext cx="5029200" cy="1565694"/>
                    </a:xfrm>
                    <a:prstGeom prst="rect"/>
                  </pic:spPr>
                </pic:pic>
              </a:graphicData>
            </a:graphic>
          </wp:inline>
        </w:drawing>
      </w:r>
    </w:p>
    <w:p>
      <w:pPr>
        <w:pStyle w:val="Caption"/>
      </w:pPr>
      <w:r>
        <w:rPr>
          <w:i/>
        </w:rPr>
        <w:t>Figure 4.4: Governance label distribution — strict universe (N=68)</w:t>
      </w:r>
    </w:p>
    <w:p>
      <w:r>
        <w:t xml:space="preserve">As shown in Table 4.1 and Figure 4.4, the strict sample is substantially more varied in governance structure than the loose universe but remains concentrated well away from the fully decentralised ideal. Key findings (INS-GOV-01, INS-GOV-02): 13.24 per cent fully decentralised (nine DApps), 52.94 per cent company-owned, 26.47 per cent team-controlled — together meaning </w:t>
      </w:r>
      <w:r>
        <w:rPr>
          <w:b/>
        </w:rPr>
        <w:t>86.8 per cent of the strict sample are not fully decentralised</w:t>
      </w:r>
      <w:r>
        <w:t>. This is the central empirical finding of the governance analysis: application-layer centralisation is the norm, not the exception, among DApps with sufficient scale and data quality.</w:t>
      </w:r>
    </w:p>
    <w:p>
      <w:r>
        <w:t>This finding shows that blockchain's permissionless infrastructure does not automatically produce decentralised governance at the application layer; the two are structurally distinct. The implications are developed in Chapter 5: decentralisation requires deliberate governance choices, not just blockchain deployment.</w:t>
      </w:r>
    </w:p>
    <w:p>
      <w:r>
        <w:t>The median governance score is 0.283 — more than four times the loose-universe median of 0.067 — yet still well below full decentralisation.</w:t>
      </w:r>
    </w:p>
    <w:p>
      <w:pPr>
        <w:pStyle w:val="Heading3"/>
      </w:pPr>
      <w:r>
        <w:t>4.2.2 Ownership Concentration and Governance Type</w:t>
      </w:r>
    </w:p>
    <w:p>
      <w:r>
        <w:t>Figure 4.5 presents the two-way cross-tabulations of governance dimensions for the strict sample, illustrating the co-occurrence patterns between governance type, ownership status, and level of decentralisation.</w:t>
      </w:r>
    </w:p>
    <w:p>
      <w:pPr>
        <w:jc w:val="center"/>
      </w:pPr>
      <w:r>
        <w:drawing>
          <wp:inline xmlns:a="http://schemas.openxmlformats.org/drawingml/2006/main" xmlns:pic="http://schemas.openxmlformats.org/drawingml/2006/picture">
            <wp:extent cx="5029200" cy="1765744"/>
            <wp:docPr id="5" name="Picture 5"/>
            <wp:cNvGraphicFramePr>
              <a:graphicFrameLocks noChangeAspect="1"/>
            </wp:cNvGraphicFramePr>
            <a:graphic>
              <a:graphicData uri="http://schemas.openxmlformats.org/drawingml/2006/picture">
                <pic:pic>
                  <pic:nvPicPr>
                    <pic:cNvPr id="0" name="02_governance_heatmaps_strict.png"/>
                    <pic:cNvPicPr/>
                  </pic:nvPicPr>
                  <pic:blipFill>
                    <a:blip r:embed="rId13"/>
                    <a:stretch>
                      <a:fillRect/>
                    </a:stretch>
                  </pic:blipFill>
                  <pic:spPr>
                    <a:xfrm>
                      <a:off x="0" y="0"/>
                      <a:ext cx="5029200" cy="1765744"/>
                    </a:xfrm>
                    <a:prstGeom prst="rect"/>
                  </pic:spPr>
                </pic:pic>
              </a:graphicData>
            </a:graphic>
          </wp:inline>
        </w:drawing>
      </w:r>
    </w:p>
    <w:p>
      <w:pPr>
        <w:pStyle w:val="Caption"/>
      </w:pPr>
      <w:r>
        <w:rPr>
          <w:i/>
        </w:rPr>
        <w:t>Figure 4.5: Governance × ownership heatmap — strict sample (N=68)</w:t>
      </w:r>
    </w:p>
    <w:p>
      <w:r>
        <w:t>The heatmaps reveal systematic clustering. Company-owned DApps are almost exclusively team- or founder-controlled; they rarely appear in DAO-governed or community-governed cells. Fully decentralised DApps tend to use on-chain token voting and lack a single company-owned identity. Off-diagonal cells — where ownership and governance type diverge — are sparsely populated, indicating these dimensions are largely co-determined. This internal consistency supports the reliability of the manual coding procedure.</w:t>
      </w:r>
    </w:p>
    <w:p>
      <w:r>
        <w:t>Table 4.2 presents the complete cross-tabulation of decentralisation level against governance type for the strict sample. Governance types are grouped into three analytically meaningful categories for presentation: on-chain governance (DAO with timelock and on-chain token governance), community/hybrid governance (hybrid structures, multisig with community input, and Snapshot-based off-chain governance), and team-controlled (no formal governance and team-controlled types).</w:t>
      </w:r>
    </w:p>
    <w:p>
      <w:r>
        <w:rPr>
          <w:b/>
        </w:rPr>
        <w:t>Table 4.2 — Cross-tabulation: decentralisation level × governance type, strict sample (N=68)</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20"/>
              </w:rPr>
              <w:t>Decentralisation level</w:t>
            </w:r>
          </w:p>
        </w:tc>
        <w:tc>
          <w:tcPr>
            <w:tcW w:type="dxa" w:w="1758"/>
          </w:tcPr>
          <w:p>
            <w:r>
              <w:rPr>
                <w:rFonts w:ascii="Times New Roman" w:hAnsi="Times New Roman"/>
                <w:b/>
                <w:sz w:val="20"/>
              </w:rPr>
              <w:t>On-chain governance</w:t>
            </w:r>
          </w:p>
        </w:tc>
        <w:tc>
          <w:tcPr>
            <w:tcW w:type="dxa" w:w="1758"/>
          </w:tcPr>
          <w:p>
            <w:r>
              <w:rPr>
                <w:rFonts w:ascii="Times New Roman" w:hAnsi="Times New Roman"/>
                <w:b/>
                <w:sz w:val="20"/>
              </w:rPr>
              <w:t>Community / hybrid governance</w:t>
            </w:r>
          </w:p>
        </w:tc>
        <w:tc>
          <w:tcPr>
            <w:tcW w:type="dxa" w:w="1758"/>
          </w:tcPr>
          <w:p>
            <w:r>
              <w:rPr>
                <w:rFonts w:ascii="Times New Roman" w:hAnsi="Times New Roman"/>
                <w:b/>
                <w:sz w:val="20"/>
              </w:rPr>
              <w:t>Team-controlled</w:t>
            </w:r>
          </w:p>
        </w:tc>
        <w:tc>
          <w:tcPr>
            <w:tcW w:type="dxa" w:w="1758"/>
          </w:tcPr>
          <w:p>
            <w:r>
              <w:rPr>
                <w:rFonts w:ascii="Times New Roman" w:hAnsi="Times New Roman"/>
                <w:b/>
                <w:sz w:val="20"/>
              </w:rPr>
              <w:t>Total</w:t>
            </w:r>
          </w:p>
        </w:tc>
      </w:tr>
      <w:tr>
        <w:tc>
          <w:tcPr>
            <w:tcW w:type="dxa" w:w="1758"/>
          </w:tcPr>
          <w:p>
            <w:r>
              <w:rPr>
                <w:rFonts w:ascii="Times New Roman" w:hAnsi="Times New Roman"/>
                <w:sz w:val="20"/>
              </w:rPr>
              <w:t>DECENTRALIZED</w:t>
            </w:r>
          </w:p>
        </w:tc>
        <w:tc>
          <w:tcPr>
            <w:tcW w:type="dxa" w:w="1758"/>
          </w:tcPr>
          <w:p>
            <w:r>
              <w:rPr>
                <w:rFonts w:ascii="Times New Roman" w:hAnsi="Times New Roman"/>
                <w:sz w:val="20"/>
              </w:rPr>
              <w:t>8</w:t>
            </w:r>
          </w:p>
        </w:tc>
        <w:tc>
          <w:tcPr>
            <w:tcW w:type="dxa" w:w="1758"/>
          </w:tcPr>
          <w:p>
            <w:r>
              <w:rPr>
                <w:rFonts w:ascii="Times New Roman" w:hAnsi="Times New Roman"/>
                <w:sz w:val="20"/>
              </w:rPr>
              <w:t>1</w:t>
            </w:r>
          </w:p>
        </w:tc>
        <w:tc>
          <w:tcPr>
            <w:tcW w:type="dxa" w:w="1758"/>
          </w:tcPr>
          <w:p>
            <w:r>
              <w:rPr>
                <w:rFonts w:ascii="Times New Roman" w:hAnsi="Times New Roman"/>
                <w:sz w:val="20"/>
              </w:rPr>
              <w:t>0</w:t>
            </w:r>
          </w:p>
        </w:tc>
        <w:tc>
          <w:tcPr>
            <w:tcW w:type="dxa" w:w="1758"/>
          </w:tcPr>
          <w:p>
            <w:r>
              <w:rPr>
                <w:rFonts w:ascii="Times New Roman" w:hAnsi="Times New Roman"/>
                <w:sz w:val="20"/>
              </w:rPr>
              <w:t>**9**</w:t>
            </w:r>
          </w:p>
        </w:tc>
      </w:tr>
      <w:tr>
        <w:tc>
          <w:tcPr>
            <w:tcW w:type="dxa" w:w="1758"/>
          </w:tcPr>
          <w:p>
            <w:r>
              <w:rPr>
                <w:rFonts w:ascii="Times New Roman" w:hAnsi="Times New Roman"/>
                <w:sz w:val="20"/>
              </w:rPr>
              <w:t>SEMI\_DECENTRALIZED</w:t>
            </w:r>
          </w:p>
        </w:tc>
        <w:tc>
          <w:tcPr>
            <w:tcW w:type="dxa" w:w="1758"/>
          </w:tcPr>
          <w:p>
            <w:r>
              <w:rPr>
                <w:rFonts w:ascii="Times New Roman" w:hAnsi="Times New Roman"/>
                <w:sz w:val="20"/>
              </w:rPr>
              <w:t>4</w:t>
            </w:r>
          </w:p>
        </w:tc>
        <w:tc>
          <w:tcPr>
            <w:tcW w:type="dxa" w:w="1758"/>
          </w:tcPr>
          <w:p>
            <w:r>
              <w:rPr>
                <w:rFonts w:ascii="Times New Roman" w:hAnsi="Times New Roman"/>
                <w:sz w:val="20"/>
              </w:rPr>
              <w:t>35</w:t>
            </w:r>
          </w:p>
        </w:tc>
        <w:tc>
          <w:tcPr>
            <w:tcW w:type="dxa" w:w="1758"/>
          </w:tcPr>
          <w:p>
            <w:r>
              <w:rPr>
                <w:rFonts w:ascii="Times New Roman" w:hAnsi="Times New Roman"/>
                <w:sz w:val="20"/>
              </w:rPr>
              <w:t>14</w:t>
            </w:r>
          </w:p>
        </w:tc>
        <w:tc>
          <w:tcPr>
            <w:tcW w:type="dxa" w:w="1758"/>
          </w:tcPr>
          <w:p>
            <w:r>
              <w:rPr>
                <w:rFonts w:ascii="Times New Roman" w:hAnsi="Times New Roman"/>
                <w:sz w:val="20"/>
              </w:rPr>
              <w:t>**53**</w:t>
            </w:r>
          </w:p>
        </w:tc>
      </w:tr>
      <w:tr>
        <w:tc>
          <w:tcPr>
            <w:tcW w:type="dxa" w:w="1758"/>
          </w:tcPr>
          <w:p>
            <w:r>
              <w:rPr>
                <w:rFonts w:ascii="Times New Roman" w:hAnsi="Times New Roman"/>
                <w:sz w:val="20"/>
              </w:rPr>
              <w:t>CENTRALIZED</w:t>
            </w:r>
          </w:p>
        </w:tc>
        <w:tc>
          <w:tcPr>
            <w:tcW w:type="dxa" w:w="1758"/>
          </w:tcPr>
          <w:p>
            <w:r>
              <w:rPr>
                <w:rFonts w:ascii="Times New Roman" w:hAnsi="Times New Roman"/>
                <w:sz w:val="20"/>
              </w:rPr>
              <w:t>1</w:t>
            </w:r>
          </w:p>
        </w:tc>
        <w:tc>
          <w:tcPr>
            <w:tcW w:type="dxa" w:w="1758"/>
          </w:tcPr>
          <w:p>
            <w:r>
              <w:rPr>
                <w:rFonts w:ascii="Times New Roman" w:hAnsi="Times New Roman"/>
                <w:sz w:val="20"/>
              </w:rPr>
              <w:t>0</w:t>
            </w:r>
          </w:p>
        </w:tc>
        <w:tc>
          <w:tcPr>
            <w:tcW w:type="dxa" w:w="1758"/>
          </w:tcPr>
          <w:p>
            <w:r>
              <w:rPr>
                <w:rFonts w:ascii="Times New Roman" w:hAnsi="Times New Roman"/>
                <w:sz w:val="20"/>
              </w:rPr>
              <w:t>5</w:t>
            </w:r>
          </w:p>
        </w:tc>
        <w:tc>
          <w:tcPr>
            <w:tcW w:type="dxa" w:w="1758"/>
          </w:tcPr>
          <w:p>
            <w:r>
              <w:rPr>
                <w:rFonts w:ascii="Times New Roman" w:hAnsi="Times New Roman"/>
                <w:sz w:val="20"/>
              </w:rPr>
              <w:t>**6**</w:t>
            </w:r>
          </w:p>
        </w:tc>
      </w:tr>
      <w:tr>
        <w:tc>
          <w:tcPr>
            <w:tcW w:type="dxa" w:w="1758"/>
          </w:tcPr>
          <w:p>
            <w:r>
              <w:rPr>
                <w:rFonts w:ascii="Times New Roman" w:hAnsi="Times New Roman"/>
                <w:sz w:val="20"/>
              </w:rPr>
              <w:t>**Total**</w:t>
            </w:r>
          </w:p>
        </w:tc>
        <w:tc>
          <w:tcPr>
            <w:tcW w:type="dxa" w:w="1758"/>
          </w:tcPr>
          <w:p>
            <w:r>
              <w:rPr>
                <w:rFonts w:ascii="Times New Roman" w:hAnsi="Times New Roman"/>
                <w:sz w:val="20"/>
              </w:rPr>
              <w:t>**13**</w:t>
            </w:r>
          </w:p>
        </w:tc>
        <w:tc>
          <w:tcPr>
            <w:tcW w:type="dxa" w:w="1758"/>
          </w:tcPr>
          <w:p>
            <w:r>
              <w:rPr>
                <w:rFonts w:ascii="Times New Roman" w:hAnsi="Times New Roman"/>
                <w:sz w:val="20"/>
              </w:rPr>
              <w:t>**36**</w:t>
            </w:r>
          </w:p>
        </w:tc>
        <w:tc>
          <w:tcPr>
            <w:tcW w:type="dxa" w:w="1758"/>
          </w:tcPr>
          <w:p>
            <w:r>
              <w:rPr>
                <w:rFonts w:ascii="Times New Roman" w:hAnsi="Times New Roman"/>
                <w:sz w:val="20"/>
              </w:rPr>
              <w:t>**19**</w:t>
            </w:r>
          </w:p>
        </w:tc>
        <w:tc>
          <w:tcPr>
            <w:tcW w:type="dxa" w:w="1758"/>
          </w:tcPr>
          <w:p>
            <w:r>
              <w:rPr>
                <w:rFonts w:ascii="Times New Roman" w:hAnsi="Times New Roman"/>
                <w:sz w:val="20"/>
              </w:rPr>
              <w:t>**68**</w:t>
            </w:r>
          </w:p>
        </w:tc>
      </w:tr>
    </w:tbl>
    <w:p/>
    <w:p>
      <w:r>
        <w:rPr>
          <w:i/>
        </w:rPr>
        <w:t>On-chain governance = DAO with timelock (n=1) + on-chain token governance (n=12). Community/hybrid = hybrid (n=2) + multisig with community input (n=4) + Snapshot off-chain voting (n=30). Team-controlled = no formal governance (n=1) + team-controlled (n=18).</w:t>
      </w:r>
    </w:p>
    <w:p>
      <w:r>
        <w:t>All nine fully decentralised DApps use on-chain mechanisms (eight) or hybrid community processes (one); none are team-controlled. Of the six centralised DApps, five are team-controlled and only one uses any on-chain mechanism — likely a DApp that deployed a governance token while operational authority remained concentrated. The SEMI\_DECENTRALIZED category (53 DApps, 77.9 per cent) spans all three governance groups; 35 use community or hybrid processes, dominated by Snapshot off-chain voting (30 DApps).</w:t>
      </w:r>
    </w:p>
    <w:p>
      <w:pPr>
        <w:pStyle w:val="Heading3"/>
      </w:pPr>
      <w:r>
        <w:t>4.2.3 Token Type and Governance Co-Structure</w:t>
      </w:r>
    </w:p>
    <w:p>
      <w:r>
        <w:t>Figure 4.6 extends the governance picture to include token classification, producing a view of how token design aligns with governance structure in the strict sample.</w:t>
      </w:r>
    </w:p>
    <w:p>
      <w:pPr>
        <w:jc w:val="center"/>
      </w:pPr>
      <w:r>
        <w:drawing>
          <wp:inline xmlns:a="http://schemas.openxmlformats.org/drawingml/2006/main" xmlns:pic="http://schemas.openxmlformats.org/drawingml/2006/picture">
            <wp:extent cx="5029200" cy="2481580"/>
            <wp:docPr id="6" name="Picture 6"/>
            <wp:cNvGraphicFramePr>
              <a:graphicFrameLocks noChangeAspect="1"/>
            </wp:cNvGraphicFramePr>
            <a:graphic>
              <a:graphicData uri="http://schemas.openxmlformats.org/drawingml/2006/picture">
                <pic:pic>
                  <pic:nvPicPr>
                    <pic:cNvPr id="0" name="02_governance_token_heatmap_strict.png"/>
                    <pic:cNvPicPr/>
                  </pic:nvPicPr>
                  <pic:blipFill>
                    <a:blip r:embed="rId14"/>
                    <a:stretch>
                      <a:fillRect/>
                    </a:stretch>
                  </pic:blipFill>
                  <pic:spPr>
                    <a:xfrm>
                      <a:off x="0" y="0"/>
                      <a:ext cx="5029200" cy="2481580"/>
                    </a:xfrm>
                    <a:prstGeom prst="rect"/>
                  </pic:spPr>
                </pic:pic>
              </a:graphicData>
            </a:graphic>
          </wp:inline>
        </w:drawing>
      </w:r>
    </w:p>
    <w:p>
      <w:pPr>
        <w:pStyle w:val="Caption"/>
      </w:pPr>
      <w:r>
        <w:rPr>
          <w:i/>
        </w:rPr>
        <w:t>Figure 4.6: Governance type × token type heatmap — strict sample (N=68)</w:t>
      </w:r>
    </w:p>
    <w:p>
      <w:r>
        <w:t>The heatmap reveals that on-chain token governance mechanisms are almost exclusively associated with governance-type tokens: all 12 DApps with ONCHAIN\_TOKEN\_GOVERNANCE governance type hold governance tokens, as does the sole DAO\_WITH\_TIMELOCK DApp. Conversely, team-controlled DApps hold no governance tokens — their tokens are classified as utility (n=7), reward (n=6), or absent (n=5). This alignment between governance token design and on-chain governance mechanisms represents an internal consistency that would be expected if token design tracks governance ambition.</w:t>
      </w:r>
    </w:p>
    <w:p>
      <w:r>
        <w:t>A meaningful divergence appears in the SNAPSHOT\_OFFCHAIN row (30 DApps): four hold governance tokens, seventeen utility tokens, seven reward tokens, and one social token. Off-chain Snapshot governance is not primarily associated with governance token design — many DApps in this category retain utility or reward token structures despite operating a community voting process, reflecting financial engineering rather than governance architecture.</w:t>
      </w:r>
    </w:p>
    <w:p>
      <w:pPr>
        <w:pStyle w:val="Heading2"/>
      </w:pPr>
      <w:r>
        <w:t>4.3 Market Structure and Capital Concentration</w:t>
      </w:r>
    </w:p>
    <w:p>
      <w:pPr>
        <w:pStyle w:val="Heading3"/>
      </w:pPr>
      <w:r>
        <w:t>4.3.1 Distributional Properties of Market Capitalisation</w:t>
      </w:r>
    </w:p>
    <w:p>
      <w:r>
        <w:t>The market capitalisation distribution of DApps in the full dataset is highly right-skewed. Across the 855-DApp sample, the mean market capitalisation is $71.8 million and the median is $6.9 million — a mean-to-median ratio of approximately 10.4, diagnostic of a fat-tailed distribution. A power-law regression across the full dataset yields an estimated exponent of α ≈ 0.61, consistent with a Pareto-like scaling regime in which a small number of very large protocols account for a disproportionate share of aggregate market value.</w:t>
      </w:r>
    </w:p>
    <w:p>
      <w:r>
        <w:t>Figure 4.7 and Figure 4.8 illustrate the concentration and distributional structure of the strict and loose samples respectively.</w:t>
      </w:r>
    </w:p>
    <w:p>
      <w:pPr>
        <w:jc w:val="center"/>
      </w:pPr>
      <w:r>
        <w:drawing>
          <wp:inline xmlns:a="http://schemas.openxmlformats.org/drawingml/2006/main" xmlns:pic="http://schemas.openxmlformats.org/drawingml/2006/picture">
            <wp:extent cx="5029200" cy="3563858"/>
            <wp:docPr id="7" name="Picture 7"/>
            <wp:cNvGraphicFramePr>
              <a:graphicFrameLocks noChangeAspect="1"/>
            </wp:cNvGraphicFramePr>
            <a:graphic>
              <a:graphicData uri="http://schemas.openxmlformats.org/drawingml/2006/picture">
                <pic:pic>
                  <pic:nvPicPr>
                    <pic:cNvPr id="0" name="03_market_dynamics_strict.png"/>
                    <pic:cNvPicPr/>
                  </pic:nvPicPr>
                  <pic:blipFill>
                    <a:blip r:embed="rId15"/>
                    <a:stretch>
                      <a:fillRect/>
                    </a:stretch>
                  </pic:blipFill>
                  <pic:spPr>
                    <a:xfrm>
                      <a:off x="0" y="0"/>
                      <a:ext cx="5029200" cy="3563858"/>
                    </a:xfrm>
                    <a:prstGeom prst="rect"/>
                  </pic:spPr>
                </pic:pic>
              </a:graphicData>
            </a:graphic>
          </wp:inline>
        </w:drawing>
      </w:r>
    </w:p>
    <w:p>
      <w:pPr>
        <w:pStyle w:val="Caption"/>
      </w:pPr>
      <w:r>
        <w:rPr>
          <w:i/>
        </w:rPr>
        <w:t>Figure 4.7: Market capitalisation and user concentration — strict sample (N=68)</w:t>
      </w:r>
    </w:p>
    <w:p>
      <w:pPr>
        <w:jc w:val="center"/>
      </w:pPr>
      <w:r>
        <w:drawing>
          <wp:inline xmlns:a="http://schemas.openxmlformats.org/drawingml/2006/main" xmlns:pic="http://schemas.openxmlformats.org/drawingml/2006/picture">
            <wp:extent cx="5029200" cy="3563858"/>
            <wp:docPr id="8" name="Picture 8"/>
            <wp:cNvGraphicFramePr>
              <a:graphicFrameLocks noChangeAspect="1"/>
            </wp:cNvGraphicFramePr>
            <a:graphic>
              <a:graphicData uri="http://schemas.openxmlformats.org/drawingml/2006/picture">
                <pic:pic>
                  <pic:nvPicPr>
                    <pic:cNvPr id="0" name="03_market_dynamics_loose.png"/>
                    <pic:cNvPicPr/>
                  </pic:nvPicPr>
                  <pic:blipFill>
                    <a:blip r:embed="rId16"/>
                    <a:stretch>
                      <a:fillRect/>
                    </a:stretch>
                  </pic:blipFill>
                  <pic:spPr>
                    <a:xfrm>
                      <a:off x="0" y="0"/>
                      <a:ext cx="5029200" cy="3563858"/>
                    </a:xfrm>
                    <a:prstGeom prst="rect"/>
                  </pic:spPr>
                </pic:pic>
              </a:graphicData>
            </a:graphic>
          </wp:inline>
        </w:drawing>
      </w:r>
    </w:p>
    <w:p>
      <w:pPr>
        <w:pStyle w:val="Caption"/>
      </w:pPr>
      <w:r>
        <w:rPr>
          <w:i/>
        </w:rPr>
        <w:t>Figure 4.8: Market dynamics — loose universe comparison (N=834)</w:t>
      </w:r>
    </w:p>
    <w:p>
      <w:pPr>
        <w:pStyle w:val="Heading3"/>
      </w:pPr>
      <w:r>
        <w:t>4.3.2 Top-10 Concentration Ratios</w:t>
      </w:r>
    </w:p>
    <w:p>
      <w:r>
        <w:t>In the strict sample (N=68), the ten largest DApps by market capitalisation account for 80.46 per cent of total market cap (INS-MKT-01), based on the 63 strict-eligible DApps with market cap data. User concentration is even more pronounced: the ten most-active DApps attract 90.14 per cent of strict-sample users (INS-ADP-01). These ratios are substantially higher than in the loose universe (top-10 share: 57.54 per cent, see Table 4.1) because the strict filter retains predominantly large incumbents.</w:t>
      </w:r>
    </w:p>
    <w:p>
      <w:r>
        <w:t>TVL concentration follows a similar pattern. Total TVL across the full dataset is $115.7 billion, with the top ten protocols controlling 93.1 per cent. Median TVL per user in the strict sample is $1,942, but the highest-performing DeFi protocols carry TVL-per-user ratios in the hundreds of thousands of dollars (reflecting institutional liquidity provision), while many smaller DApps report near-zero TVL per wallet.</w:t>
      </w:r>
    </w:p>
    <w:p>
      <w:pPr>
        <w:pStyle w:val="Heading3"/>
      </w:pPr>
      <w:r>
        <w:t>4.3.3 Structural Anomalies</w:t>
      </w:r>
    </w:p>
    <w:p>
      <w:r>
        <w:t>Two structural anomalies in the market data merit specific attention.</w:t>
      </w:r>
    </w:p>
    <w:p>
      <w:r>
        <w:rPr>
          <w:b/>
        </w:rPr>
        <w:t>TVL exceeds market capitalisation (ANO-MKT-02).</w:t>
      </w:r>
      <w:r>
        <w:t xml:space="preserve"> Approximately 8.8 per cent of DApps in the strict sample exhibit TVL that exceeds their token market capitalisation. This inversion — where locked capital is worth more than the protocol's own equity — can arise from several mechanisms: rapid TVL accumulation preceding token price appreciation, artificial TVL inflation from looped collateral positions, or sustained depression of token prices relative to protocol utility. The phenomenon indicates that standard market cap figures do not always capture the full economic scale of a protocol and that TVL is a necessary complement to market cap when assessing DApp significance.</w:t>
      </w:r>
    </w:p>
    <w:p>
      <w:r>
        <w:rPr>
          <w:b/>
        </w:rPr>
        <w:t>Unfunded DApps outperform funded peers (ANO-MKT-03).</w:t>
      </w:r>
      <w:r>
        <w:t xml:space="preserve"> Within the strict sample (N=68), approximately 13 DApps raised documented venture capital. The median funding-to-valuation ratio for these funded DApps — measured as current market capitalisation divided by total capital raised — is 0.11×, meaning the median venture-backed DApp in the strict sample is currently valued at roughly one-tenth of the capital invested in it. At the same time, 29.4 per cent of the strict sample comprises unfunded DApps whose current market valuations exceed those of their venture-backed counterparts. Raises data is documented for only 38 of the full 855-DApp population (4.4 per cent), so full-dataset comparison is bounded to this verified subset; within it, $14.3 billion in documented capital was raised without producing a systematic positive relationship between capital raised and current market capitalisation. This pattern challenges the assumption that capital raised is a reliable predictor of DApp market success — a challenge this thesis attributes to the structural open-source dynamics of DApps, where permissionless forkability erodes the competitive moats that institutional valuations conventionally price in.</w:t>
      </w:r>
    </w:p>
    <w:p>
      <w:pPr>
        <w:pStyle w:val="Heading3"/>
      </w:pPr>
      <w:r>
        <w:t>4.3.4 Governance–Performance Correlation</w:t>
      </w:r>
    </w:p>
    <w:p>
      <w:r>
        <w:t>The Spearman rank correlation between the composite governance score and log-transformed market capitalisation across the strict sample is 0.38. While this association does not establish causality, it indicates that governance structure and market scale are not independent: DApps with higher governance scores tend to exhibit larger market capitalisations. DAO-governed DApps additionally show higher transaction intensity, and community governance is associated with more engaged user bases. Whether this reflects market participants rewarding governance quality, or whether financially successful DApps simply have greater resources to invest in governance formalisation, cannot be resolved from this cross-sectional dataset; the interpretive question is addressed in §5.2.</w:t>
      </w:r>
    </w:p>
    <w:p>
      <w:r>
        <w:t>Governance formalisation and market scale co-occur in the DApp ecosystem: protocols that reached strict-sample size are disproportionately those that invested in governance infrastructure. This co-occurrence indicates that markets treat governance quality as a signal worth pricing, justifying the thesis's treatment of governance structure as a first-class variable in DApp evaluation.</w:t>
      </w:r>
    </w:p>
    <w:p>
      <w:pPr>
        <w:pStyle w:val="Heading2"/>
      </w:pPr>
      <w:r>
        <w:t>4.4 Blockchain and Multi-Chain Deployment</w:t>
      </w:r>
    </w:p>
    <w:p>
      <w:pPr>
        <w:pStyle w:val="Heading3"/>
      </w:pPr>
      <w:r>
        <w:t>4.4.1 Chain Distribution</w:t>
      </w:r>
    </w:p>
    <w:p>
      <w:r>
        <w:t>The full 855-DApp dataset spans 77 blockchain networks. The five leading chains by DApp deployment count are BNB Chain (270 deployments, 11.9 per cent of total), Ethereum (221, 9.7 per cent), Polygon (192, 8.4 per cent), Base (176, 7.7 per cent), and Arbitrum (142, 6.2 per cent). The remaining 72 chains collectively account for the balance, with a long tail of single-digit deployment counts.</w:t>
      </w:r>
    </w:p>
    <w:p>
      <w:r>
        <w:t>Figure 4.9 shows the top-15 chains by DApp presence in the strict sample.</w:t>
      </w:r>
    </w:p>
    <w:p>
      <w:pPr>
        <w:jc w:val="center"/>
      </w:pPr>
      <w:r>
        <w:drawing>
          <wp:inline xmlns:a="http://schemas.openxmlformats.org/drawingml/2006/main" xmlns:pic="http://schemas.openxmlformats.org/drawingml/2006/picture">
            <wp:extent cx="5029200" cy="2482834"/>
            <wp:docPr id="9" name="Picture 9"/>
            <wp:cNvGraphicFramePr>
              <a:graphicFrameLocks noChangeAspect="1"/>
            </wp:cNvGraphicFramePr>
            <a:graphic>
              <a:graphicData uri="http://schemas.openxmlformats.org/drawingml/2006/picture">
                <pic:pic>
                  <pic:nvPicPr>
                    <pic:cNvPr id="0" name="04_chain_top15_strict.png"/>
                    <pic:cNvPicPr/>
                  </pic:nvPicPr>
                  <pic:blipFill>
                    <a:blip r:embed="rId17"/>
                    <a:stretch>
                      <a:fillRect/>
                    </a:stretch>
                  </pic:blipFill>
                  <pic:spPr>
                    <a:xfrm>
                      <a:off x="0" y="0"/>
                      <a:ext cx="5029200" cy="2482834"/>
                    </a:xfrm>
                    <a:prstGeom prst="rect"/>
                  </pic:spPr>
                </pic:pic>
              </a:graphicData>
            </a:graphic>
          </wp:inline>
        </w:drawing>
      </w:r>
    </w:p>
    <w:p>
      <w:pPr>
        <w:pStyle w:val="Caption"/>
      </w:pPr>
      <w:r>
        <w:rPr>
          <w:i/>
        </w:rPr>
        <w:t>Figure 4.9: Top-15 blockchain deployments — strict sample (N=68)</w:t>
      </w:r>
    </w:p>
    <w:p>
      <w:r>
        <w:t>Chain specialisation is evident across sectors. Ethereum and its EVM-compatible L2s (Arbitrum, Optimism, Base) dominate DeFi, where composability with established liquidity protocols provides structural network advantages. BNB Chain hosts the largest share of gaming and NFT-gaming DApps, reflecting lower transaction costs. Solana and Sei concentrate high-throughput applications where transaction latency is a binding constraint.</w:t>
      </w:r>
    </w:p>
    <w:p>
      <w:pPr>
        <w:pStyle w:val="Heading3"/>
      </w:pPr>
      <w:r>
        <w:t>4.4.2 Multi-Chain Adoption Rate</w:t>
      </w:r>
    </w:p>
    <w:p>
      <w:r>
        <w:t>Multi-chain deployment rates diverge sharply between universes: 36.21 per cent in the loose universe versus 70.59 per cent in the strict sample (INS-ADP-02) — nearly double. This increase is not mechanically implied by the strict filter's activity requirements; it reflects that the most commercially active DApps are disproportionately those that expanded across multiple networks. Multi-chain DApps in the full dataset support an average of 5.7 chains.</w:t>
      </w:r>
    </w:p>
    <w:p>
      <w:r>
        <w:t>Multi-chain DApps across the full dataset report a mean market capitalisation of $80.2 million versus $62.1 million for single-chain equivalents — a 1.3× premium consistent across subsamples (causal interpretation in §5, DIS-07).</w:t>
      </w:r>
    </w:p>
    <w:p>
      <w:pPr>
        <w:pStyle w:val="Heading2"/>
      </w:pPr>
      <w:r>
        <w:t>4.5 Sector-Level Performance</w:t>
      </w:r>
    </w:p>
    <w:p>
      <w:pPr>
        <w:pStyle w:val="Heading3"/>
      </w:pPr>
      <w:r>
        <w:t>4.5.1 Sector Composition of the Strict Sample</w:t>
      </w:r>
    </w:p>
    <w:p>
      <w:r>
        <w:t>The strict sample of 68 DApps is dominated by DeFi-tagged applications. Based on the theme-flag analysis, Table 4.21 summarises the sector composition and relative user share.</w:t>
      </w:r>
    </w:p>
    <w:p>
      <w:r>
        <w:rPr>
          <w:b/>
        </w:rPr>
        <w:t>Table 4.21 — Sector composition of the strict sample (N=68)</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Sector</w:t>
            </w:r>
          </w:p>
        </w:tc>
        <w:tc>
          <w:tcPr>
            <w:tcW w:type="dxa" w:w="2197"/>
          </w:tcPr>
          <w:p>
            <w:r>
              <w:rPr>
                <w:rFonts w:ascii="Times New Roman" w:hAnsi="Times New Roman"/>
                <w:b/>
                <w:sz w:val="20"/>
              </w:rPr>
              <w:t>DApps</w:t>
            </w:r>
          </w:p>
        </w:tc>
        <w:tc>
          <w:tcPr>
            <w:tcW w:type="dxa" w:w="2197"/>
          </w:tcPr>
          <w:p>
            <w:r>
              <w:rPr>
                <w:rFonts w:ascii="Times New Roman" w:hAnsi="Times New Roman"/>
                <w:b/>
                <w:sz w:val="20"/>
              </w:rPr>
              <w:t>Share of strict sample</w:t>
            </w:r>
          </w:p>
        </w:tc>
        <w:tc>
          <w:tcPr>
            <w:tcW w:type="dxa" w:w="2197"/>
          </w:tcPr>
          <w:p>
            <w:r>
              <w:rPr>
                <w:rFonts w:ascii="Times New Roman" w:hAnsi="Times New Roman"/>
                <w:b/>
                <w:sz w:val="20"/>
              </w:rPr>
              <w:t>Share of strict-sample users</w:t>
            </w:r>
          </w:p>
        </w:tc>
      </w:tr>
      <w:tr>
        <w:tc>
          <w:tcPr>
            <w:tcW w:type="dxa" w:w="2197"/>
          </w:tcPr>
          <w:p>
            <w:r>
              <w:rPr>
                <w:rFonts w:ascii="Times New Roman" w:hAnsi="Times New Roman"/>
                <w:sz w:val="20"/>
              </w:rPr>
              <w:t>DeFi</w:t>
            </w:r>
          </w:p>
        </w:tc>
        <w:tc>
          <w:tcPr>
            <w:tcW w:type="dxa" w:w="2197"/>
          </w:tcPr>
          <w:p>
            <w:r>
              <w:rPr>
                <w:rFonts w:ascii="Times New Roman" w:hAnsi="Times New Roman"/>
                <w:sz w:val="20"/>
              </w:rPr>
              <w:t>39</w:t>
            </w:r>
          </w:p>
        </w:tc>
        <w:tc>
          <w:tcPr>
            <w:tcW w:type="dxa" w:w="2197"/>
          </w:tcPr>
          <w:p>
            <w:r>
              <w:rPr>
                <w:rFonts w:ascii="Times New Roman" w:hAnsi="Times New Roman"/>
                <w:sz w:val="20"/>
              </w:rPr>
              <w:t>57.35%</w:t>
            </w:r>
          </w:p>
        </w:tc>
        <w:tc>
          <w:tcPr>
            <w:tcW w:type="dxa" w:w="2197"/>
          </w:tcPr>
          <w:p>
            <w:r>
              <w:rPr>
                <w:rFonts w:ascii="Times New Roman" w:hAnsi="Times New Roman"/>
                <w:sz w:val="20"/>
              </w:rPr>
              <w:t>54.33%</w:t>
            </w:r>
          </w:p>
        </w:tc>
      </w:tr>
      <w:tr>
        <w:tc>
          <w:tcPr>
            <w:tcW w:type="dxa" w:w="2197"/>
          </w:tcPr>
          <w:p>
            <w:r>
              <w:rPr>
                <w:rFonts w:ascii="Times New Roman" w:hAnsi="Times New Roman"/>
                <w:sz w:val="20"/>
              </w:rPr>
              <w:t>Gaming</w:t>
            </w:r>
          </w:p>
        </w:tc>
        <w:tc>
          <w:tcPr>
            <w:tcW w:type="dxa" w:w="2197"/>
          </w:tcPr>
          <w:p>
            <w:r>
              <w:rPr>
                <w:rFonts w:ascii="Times New Roman" w:hAnsi="Times New Roman"/>
                <w:sz w:val="20"/>
              </w:rPr>
              <w:t>18</w:t>
            </w:r>
          </w:p>
        </w:tc>
        <w:tc>
          <w:tcPr>
            <w:tcW w:type="dxa" w:w="2197"/>
          </w:tcPr>
          <w:p>
            <w:r>
              <w:rPr>
                <w:rFonts w:ascii="Times New Roman" w:hAnsi="Times New Roman"/>
                <w:sz w:val="20"/>
              </w:rPr>
              <w:t>26.47%</w:t>
            </w:r>
          </w:p>
        </w:tc>
        <w:tc>
          <w:tcPr>
            <w:tcW w:type="dxa" w:w="2197"/>
          </w:tcPr>
          <w:p>
            <w:r>
              <w:rPr>
                <w:rFonts w:ascii="Times New Roman" w:hAnsi="Times New Roman"/>
                <w:sz w:val="20"/>
              </w:rPr>
              <w:t>34.54%</w:t>
            </w:r>
          </w:p>
        </w:tc>
      </w:tr>
      <w:tr>
        <w:tc>
          <w:tcPr>
            <w:tcW w:type="dxa" w:w="2197"/>
          </w:tcPr>
          <w:p>
            <w:r>
              <w:rPr>
                <w:rFonts w:ascii="Times New Roman" w:hAnsi="Times New Roman"/>
                <w:sz w:val="20"/>
              </w:rPr>
              <w:t>Social</w:t>
            </w:r>
          </w:p>
        </w:tc>
        <w:tc>
          <w:tcPr>
            <w:tcW w:type="dxa" w:w="2197"/>
          </w:tcPr>
          <w:p>
            <w:r>
              <w:rPr>
                <w:rFonts w:ascii="Times New Roman" w:hAnsi="Times New Roman"/>
                <w:sz w:val="20"/>
              </w:rPr>
              <w:t>3</w:t>
            </w:r>
          </w:p>
        </w:tc>
        <w:tc>
          <w:tcPr>
            <w:tcW w:type="dxa" w:w="2197"/>
          </w:tcPr>
          <w:p>
            <w:r>
              <w:rPr>
                <w:rFonts w:ascii="Times New Roman" w:hAnsi="Times New Roman"/>
                <w:sz w:val="20"/>
              </w:rPr>
              <w:t>4.41%</w:t>
            </w:r>
          </w:p>
        </w:tc>
        <w:tc>
          <w:tcPr>
            <w:tcW w:type="dxa" w:w="2197"/>
          </w:tcPr>
          <w:p>
            <w:r>
              <w:rPr>
                <w:rFonts w:ascii="Times New Roman" w:hAnsi="Times New Roman"/>
                <w:sz w:val="20"/>
              </w:rPr>
              <w:t>0.70%</w:t>
            </w:r>
          </w:p>
        </w:tc>
      </w:tr>
      <w:tr>
        <w:tc>
          <w:tcPr>
            <w:tcW w:type="dxa" w:w="2197"/>
          </w:tcPr>
          <w:p>
            <w:r>
              <w:rPr>
                <w:rFonts w:ascii="Times New Roman" w:hAnsi="Times New Roman"/>
                <w:sz w:val="20"/>
              </w:rPr>
              <w:t>Other / uncategorised</w:t>
            </w:r>
          </w:p>
        </w:tc>
        <w:tc>
          <w:tcPr>
            <w:tcW w:type="dxa" w:w="2197"/>
          </w:tcPr>
          <w:p>
            <w:r>
              <w:rPr>
                <w:rFonts w:ascii="Times New Roman" w:hAnsi="Times New Roman"/>
                <w:sz w:val="20"/>
              </w:rPr>
              <w:t>8</w:t>
            </w:r>
          </w:p>
        </w:tc>
        <w:tc>
          <w:tcPr>
            <w:tcW w:type="dxa" w:w="2197"/>
          </w:tcPr>
          <w:p>
            <w:r>
              <w:rPr>
                <w:rFonts w:ascii="Times New Roman" w:hAnsi="Times New Roman"/>
                <w:sz w:val="20"/>
              </w:rPr>
              <w:t>11.76%</w:t>
            </w:r>
          </w:p>
        </w:tc>
        <w:tc>
          <w:tcPr>
            <w:tcW w:type="dxa" w:w="2197"/>
          </w:tcPr>
          <w:p>
            <w:r>
              <w:rPr>
                <w:rFonts w:ascii="Times New Roman" w:hAnsi="Times New Roman"/>
                <w:sz w:val="20"/>
              </w:rPr>
              <w:t>10.43%</w:t>
            </w:r>
          </w:p>
        </w:tc>
      </w:tr>
      <w:tr>
        <w:tc>
          <w:tcPr>
            <w:tcW w:type="dxa" w:w="2197"/>
          </w:tcPr>
          <w:p>
            <w:r>
              <w:rPr>
                <w:rFonts w:ascii="Times New Roman" w:hAnsi="Times New Roman"/>
                <w:sz w:val="20"/>
              </w:rPr>
              <w:t>**Total**</w:t>
            </w:r>
          </w:p>
        </w:tc>
        <w:tc>
          <w:tcPr>
            <w:tcW w:type="dxa" w:w="2197"/>
          </w:tcPr>
          <w:p>
            <w:r>
              <w:rPr>
                <w:rFonts w:ascii="Times New Roman" w:hAnsi="Times New Roman"/>
                <w:sz w:val="20"/>
              </w:rPr>
              <w:t>**68**</w:t>
            </w:r>
          </w:p>
        </w:tc>
        <w:tc>
          <w:tcPr>
            <w:tcW w:type="dxa" w:w="2197"/>
          </w:tcPr>
          <w:p>
            <w:r>
              <w:rPr>
                <w:rFonts w:ascii="Times New Roman" w:hAnsi="Times New Roman"/>
                <w:sz w:val="20"/>
              </w:rPr>
              <w:t>**100%**</w:t>
            </w:r>
          </w:p>
        </w:tc>
        <w:tc>
          <w:tcPr>
            <w:tcW w:type="dxa" w:w="2197"/>
          </w:tcPr>
          <w:p>
            <w:r>
              <w:rPr>
                <w:rFonts w:ascii="Times New Roman" w:hAnsi="Times New Roman"/>
                <w:sz w:val="20"/>
              </w:rPr>
              <w:t>**100%**</w:t>
            </w:r>
          </w:p>
        </w:tc>
      </w:tr>
    </w:tbl>
    <w:p/>
    <w:p>
      <w:r>
        <w:rPr>
          <w:i/>
        </w:rPr>
        <w:t>Other = NFT marketplace and infrastructure-adjacent protocols. User share computed from strict-sample active wallet totals.</w:t>
      </w:r>
    </w:p>
    <w:p>
      <w:r>
        <w:t>DeFi leads in protocol count but the Gaming sector punches above its weight in user share, foreshadowing the engagement gap discussed below. Figure 4.11 presents full sector-level performance metrics.</w:t>
      </w:r>
    </w:p>
    <w:p>
      <w:pPr>
        <w:jc w:val="center"/>
      </w:pPr>
      <w:r>
        <w:drawing>
          <wp:inline xmlns:a="http://schemas.openxmlformats.org/drawingml/2006/main" xmlns:pic="http://schemas.openxmlformats.org/drawingml/2006/picture">
            <wp:extent cx="5029200" cy="3563858"/>
            <wp:docPr id="10" name="Picture 10"/>
            <wp:cNvGraphicFramePr>
              <a:graphicFrameLocks noChangeAspect="1"/>
            </wp:cNvGraphicFramePr>
            <a:graphic>
              <a:graphicData uri="http://schemas.openxmlformats.org/drawingml/2006/picture">
                <pic:pic>
                  <pic:nvPicPr>
                    <pic:cNvPr id="0" name="05_performance_strict.png"/>
                    <pic:cNvPicPr/>
                  </pic:nvPicPr>
                  <pic:blipFill>
                    <a:blip r:embed="rId18"/>
                    <a:stretch>
                      <a:fillRect/>
                    </a:stretch>
                  </pic:blipFill>
                  <pic:spPr>
                    <a:xfrm>
                      <a:off x="0" y="0"/>
                      <a:ext cx="5029200" cy="3563858"/>
                    </a:xfrm>
                    <a:prstGeom prst="rect"/>
                  </pic:spPr>
                </pic:pic>
              </a:graphicData>
            </a:graphic>
          </wp:inline>
        </w:drawing>
      </w:r>
    </w:p>
    <w:p>
      <w:pPr>
        <w:pStyle w:val="Caption"/>
      </w:pPr>
      <w:r>
        <w:rPr>
          <w:i/>
        </w:rPr>
        <w:t>Figure 4.11: Sector-level performance metrics — strict sample (N=68)</w:t>
      </w:r>
    </w:p>
    <w:p>
      <w:pPr>
        <w:pStyle w:val="Heading3"/>
      </w:pPr>
      <w:r>
        <w:t>4.5.2 The DeFi–Gaming Engagement Gap</w:t>
      </w:r>
    </w:p>
    <w:p>
      <w:r>
        <w:t>The most economically significant sectoral contrast is the value-per-user divergence between DeFi and gaming. DeFi DApps in the strict sample process $299.1 billion in total volume; gaming DApps attract the largest user base (12,670,611 active wallets) while generating comparatively modest financial throughput.</w:t>
      </w:r>
    </w:p>
    <w:p>
      <w:r>
        <w:t>The implied value-per-user gap exceeds 1,000× (ANO-ENG-01) — a structural divide, not measurement error. DeFi wallets frequently represent participants deploying large capital positions in liquidity pools and on-chain derivatives; gaming wallets reflect in-game economies and play-to-earn mechanics at the level of individual consumer transactions.</w:t>
      </w:r>
    </w:p>
    <w:p>
      <w:r>
        <w:t>The pattern holds across the full dataset (N=855): DEX-category DApps attract 36.8 million users and process $497.7 billion in volume, while gaming DApps attract 23.8 million users but generate only $28 million in volume — a volume-per-user ratio roughly 630 times higher in the DEX category. User count and financial throughput therefore produce incompatible orderings of DApp success across sector boundaries. DeFi and gaming represent fundamentally distinct economic architectures; any framework that treats them as commensurable without sector disaggregation produces a misleading baseline.</w:t>
      </w:r>
    </w:p>
    <w:p>
      <w:pPr>
        <w:pStyle w:val="Heading3"/>
      </w:pPr>
      <w:r>
        <w:t>4.5.3 Social and NFT DApps</w:t>
      </w:r>
    </w:p>
    <w:p>
      <w:r>
        <w:t>Social-tagged DApps represent the smallest sector in the strict sample both by count (4.41 per cent of strict DApps) and by user share (0.70 per cent of strict-sample users). This marginalisation partly reflects the strict filter's user-count threshold: many social DApps remain small by on-chain user standards, as participants frequently interact through custodial front-ends that do not generate distinct wallet events. Across the full 855-DApp dataset, NFT marketplace protocols hold a more prominent position — second in user count behind DEX (17.1 million users, full dataset) and second in market cap ($864 million, full dataset) — but their reduced presence in the strict sample reflects both the user threshold and NFT trading volume volatility, which can push activity below strict-filter thresholds during quieter market periods.</w:t>
      </w:r>
    </w:p>
    <w:p>
      <w:pPr>
        <w:pStyle w:val="Heading2"/>
      </w:pPr>
      <w:r>
        <w:t>4.6 Ecosystem Deep-Dives</w:t>
      </w:r>
    </w:p>
    <w:p>
      <w:r>
        <w:t>This section provides ecosystem-level depth complementing the cross-sectional analyses in §4.1–§4.5, examining five ecosystems: DeFi, Prediction Markets, AI-native DApps, Real-World Assets (RWA), and Decentralised Physical Infrastructure (DePIN). Each operates under distinct economic logic, user base, and governance trajectory; treating them as a homogeneous sector obscures structural differences that aggregate analyses cannot capture.</w:t>
      </w:r>
    </w:p>
    <w:p>
      <w:r>
        <w:rPr>
          <w:i/>
        </w:rPr>
        <w:t>Sample note.</w:t>
      </w:r>
      <w:r>
        <w:t xml:space="preserve"> DeFi analysis draws on the 36 DApps in the strict high-signal sample classified under the DeFi ecosystem focus, supplemented by the 105-DApp loose-universe DeFi population where noted. Prediction Markets, AI-native DApps, RWA, and DePIN each contain fewer than 10 DApps in the strict sample (prediction markets: 1, AI: 3, DePIN: 2; RWA is embedded within DeFi and gaming categories); accordingly, the analysis for these four ecosystems uses the loose universe throughout and results should be interpreted in light of the correspondingly broader data-quality range.</w:t>
      </w:r>
    </w:p>
    <w:p>
      <w:r>
        <w:rPr>
          <w:b/>
        </w:rPr>
        <w:t>Table 4.20 — Cross-ecosystem structural comparison (loose universe)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Times New Roman" w:hAnsi="Times New Roman"/>
                <w:b/>
                <w:sz w:val="20"/>
              </w:rPr>
              <w:t>Metric</w:t>
            </w:r>
          </w:p>
        </w:tc>
        <w:tc>
          <w:tcPr>
            <w:tcW w:type="dxa" w:w="1465"/>
          </w:tcPr>
          <w:p>
            <w:r>
              <w:rPr>
                <w:rFonts w:ascii="Times New Roman" w:hAnsi="Times New Roman"/>
                <w:b/>
                <w:sz w:val="20"/>
              </w:rPr>
              <w:t>DeFi (N=105)</w:t>
            </w:r>
          </w:p>
        </w:tc>
        <w:tc>
          <w:tcPr>
            <w:tcW w:type="dxa" w:w="1465"/>
          </w:tcPr>
          <w:p>
            <w:r>
              <w:rPr>
                <w:rFonts w:ascii="Times New Roman" w:hAnsi="Times New Roman"/>
                <w:b/>
                <w:sz w:val="20"/>
              </w:rPr>
              <w:t>Pred. Markets (N=31)</w:t>
            </w:r>
          </w:p>
        </w:tc>
        <w:tc>
          <w:tcPr>
            <w:tcW w:type="dxa" w:w="1465"/>
          </w:tcPr>
          <w:p>
            <w:r>
              <w:rPr>
                <w:rFonts w:ascii="Times New Roman" w:hAnsi="Times New Roman"/>
                <w:b/>
                <w:sz w:val="20"/>
              </w:rPr>
              <w:t>AI DApps (N=66)</w:t>
            </w:r>
          </w:p>
        </w:tc>
        <w:tc>
          <w:tcPr>
            <w:tcW w:type="dxa" w:w="1465"/>
          </w:tcPr>
          <w:p>
            <w:r>
              <w:rPr>
                <w:rFonts w:ascii="Times New Roman" w:hAnsi="Times New Roman"/>
                <w:b/>
                <w:sz w:val="20"/>
              </w:rPr>
              <w:t>RWA (N=43)</w:t>
            </w:r>
          </w:p>
        </w:tc>
        <w:tc>
          <w:tcPr>
            <w:tcW w:type="dxa" w:w="1465"/>
          </w:tcPr>
          <w:p>
            <w:r>
              <w:rPr>
                <w:rFonts w:ascii="Times New Roman" w:hAnsi="Times New Roman"/>
                <w:b/>
                <w:sz w:val="20"/>
              </w:rPr>
              <w:t>DePIN (N=29)</w:t>
            </w:r>
          </w:p>
        </w:tc>
      </w:tr>
      <w:tr>
        <w:tc>
          <w:tcPr>
            <w:tcW w:type="dxa" w:w="1465"/>
          </w:tcPr>
          <w:p>
            <w:r>
              <w:rPr>
                <w:rFonts w:ascii="Times New Roman" w:hAnsi="Times New Roman"/>
                <w:sz w:val="20"/>
              </w:rPr>
              <w:t>% Team-controlled governance</w:t>
            </w:r>
          </w:p>
        </w:tc>
        <w:tc>
          <w:tcPr>
            <w:tcW w:type="dxa" w:w="1465"/>
          </w:tcPr>
          <w:p>
            <w:r>
              <w:rPr>
                <w:rFonts w:ascii="Times New Roman" w:hAnsi="Times New Roman"/>
                <w:sz w:val="20"/>
              </w:rPr>
              <w:t>38.1%</w:t>
            </w:r>
          </w:p>
        </w:tc>
        <w:tc>
          <w:tcPr>
            <w:tcW w:type="dxa" w:w="1465"/>
          </w:tcPr>
          <w:p>
            <w:r>
              <w:rPr>
                <w:rFonts w:ascii="Times New Roman" w:hAnsi="Times New Roman"/>
                <w:sz w:val="20"/>
              </w:rPr>
              <w:t>**71.0%**</w:t>
            </w:r>
          </w:p>
        </w:tc>
        <w:tc>
          <w:tcPr>
            <w:tcW w:type="dxa" w:w="1465"/>
          </w:tcPr>
          <w:p>
            <w:r>
              <w:rPr>
                <w:rFonts w:ascii="Times New Roman" w:hAnsi="Times New Roman"/>
                <w:sz w:val="20"/>
              </w:rPr>
              <w:t>54.5%</w:t>
            </w:r>
          </w:p>
        </w:tc>
        <w:tc>
          <w:tcPr>
            <w:tcW w:type="dxa" w:w="1465"/>
          </w:tcPr>
          <w:p>
            <w:r>
              <w:rPr>
                <w:rFonts w:ascii="Times New Roman" w:hAnsi="Times New Roman"/>
                <w:sz w:val="20"/>
              </w:rPr>
              <w:t>60.5%</w:t>
            </w:r>
          </w:p>
        </w:tc>
        <w:tc>
          <w:tcPr>
            <w:tcW w:type="dxa" w:w="1465"/>
          </w:tcPr>
          <w:p>
            <w:r>
              <w:rPr>
                <w:rFonts w:ascii="Times New Roman" w:hAnsi="Times New Roman"/>
                <w:sz w:val="20"/>
              </w:rPr>
              <w:t>55.2%</w:t>
            </w:r>
          </w:p>
        </w:tc>
      </w:tr>
      <w:tr>
        <w:tc>
          <w:tcPr>
            <w:tcW w:type="dxa" w:w="1465"/>
          </w:tcPr>
          <w:p>
            <w:r>
              <w:rPr>
                <w:rFonts w:ascii="Times New Roman" w:hAnsi="Times New Roman"/>
                <w:sz w:val="20"/>
              </w:rPr>
              <w:t>% Snapshot off-chain</w:t>
            </w:r>
          </w:p>
        </w:tc>
        <w:tc>
          <w:tcPr>
            <w:tcW w:type="dxa" w:w="1465"/>
          </w:tcPr>
          <w:p>
            <w:r>
              <w:rPr>
                <w:rFonts w:ascii="Times New Roman" w:hAnsi="Times New Roman"/>
                <w:sz w:val="20"/>
              </w:rPr>
              <w:t>25.7%</w:t>
            </w:r>
          </w:p>
        </w:tc>
        <w:tc>
          <w:tcPr>
            <w:tcW w:type="dxa" w:w="1465"/>
          </w:tcPr>
          <w:p>
            <w:r>
              <w:rPr>
                <w:rFonts w:ascii="Times New Roman" w:hAnsi="Times New Roman"/>
                <w:sz w:val="20"/>
              </w:rPr>
              <w:t>19.4%</w:t>
            </w:r>
          </w:p>
        </w:tc>
        <w:tc>
          <w:tcPr>
            <w:tcW w:type="dxa" w:w="1465"/>
          </w:tcPr>
          <w:p>
            <w:r>
              <w:rPr>
                <w:rFonts w:ascii="Times New Roman" w:hAnsi="Times New Roman"/>
                <w:sz w:val="20"/>
              </w:rPr>
              <w:t>**39.4%**</w:t>
            </w:r>
          </w:p>
        </w:tc>
        <w:tc>
          <w:tcPr>
            <w:tcW w:type="dxa" w:w="1465"/>
          </w:tcPr>
          <w:p>
            <w:r>
              <w:rPr>
                <w:rFonts w:ascii="Times New Roman" w:hAnsi="Times New Roman"/>
                <w:sz w:val="20"/>
              </w:rPr>
              <w:t>20.9%</w:t>
            </w:r>
          </w:p>
        </w:tc>
        <w:tc>
          <w:tcPr>
            <w:tcW w:type="dxa" w:w="1465"/>
          </w:tcPr>
          <w:p>
            <w:r>
              <w:rPr>
                <w:rFonts w:ascii="Times New Roman" w:hAnsi="Times New Roman"/>
                <w:sz w:val="20"/>
              </w:rPr>
              <w:t>34.5%</w:t>
            </w:r>
          </w:p>
        </w:tc>
      </w:tr>
      <w:tr>
        <w:tc>
          <w:tcPr>
            <w:tcW w:type="dxa" w:w="1465"/>
          </w:tcPr>
          <w:p>
            <w:r>
              <w:rPr>
                <w:rFonts w:ascii="Times New Roman" w:hAnsi="Times New Roman"/>
                <w:sz w:val="20"/>
              </w:rPr>
              <w:t>% On-chain governance</w:t>
            </w:r>
          </w:p>
        </w:tc>
        <w:tc>
          <w:tcPr>
            <w:tcW w:type="dxa" w:w="1465"/>
          </w:tcPr>
          <w:p>
            <w:r>
              <w:rPr>
                <w:rFonts w:ascii="Times New Roman" w:hAnsi="Times New Roman"/>
                <w:sz w:val="20"/>
              </w:rPr>
              <w:t>**17.1%**</w:t>
            </w:r>
          </w:p>
        </w:tc>
        <w:tc>
          <w:tcPr>
            <w:tcW w:type="dxa" w:w="1465"/>
          </w:tcPr>
          <w:p>
            <w:r>
              <w:rPr>
                <w:rFonts w:ascii="Times New Roman" w:hAnsi="Times New Roman"/>
                <w:sz w:val="20"/>
              </w:rPr>
              <w:t>0%</w:t>
            </w:r>
          </w:p>
        </w:tc>
        <w:tc>
          <w:tcPr>
            <w:tcW w:type="dxa" w:w="1465"/>
          </w:tcPr>
          <w:p>
            <w:r>
              <w:rPr>
                <w:rFonts w:ascii="Times New Roman" w:hAnsi="Times New Roman"/>
                <w:sz w:val="20"/>
              </w:rPr>
              <w:t>1.5%</w:t>
            </w:r>
          </w:p>
        </w:tc>
        <w:tc>
          <w:tcPr>
            <w:tcW w:type="dxa" w:w="1465"/>
          </w:tcPr>
          <w:p>
            <w:r>
              <w:rPr>
                <w:rFonts w:ascii="Times New Roman" w:hAnsi="Times New Roman"/>
                <w:sz w:val="20"/>
              </w:rPr>
              <w:t>2.3%</w:t>
            </w:r>
          </w:p>
        </w:tc>
        <w:tc>
          <w:tcPr>
            <w:tcW w:type="dxa" w:w="1465"/>
          </w:tcPr>
          <w:p>
            <w:r>
              <w:rPr>
                <w:rFonts w:ascii="Times New Roman" w:hAnsi="Times New Roman"/>
                <w:sz w:val="20"/>
              </w:rPr>
              <w:t>3.4%</w:t>
            </w:r>
          </w:p>
        </w:tc>
      </w:tr>
      <w:tr>
        <w:tc>
          <w:tcPr>
            <w:tcW w:type="dxa" w:w="1465"/>
          </w:tcPr>
          <w:p>
            <w:r>
              <w:rPr>
                <w:rFonts w:ascii="Times New Roman" w:hAnsi="Times New Roman"/>
                <w:sz w:val="20"/>
              </w:rPr>
              <w:t>% Fully decentralised (level)</w:t>
            </w:r>
          </w:p>
        </w:tc>
        <w:tc>
          <w:tcPr>
            <w:tcW w:type="dxa" w:w="1465"/>
          </w:tcPr>
          <w:p>
            <w:r>
              <w:rPr>
                <w:rFonts w:ascii="Times New Roman" w:hAnsi="Times New Roman"/>
                <w:sz w:val="20"/>
              </w:rPr>
              <w:t>**13.3%**</w:t>
            </w:r>
          </w:p>
        </w:tc>
        <w:tc>
          <w:tcPr>
            <w:tcW w:type="dxa" w:w="1465"/>
          </w:tcPr>
          <w:p>
            <w:r>
              <w:rPr>
                <w:rFonts w:ascii="Times New Roman" w:hAnsi="Times New Roman"/>
                <w:sz w:val="20"/>
              </w:rPr>
              <w:t>0%</w:t>
            </w:r>
          </w:p>
        </w:tc>
        <w:tc>
          <w:tcPr>
            <w:tcW w:type="dxa" w:w="1465"/>
          </w:tcPr>
          <w:p>
            <w:r>
              <w:rPr>
                <w:rFonts w:ascii="Times New Roman" w:hAnsi="Times New Roman"/>
                <w:sz w:val="20"/>
              </w:rPr>
              <w:t>0%</w:t>
            </w:r>
          </w:p>
        </w:tc>
        <w:tc>
          <w:tcPr>
            <w:tcW w:type="dxa" w:w="1465"/>
          </w:tcPr>
          <w:p>
            <w:r>
              <w:rPr>
                <w:rFonts w:ascii="Times New Roman" w:hAnsi="Times New Roman"/>
                <w:sz w:val="20"/>
              </w:rPr>
              <w:t>2.3%</w:t>
            </w:r>
          </w:p>
        </w:tc>
        <w:tc>
          <w:tcPr>
            <w:tcW w:type="dxa" w:w="1465"/>
          </w:tcPr>
          <w:p>
            <w:r>
              <w:rPr>
                <w:rFonts w:ascii="Times New Roman" w:hAnsi="Times New Roman"/>
                <w:sz w:val="20"/>
              </w:rPr>
              <w:t>6.9%</w:t>
            </w:r>
          </w:p>
        </w:tc>
      </w:tr>
      <w:tr>
        <w:tc>
          <w:tcPr>
            <w:tcW w:type="dxa" w:w="1465"/>
          </w:tcPr>
          <w:p>
            <w:r>
              <w:rPr>
                <w:rFonts w:ascii="Times New Roman" w:hAnsi="Times New Roman"/>
                <w:sz w:val="20"/>
              </w:rPr>
              <w:t>% Multi-chain deployment</w:t>
            </w:r>
          </w:p>
        </w:tc>
        <w:tc>
          <w:tcPr>
            <w:tcW w:type="dxa" w:w="1465"/>
          </w:tcPr>
          <w:p>
            <w:r>
              <w:rPr>
                <w:rFonts w:ascii="Times New Roman" w:hAnsi="Times New Roman"/>
                <w:sz w:val="20"/>
              </w:rPr>
              <w:t>**55.2%**</w:t>
            </w:r>
          </w:p>
        </w:tc>
        <w:tc>
          <w:tcPr>
            <w:tcW w:type="dxa" w:w="1465"/>
          </w:tcPr>
          <w:p>
            <w:r>
              <w:rPr>
                <w:rFonts w:ascii="Times New Roman" w:hAnsi="Times New Roman"/>
                <w:sz w:val="20"/>
              </w:rPr>
              <w:t>19.4%</w:t>
            </w:r>
          </w:p>
        </w:tc>
        <w:tc>
          <w:tcPr>
            <w:tcW w:type="dxa" w:w="1465"/>
          </w:tcPr>
          <w:p>
            <w:r>
              <w:rPr>
                <w:rFonts w:ascii="Times New Roman" w:hAnsi="Times New Roman"/>
                <w:sz w:val="20"/>
              </w:rPr>
              <w:t>40.9%</w:t>
            </w:r>
          </w:p>
        </w:tc>
        <w:tc>
          <w:tcPr>
            <w:tcW w:type="dxa" w:w="1465"/>
          </w:tcPr>
          <w:p>
            <w:r>
              <w:rPr>
                <w:rFonts w:ascii="Times New Roman" w:hAnsi="Times New Roman"/>
                <w:sz w:val="20"/>
              </w:rPr>
              <w:t>37.2%</w:t>
            </w:r>
          </w:p>
        </w:tc>
        <w:tc>
          <w:tcPr>
            <w:tcW w:type="dxa" w:w="1465"/>
          </w:tcPr>
          <w:p>
            <w:r>
              <w:rPr>
                <w:rFonts w:ascii="Times New Roman" w:hAnsi="Times New Roman"/>
                <w:sz w:val="20"/>
              </w:rPr>
              <w:t>**55.2%**</w:t>
            </w:r>
          </w:p>
        </w:tc>
      </w:tr>
      <w:tr>
        <w:tc>
          <w:tcPr>
            <w:tcW w:type="dxa" w:w="1465"/>
          </w:tcPr>
          <w:p>
            <w:r>
              <w:rPr>
                <w:rFonts w:ascii="Times New Roman" w:hAnsi="Times New Roman"/>
                <w:sz w:val="20"/>
              </w:rPr>
              <w:t>% No native token</w:t>
            </w:r>
          </w:p>
        </w:tc>
        <w:tc>
          <w:tcPr>
            <w:tcW w:type="dxa" w:w="1465"/>
          </w:tcPr>
          <w:p>
            <w:r>
              <w:rPr>
                <w:rFonts w:ascii="Times New Roman" w:hAnsi="Times New Roman"/>
                <w:sz w:val="20"/>
              </w:rPr>
              <w:t>~15%</w:t>
            </w:r>
          </w:p>
        </w:tc>
        <w:tc>
          <w:tcPr>
            <w:tcW w:type="dxa" w:w="1465"/>
          </w:tcPr>
          <w:p>
            <w:r>
              <w:rPr>
                <w:rFonts w:ascii="Times New Roman" w:hAnsi="Times New Roman"/>
                <w:sz w:val="20"/>
              </w:rPr>
              <w:t>**74.2%**</w:t>
            </w:r>
          </w:p>
        </w:tc>
        <w:tc>
          <w:tcPr>
            <w:tcW w:type="dxa" w:w="1465"/>
          </w:tcPr>
          <w:p>
            <w:r>
              <w:rPr>
                <w:rFonts w:ascii="Times New Roman" w:hAnsi="Times New Roman"/>
                <w:sz w:val="20"/>
              </w:rPr>
              <w:t>24.2%</w:t>
            </w:r>
          </w:p>
        </w:tc>
        <w:tc>
          <w:tcPr>
            <w:tcW w:type="dxa" w:w="1465"/>
          </w:tcPr>
          <w:p>
            <w:r>
              <w:rPr>
                <w:rFonts w:ascii="Times New Roman" w:hAnsi="Times New Roman"/>
                <w:sz w:val="20"/>
              </w:rPr>
              <w:t>55.8%</w:t>
            </w:r>
          </w:p>
        </w:tc>
        <w:tc>
          <w:tcPr>
            <w:tcW w:type="dxa" w:w="1465"/>
          </w:tcPr>
          <w:p>
            <w:r>
              <w:rPr>
                <w:rFonts w:ascii="Times New Roman" w:hAnsi="Times New Roman"/>
                <w:sz w:val="20"/>
              </w:rPr>
              <w:t>37.9%</w:t>
            </w:r>
          </w:p>
        </w:tc>
      </w:tr>
    </w:tbl>
    <w:p/>
    <w:p>
      <w:r>
        <w:rPr>
          <w:i/>
        </w:rPr>
        <w:t>On-chain governance = DAO with timelock + on-chain token governance. Fully decentralised = DECENTRALIZED level classification. Bold = highest value in row. DeFi on-chain: 13.3 % OTG + 3.8 % DAO timelock = 17.1 %.</w:t>
      </w:r>
    </w:p>
    <w:p>
      <w:r>
        <w:t>Three structural contrasts recur throughout the ecosystem analyses:</w:t>
      </w:r>
    </w:p>
    <w:p>
      <w:pPr>
        <w:pStyle w:val="ListNumber"/>
      </w:pPr>
      <w:r>
        <w:rPr>
          <w:b/>
        </w:rPr>
        <w:t>DeFi is the governance outlier</w:t>
      </w:r>
      <w:r>
        <w:t xml:space="preserve"> — highest on-chain governance prevalence (17.1 %) and the only ecosystem with a material fully-decentralised share (13.3 %).</w:t>
      </w:r>
    </w:p>
    <w:p>
      <w:pPr>
        <w:pStyle w:val="ListNumber"/>
      </w:pPr>
      <w:r>
        <w:rPr>
          <w:b/>
        </w:rPr>
        <w:t>Prediction markets are the centralisation extreme</w:t>
      </w:r>
      <w:r>
        <w:t xml:space="preserve"> — 71.0 % team-controlled, zero fully decentralised, the lowest multi-chain rate, and the highest no-token share (74.2 %).</w:t>
      </w:r>
    </w:p>
    <w:p>
      <w:pPr>
        <w:pStyle w:val="ListNumber"/>
      </w:pPr>
      <w:r>
        <w:rPr>
          <w:b/>
        </w:rPr>
        <w:t>AI DApps trade team control for Snapshot signalling</w:t>
      </w:r>
      <w:r>
        <w:t xml:space="preserve"> — only 1.5 % on-chain, yet 39.4 % Snapshot off-chain, signalling community orientation while retaining operational authority.</w:t>
      </w:r>
    </w:p>
    <w:p>
      <w:r>
        <w:t>Quantitative comparisons in the per-ecosystem sections below should be read in conjunction with this table.</w:t>
      </w:r>
    </w:p>
    <w:p>
      <w:pPr>
        <w:pStyle w:val="Heading3"/>
      </w:pPr>
      <w:r>
        <w:t>4.6.1 Decentralised Finance (DeFi)</w:t>
      </w:r>
    </w:p>
    <w:p>
      <w:r>
        <w:t>DeFi is the most economically significant sector: aggregate TVL of $112.7 billion (97.4 per cent of all DApp TVL) and total trading volume of $358.0 billion (68.5 per cent of dataset-wide volume). The 105 DeFi DApps in the loose universe span DEXes, lending protocols, derivatives, yield aggregators, bridge/router infrastructure, and DAO tooling — all sharing a common foundation of composable open-source smart contracts on EVM-compatible networks, where permissionless interoperability creates pressure toward governance formalisation as protocols accumulate value.</w:t>
      </w:r>
    </w:p>
    <w:p>
      <w:pPr>
        <w:pStyle w:val="Heading4"/>
      </w:pPr>
      <w:r>
        <w:t>Chain Distribution: Ethereum as Settlement Anchor, Solana for High-Throughput DeFi</w:t>
      </w:r>
    </w:p>
    <w:p>
      <w:r>
        <w:t>Table 4.4 presents the top-10 chains by DeFi DApp deployment count in the loose universe (N=105). Chains are counted per DApp per chain deployed; multi-chain DApps appear in each chain they occupy.</w:t>
      </w:r>
    </w:p>
    <w:p>
      <w:r>
        <w:rPr>
          <w:b/>
        </w:rPr>
        <w:t>Table 4.4 — Top-10 chains by DeFi DApp presence (loose universe, N=105)</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Chain</w:t>
            </w:r>
          </w:p>
        </w:tc>
        <w:tc>
          <w:tcPr>
            <w:tcW w:type="dxa" w:w="2929"/>
          </w:tcPr>
          <w:p>
            <w:r>
              <w:rPr>
                <w:rFonts w:ascii="Times New Roman" w:hAnsi="Times New Roman"/>
                <w:b/>
                <w:sz w:val="20"/>
              </w:rPr>
              <w:t>DeFi DApps</w:t>
            </w:r>
          </w:p>
        </w:tc>
        <w:tc>
          <w:tcPr>
            <w:tcW w:type="dxa" w:w="2929"/>
          </w:tcPr>
          <w:p>
            <w:r>
              <w:rPr>
                <w:rFonts w:ascii="Times New Roman" w:hAnsi="Times New Roman"/>
                <w:b/>
                <w:sz w:val="20"/>
              </w:rPr>
              <w:t>Share of universe</w:t>
            </w:r>
          </w:p>
        </w:tc>
      </w:tr>
      <w:tr>
        <w:tc>
          <w:tcPr>
            <w:tcW w:type="dxa" w:w="2929"/>
          </w:tcPr>
          <w:p>
            <w:r>
              <w:rPr>
                <w:rFonts w:ascii="Times New Roman" w:hAnsi="Times New Roman"/>
                <w:sz w:val="20"/>
              </w:rPr>
              <w:t>Ethereum</w:t>
            </w:r>
          </w:p>
        </w:tc>
        <w:tc>
          <w:tcPr>
            <w:tcW w:type="dxa" w:w="2929"/>
          </w:tcPr>
          <w:p>
            <w:r>
              <w:rPr>
                <w:rFonts w:ascii="Times New Roman" w:hAnsi="Times New Roman"/>
                <w:sz w:val="20"/>
              </w:rPr>
              <w:t>52</w:t>
            </w:r>
          </w:p>
        </w:tc>
        <w:tc>
          <w:tcPr>
            <w:tcW w:type="dxa" w:w="2929"/>
          </w:tcPr>
          <w:p>
            <w:r>
              <w:rPr>
                <w:rFonts w:ascii="Times New Roman" w:hAnsi="Times New Roman"/>
                <w:sz w:val="20"/>
              </w:rPr>
              <w:t>49.5%</w:t>
            </w:r>
          </w:p>
        </w:tc>
      </w:tr>
      <w:tr>
        <w:tc>
          <w:tcPr>
            <w:tcW w:type="dxa" w:w="2929"/>
          </w:tcPr>
          <w:p>
            <w:r>
              <w:rPr>
                <w:rFonts w:ascii="Times New Roman" w:hAnsi="Times New Roman"/>
                <w:sz w:val="20"/>
              </w:rPr>
              <w:t>Base</w:t>
            </w:r>
          </w:p>
        </w:tc>
        <w:tc>
          <w:tcPr>
            <w:tcW w:type="dxa" w:w="2929"/>
          </w:tcPr>
          <w:p>
            <w:r>
              <w:rPr>
                <w:rFonts w:ascii="Times New Roman" w:hAnsi="Times New Roman"/>
                <w:sz w:val="20"/>
              </w:rPr>
              <w:t>41</w:t>
            </w:r>
          </w:p>
        </w:tc>
        <w:tc>
          <w:tcPr>
            <w:tcW w:type="dxa" w:w="2929"/>
          </w:tcPr>
          <w:p>
            <w:r>
              <w:rPr>
                <w:rFonts w:ascii="Times New Roman" w:hAnsi="Times New Roman"/>
                <w:sz w:val="20"/>
              </w:rPr>
              <w:t>39.0%</w:t>
            </w:r>
          </w:p>
        </w:tc>
      </w:tr>
      <w:tr>
        <w:tc>
          <w:tcPr>
            <w:tcW w:type="dxa" w:w="2929"/>
          </w:tcPr>
          <w:p>
            <w:r>
              <w:rPr>
                <w:rFonts w:ascii="Times New Roman" w:hAnsi="Times New Roman"/>
                <w:sz w:val="20"/>
              </w:rPr>
              <w:t>BNB Chain</w:t>
            </w:r>
          </w:p>
        </w:tc>
        <w:tc>
          <w:tcPr>
            <w:tcW w:type="dxa" w:w="2929"/>
          </w:tcPr>
          <w:p>
            <w:r>
              <w:rPr>
                <w:rFonts w:ascii="Times New Roman" w:hAnsi="Times New Roman"/>
                <w:sz w:val="20"/>
              </w:rPr>
              <w:t>41</w:t>
            </w:r>
          </w:p>
        </w:tc>
        <w:tc>
          <w:tcPr>
            <w:tcW w:type="dxa" w:w="2929"/>
          </w:tcPr>
          <w:p>
            <w:r>
              <w:rPr>
                <w:rFonts w:ascii="Times New Roman" w:hAnsi="Times New Roman"/>
                <w:sz w:val="20"/>
              </w:rPr>
              <w:t>39.0%</w:t>
            </w:r>
          </w:p>
        </w:tc>
      </w:tr>
      <w:tr>
        <w:tc>
          <w:tcPr>
            <w:tcW w:type="dxa" w:w="2929"/>
          </w:tcPr>
          <w:p>
            <w:r>
              <w:rPr>
                <w:rFonts w:ascii="Times New Roman" w:hAnsi="Times New Roman"/>
                <w:sz w:val="20"/>
              </w:rPr>
              <w:t>Arbitrum</w:t>
            </w:r>
          </w:p>
        </w:tc>
        <w:tc>
          <w:tcPr>
            <w:tcW w:type="dxa" w:w="2929"/>
          </w:tcPr>
          <w:p>
            <w:r>
              <w:rPr>
                <w:rFonts w:ascii="Times New Roman" w:hAnsi="Times New Roman"/>
                <w:sz w:val="20"/>
              </w:rPr>
              <w:t>40</w:t>
            </w:r>
          </w:p>
        </w:tc>
        <w:tc>
          <w:tcPr>
            <w:tcW w:type="dxa" w:w="2929"/>
          </w:tcPr>
          <w:p>
            <w:r>
              <w:rPr>
                <w:rFonts w:ascii="Times New Roman" w:hAnsi="Times New Roman"/>
                <w:sz w:val="20"/>
              </w:rPr>
              <w:t>38.1%</w:t>
            </w:r>
          </w:p>
        </w:tc>
      </w:tr>
      <w:tr>
        <w:tc>
          <w:tcPr>
            <w:tcW w:type="dxa" w:w="2929"/>
          </w:tcPr>
          <w:p>
            <w:r>
              <w:rPr>
                <w:rFonts w:ascii="Times New Roman" w:hAnsi="Times New Roman"/>
                <w:sz w:val="20"/>
              </w:rPr>
              <w:t>Polygon</w:t>
            </w:r>
          </w:p>
        </w:tc>
        <w:tc>
          <w:tcPr>
            <w:tcW w:type="dxa" w:w="2929"/>
          </w:tcPr>
          <w:p>
            <w:r>
              <w:rPr>
                <w:rFonts w:ascii="Times New Roman" w:hAnsi="Times New Roman"/>
                <w:sz w:val="20"/>
              </w:rPr>
              <w:t>34</w:t>
            </w:r>
          </w:p>
        </w:tc>
        <w:tc>
          <w:tcPr>
            <w:tcW w:type="dxa" w:w="2929"/>
          </w:tcPr>
          <w:p>
            <w:r>
              <w:rPr>
                <w:rFonts w:ascii="Times New Roman" w:hAnsi="Times New Roman"/>
                <w:sz w:val="20"/>
              </w:rPr>
              <w:t>32.4%</w:t>
            </w:r>
          </w:p>
        </w:tc>
      </w:tr>
      <w:tr>
        <w:tc>
          <w:tcPr>
            <w:tcW w:type="dxa" w:w="2929"/>
          </w:tcPr>
          <w:p>
            <w:r>
              <w:rPr>
                <w:rFonts w:ascii="Times New Roman" w:hAnsi="Times New Roman"/>
                <w:sz w:val="20"/>
              </w:rPr>
              <w:t>Optimism</w:t>
            </w:r>
          </w:p>
        </w:tc>
        <w:tc>
          <w:tcPr>
            <w:tcW w:type="dxa" w:w="2929"/>
          </w:tcPr>
          <w:p>
            <w:r>
              <w:rPr>
                <w:rFonts w:ascii="Times New Roman" w:hAnsi="Times New Roman"/>
                <w:sz w:val="20"/>
              </w:rPr>
              <w:t>32</w:t>
            </w:r>
          </w:p>
        </w:tc>
        <w:tc>
          <w:tcPr>
            <w:tcW w:type="dxa" w:w="2929"/>
          </w:tcPr>
          <w:p>
            <w:r>
              <w:rPr>
                <w:rFonts w:ascii="Times New Roman" w:hAnsi="Times New Roman"/>
                <w:sz w:val="20"/>
              </w:rPr>
              <w:t>30.5%</w:t>
            </w:r>
          </w:p>
        </w:tc>
      </w:tr>
      <w:tr>
        <w:tc>
          <w:tcPr>
            <w:tcW w:type="dxa" w:w="2929"/>
          </w:tcPr>
          <w:p>
            <w:r>
              <w:rPr>
                <w:rFonts w:ascii="Times New Roman" w:hAnsi="Times New Roman"/>
                <w:sz w:val="20"/>
              </w:rPr>
              <w:t>Avalanche</w:t>
            </w:r>
          </w:p>
        </w:tc>
        <w:tc>
          <w:tcPr>
            <w:tcW w:type="dxa" w:w="2929"/>
          </w:tcPr>
          <w:p>
            <w:r>
              <w:rPr>
                <w:rFonts w:ascii="Times New Roman" w:hAnsi="Times New Roman"/>
                <w:sz w:val="20"/>
              </w:rPr>
              <w:t>26</w:t>
            </w:r>
          </w:p>
        </w:tc>
        <w:tc>
          <w:tcPr>
            <w:tcW w:type="dxa" w:w="2929"/>
          </w:tcPr>
          <w:p>
            <w:r>
              <w:rPr>
                <w:rFonts w:ascii="Times New Roman" w:hAnsi="Times New Roman"/>
                <w:sz w:val="20"/>
              </w:rPr>
              <w:t>24.8%</w:t>
            </w:r>
          </w:p>
        </w:tc>
      </w:tr>
      <w:tr>
        <w:tc>
          <w:tcPr>
            <w:tcW w:type="dxa" w:w="2929"/>
          </w:tcPr>
          <w:p>
            <w:r>
              <w:rPr>
                <w:rFonts w:ascii="Times New Roman" w:hAnsi="Times New Roman"/>
                <w:sz w:val="20"/>
              </w:rPr>
              <w:t>zkSync Era</w:t>
            </w:r>
          </w:p>
        </w:tc>
        <w:tc>
          <w:tcPr>
            <w:tcW w:type="dxa" w:w="2929"/>
          </w:tcPr>
          <w:p>
            <w:r>
              <w:rPr>
                <w:rFonts w:ascii="Times New Roman" w:hAnsi="Times New Roman"/>
                <w:sz w:val="20"/>
              </w:rPr>
              <w:t>23</w:t>
            </w:r>
          </w:p>
        </w:tc>
        <w:tc>
          <w:tcPr>
            <w:tcW w:type="dxa" w:w="2929"/>
          </w:tcPr>
          <w:p>
            <w:r>
              <w:rPr>
                <w:rFonts w:ascii="Times New Roman" w:hAnsi="Times New Roman"/>
                <w:sz w:val="20"/>
              </w:rPr>
              <w:t>21.9%</w:t>
            </w:r>
          </w:p>
        </w:tc>
      </w:tr>
      <w:tr>
        <w:tc>
          <w:tcPr>
            <w:tcW w:type="dxa" w:w="2929"/>
          </w:tcPr>
          <w:p>
            <w:r>
              <w:rPr>
                <w:rFonts w:ascii="Times New Roman" w:hAnsi="Times New Roman"/>
                <w:sz w:val="20"/>
              </w:rPr>
              <w:t>Linea</w:t>
            </w:r>
          </w:p>
        </w:tc>
        <w:tc>
          <w:tcPr>
            <w:tcW w:type="dxa" w:w="2929"/>
          </w:tcPr>
          <w:p>
            <w:r>
              <w:rPr>
                <w:rFonts w:ascii="Times New Roman" w:hAnsi="Times New Roman"/>
                <w:sz w:val="20"/>
              </w:rPr>
              <w:t>21</w:t>
            </w:r>
          </w:p>
        </w:tc>
        <w:tc>
          <w:tcPr>
            <w:tcW w:type="dxa" w:w="2929"/>
          </w:tcPr>
          <w:p>
            <w:r>
              <w:rPr>
                <w:rFonts w:ascii="Times New Roman" w:hAnsi="Times New Roman"/>
                <w:sz w:val="20"/>
              </w:rPr>
              <w:t>20.0%</w:t>
            </w:r>
          </w:p>
        </w:tc>
      </w:tr>
      <w:tr>
        <w:tc>
          <w:tcPr>
            <w:tcW w:type="dxa" w:w="2929"/>
          </w:tcPr>
          <w:p>
            <w:r>
              <w:rPr>
                <w:rFonts w:ascii="Times New Roman" w:hAnsi="Times New Roman"/>
                <w:sz w:val="20"/>
              </w:rPr>
              <w:t>Solana</w:t>
            </w:r>
          </w:p>
        </w:tc>
        <w:tc>
          <w:tcPr>
            <w:tcW w:type="dxa" w:w="2929"/>
          </w:tcPr>
          <w:p>
            <w:r>
              <w:rPr>
                <w:rFonts w:ascii="Times New Roman" w:hAnsi="Times New Roman"/>
                <w:sz w:val="20"/>
              </w:rPr>
              <w:t>20</w:t>
            </w:r>
          </w:p>
        </w:tc>
        <w:tc>
          <w:tcPr>
            <w:tcW w:type="dxa" w:w="2929"/>
          </w:tcPr>
          <w:p>
            <w:r>
              <w:rPr>
                <w:rFonts w:ascii="Times New Roman" w:hAnsi="Times New Roman"/>
                <w:sz w:val="20"/>
              </w:rPr>
              <w:t>19.0%</w:t>
            </w:r>
          </w:p>
        </w:tc>
      </w:tr>
    </w:tbl>
    <w:p/>
    <w:p>
      <w:r>
        <w:rPr>
          <w:i/>
        </w:rPr>
        <w:t>Note: Percentages sum to more than 100% because multi-chain DApps are counted in each chain they deploy on.</w:t>
      </w:r>
    </w:p>
    <w:p>
      <w:r>
        <w:t>Ethereum's primacy reflects its role as the canonical smart-contract environment — it serves as collateral, liquidity, and trust anchor for a large share of DeFi protocols even when execution migrates to Layer-2 rollups. Solana's entry at 19.0 per cent is driven primarily by high-throughput DEX aggregators (Jupiter Exchange, 3.0 million users) and launchpad protocols (Pump.fun, 7.1 million users) whose UX requirements favour sub-second finality. As noted in §4.4.2, DeFi has the highest multi-chain adoption rate across all sectors (55.2 per cent), confirming that DeFi protocols migrate toward capital and user density wherever it appears. See also Figure 4.9 for the chain distribution in the strict sample.</w:t>
      </w:r>
    </w:p>
    <w:p>
      <w:pPr>
        <w:pStyle w:val="Heading4"/>
      </w:pPr>
      <w:r>
        <w:t>Key DApps: Spanning Launchpads, Aggregators, and Yield Markets</w:t>
      </w:r>
    </w:p>
    <w:p>
      <w:r>
        <w:t>Table 4.5 presents the top DeFi DApps by active users in the loose universe, illustrating the range of protocol types operating at scale.</w:t>
      </w:r>
    </w:p>
    <w:p>
      <w:r>
        <w:rPr>
          <w:b/>
        </w:rPr>
        <w:t>Table 4.5 — Top DeFi DApps by active users (loose universe)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Times New Roman" w:hAnsi="Times New Roman"/>
                <w:b/>
                <w:sz w:val="20"/>
              </w:rPr>
              <w:t>DApp</w:t>
            </w:r>
          </w:p>
        </w:tc>
        <w:tc>
          <w:tcPr>
            <w:tcW w:type="dxa" w:w="1465"/>
          </w:tcPr>
          <w:p>
            <w:r>
              <w:rPr>
                <w:rFonts w:ascii="Times New Roman" w:hAnsi="Times New Roman"/>
                <w:b/>
                <w:sz w:val="20"/>
              </w:rPr>
              <w:t>Users</w:t>
            </w:r>
          </w:p>
        </w:tc>
        <w:tc>
          <w:tcPr>
            <w:tcW w:type="dxa" w:w="1465"/>
          </w:tcPr>
          <w:p>
            <w:r>
              <w:rPr>
                <w:rFonts w:ascii="Times New Roman" w:hAnsi="Times New Roman"/>
                <w:b/>
                <w:sz w:val="20"/>
              </w:rPr>
              <w:t>Volume</w:t>
            </w:r>
          </w:p>
        </w:tc>
        <w:tc>
          <w:tcPr>
            <w:tcW w:type="dxa" w:w="1465"/>
          </w:tcPr>
          <w:p>
            <w:r>
              <w:rPr>
                <w:rFonts w:ascii="Times New Roman" w:hAnsi="Times New Roman"/>
                <w:b/>
                <w:sz w:val="20"/>
              </w:rPr>
              <w:t>TVL</w:t>
            </w:r>
          </w:p>
        </w:tc>
        <w:tc>
          <w:tcPr>
            <w:tcW w:type="dxa" w:w="1465"/>
          </w:tcPr>
          <w:p>
            <w:r>
              <w:rPr>
                <w:rFonts w:ascii="Times New Roman" w:hAnsi="Times New Roman"/>
                <w:b/>
                <w:sz w:val="20"/>
              </w:rPr>
              <w:t>Governance</w:t>
            </w:r>
          </w:p>
        </w:tc>
        <w:tc>
          <w:tcPr>
            <w:tcW w:type="dxa" w:w="1465"/>
          </w:tcPr>
          <w:p>
            <w:r>
              <w:rPr>
                <w:rFonts w:ascii="Times New Roman" w:hAnsi="Times New Roman"/>
                <w:b/>
                <w:sz w:val="20"/>
              </w:rPr>
              <w:t>Token</w:t>
            </w:r>
          </w:p>
        </w:tc>
      </w:tr>
      <w:tr>
        <w:tc>
          <w:tcPr>
            <w:tcW w:type="dxa" w:w="1465"/>
          </w:tcPr>
          <w:p>
            <w:r>
              <w:rPr>
                <w:rFonts w:ascii="Times New Roman" w:hAnsi="Times New Roman"/>
                <w:sz w:val="20"/>
              </w:rPr>
              <w:t>Pump.fun</w:t>
            </w:r>
          </w:p>
        </w:tc>
        <w:tc>
          <w:tcPr>
            <w:tcW w:type="dxa" w:w="1465"/>
          </w:tcPr>
          <w:p>
            <w:r>
              <w:rPr>
                <w:rFonts w:ascii="Times New Roman" w:hAnsi="Times New Roman"/>
                <w:sz w:val="20"/>
              </w:rPr>
              <w:t>7,076,435</w:t>
            </w:r>
          </w:p>
        </w:tc>
        <w:tc>
          <w:tcPr>
            <w:tcW w:type="dxa" w:w="1465"/>
          </w:tcPr>
          <w:p>
            <w:r>
              <w:rPr>
                <w:rFonts w:ascii="Times New Roman" w:hAnsi="Times New Roman"/>
                <w:sz w:val="20"/>
              </w:rPr>
              <w:t>$900.1M</w:t>
            </w:r>
          </w:p>
        </w:tc>
        <w:tc>
          <w:tcPr>
            <w:tcW w:type="dxa" w:w="1465"/>
          </w:tcPr>
          <w:p>
            <w:r>
              <w:rPr>
                <w:rFonts w:ascii="Times New Roman" w:hAnsi="Times New Roman"/>
                <w:sz w:val="20"/>
              </w:rPr>
              <w:t>—</w:t>
            </w:r>
          </w:p>
        </w:tc>
        <w:tc>
          <w:tcPr>
            <w:tcW w:type="dxa" w:w="1465"/>
          </w:tcPr>
          <w:p>
            <w:r>
              <w:rPr>
                <w:rFonts w:ascii="Times New Roman" w:hAnsi="Times New Roman"/>
                <w:sz w:val="20"/>
              </w:rPr>
              <w:t>TEAM\_CONTROLLED</w:t>
            </w:r>
          </w:p>
        </w:tc>
        <w:tc>
          <w:tcPr>
            <w:tcW w:type="dxa" w:w="1465"/>
          </w:tcPr>
          <w:p>
            <w:r>
              <w:rPr>
                <w:rFonts w:ascii="Times New Roman" w:hAnsi="Times New Roman"/>
                <w:sz w:val="20"/>
              </w:rPr>
              <w:t>UTILITY</w:t>
            </w:r>
          </w:p>
        </w:tc>
      </w:tr>
      <w:tr>
        <w:tc>
          <w:tcPr>
            <w:tcW w:type="dxa" w:w="1465"/>
          </w:tcPr>
          <w:p>
            <w:r>
              <w:rPr>
                <w:rFonts w:ascii="Times New Roman" w:hAnsi="Times New Roman"/>
                <w:sz w:val="20"/>
              </w:rPr>
              <w:t>Jupiter Exchange</w:t>
            </w:r>
          </w:p>
        </w:tc>
        <w:tc>
          <w:tcPr>
            <w:tcW w:type="dxa" w:w="1465"/>
          </w:tcPr>
          <w:p>
            <w:r>
              <w:rPr>
                <w:rFonts w:ascii="Times New Roman" w:hAnsi="Times New Roman"/>
                <w:sz w:val="20"/>
              </w:rPr>
              <w:t>3,044,937</w:t>
            </w:r>
          </w:p>
        </w:tc>
        <w:tc>
          <w:tcPr>
            <w:tcW w:type="dxa" w:w="1465"/>
          </w:tcPr>
          <w:p>
            <w:r>
              <w:rPr>
                <w:rFonts w:ascii="Times New Roman" w:hAnsi="Times New Roman"/>
                <w:sz w:val="20"/>
              </w:rPr>
              <w:t>$373.7M</w:t>
            </w:r>
          </w:p>
        </w:tc>
        <w:tc>
          <w:tcPr>
            <w:tcW w:type="dxa" w:w="1465"/>
          </w:tcPr>
          <w:p>
            <w:r>
              <w:rPr>
                <w:rFonts w:ascii="Times New Roman" w:hAnsi="Times New Roman"/>
                <w:sz w:val="20"/>
              </w:rPr>
              <w:t>—</w:t>
            </w:r>
          </w:p>
        </w:tc>
        <w:tc>
          <w:tcPr>
            <w:tcW w:type="dxa" w:w="1465"/>
          </w:tcPr>
          <w:p>
            <w:r>
              <w:rPr>
                <w:rFonts w:ascii="Times New Roman" w:hAnsi="Times New Roman"/>
                <w:sz w:val="20"/>
              </w:rPr>
              <w:t>ONCHAIN\_TOKEN\_GOVERNANCE</w:t>
            </w:r>
          </w:p>
        </w:tc>
        <w:tc>
          <w:tcPr>
            <w:tcW w:type="dxa" w:w="1465"/>
          </w:tcPr>
          <w:p>
            <w:r>
              <w:rPr>
                <w:rFonts w:ascii="Times New Roman" w:hAnsi="Times New Roman"/>
                <w:sz w:val="20"/>
              </w:rPr>
              <w:t>GOVERNANCE</w:t>
            </w:r>
          </w:p>
        </w:tc>
      </w:tr>
      <w:tr>
        <w:tc>
          <w:tcPr>
            <w:tcW w:type="dxa" w:w="1465"/>
          </w:tcPr>
          <w:p>
            <w:r>
              <w:rPr>
                <w:rFonts w:ascii="Times New Roman" w:hAnsi="Times New Roman"/>
                <w:sz w:val="20"/>
              </w:rPr>
              <w:t>HOT Protocol</w:t>
            </w:r>
          </w:p>
        </w:tc>
        <w:tc>
          <w:tcPr>
            <w:tcW w:type="dxa" w:w="1465"/>
          </w:tcPr>
          <w:p>
            <w:r>
              <w:rPr>
                <w:rFonts w:ascii="Times New Roman" w:hAnsi="Times New Roman"/>
                <w:sz w:val="20"/>
              </w:rPr>
              <w:t>2,080,513</w:t>
            </w:r>
          </w:p>
        </w:tc>
        <w:tc>
          <w:tcPr>
            <w:tcW w:type="dxa" w:w="1465"/>
          </w:tcPr>
          <w:p>
            <w:r>
              <w:rPr>
                <w:rFonts w:ascii="Times New Roman" w:hAnsi="Times New Roman"/>
                <w:sz w:val="20"/>
              </w:rPr>
              <w:t>$34.2M</w:t>
            </w:r>
          </w:p>
        </w:tc>
        <w:tc>
          <w:tcPr>
            <w:tcW w:type="dxa" w:w="1465"/>
          </w:tcPr>
          <w:p>
            <w:r>
              <w:rPr>
                <w:rFonts w:ascii="Times New Roman" w:hAnsi="Times New Roman"/>
                <w:sz w:val="20"/>
              </w:rPr>
              <w:t>—</w:t>
            </w:r>
          </w:p>
        </w:tc>
        <w:tc>
          <w:tcPr>
            <w:tcW w:type="dxa" w:w="1465"/>
          </w:tcPr>
          <w:p>
            <w:r>
              <w:rPr>
                <w:rFonts w:ascii="Times New Roman" w:hAnsi="Times New Roman"/>
                <w:sz w:val="20"/>
              </w:rPr>
              <w:t>HYBRID</w:t>
            </w:r>
          </w:p>
        </w:tc>
        <w:tc>
          <w:tcPr>
            <w:tcW w:type="dxa" w:w="1465"/>
          </w:tcPr>
          <w:p>
            <w:r>
              <w:rPr>
                <w:rFonts w:ascii="Times New Roman" w:hAnsi="Times New Roman"/>
                <w:sz w:val="20"/>
              </w:rPr>
              <w:t>UTILITY</w:t>
            </w:r>
          </w:p>
        </w:tc>
      </w:tr>
      <w:tr>
        <w:tc>
          <w:tcPr>
            <w:tcW w:type="dxa" w:w="1465"/>
          </w:tcPr>
          <w:p>
            <w:r>
              <w:rPr>
                <w:rFonts w:ascii="Times New Roman" w:hAnsi="Times New Roman"/>
                <w:sz w:val="20"/>
              </w:rPr>
              <w:t>PancakeSwap V3</w:t>
            </w:r>
          </w:p>
        </w:tc>
        <w:tc>
          <w:tcPr>
            <w:tcW w:type="dxa" w:w="1465"/>
          </w:tcPr>
          <w:p>
            <w:r>
              <w:rPr>
                <w:rFonts w:ascii="Times New Roman" w:hAnsi="Times New Roman"/>
                <w:sz w:val="20"/>
              </w:rPr>
              <w:t>627,839</w:t>
            </w:r>
          </w:p>
        </w:tc>
        <w:tc>
          <w:tcPr>
            <w:tcW w:type="dxa" w:w="1465"/>
          </w:tcPr>
          <w:p>
            <w:r>
              <w:rPr>
                <w:rFonts w:ascii="Times New Roman" w:hAnsi="Times New Roman"/>
                <w:sz w:val="20"/>
              </w:rPr>
              <w:t>$81.4B</w:t>
            </w:r>
          </w:p>
        </w:tc>
        <w:tc>
          <w:tcPr>
            <w:tcW w:type="dxa" w:w="1465"/>
          </w:tcPr>
          <w:p>
            <w:r>
              <w:rPr>
                <w:rFonts w:ascii="Times New Roman" w:hAnsi="Times New Roman"/>
                <w:sz w:val="20"/>
              </w:rPr>
              <w:t>—</w:t>
            </w:r>
          </w:p>
        </w:tc>
        <w:tc>
          <w:tcPr>
            <w:tcW w:type="dxa" w:w="1465"/>
          </w:tcPr>
          <w:p>
            <w:r>
              <w:rPr>
                <w:rFonts w:ascii="Times New Roman" w:hAnsi="Times New Roman"/>
                <w:sz w:val="20"/>
              </w:rPr>
              <w:t>SNAPSHOT\_OFFCHAIN</w:t>
            </w:r>
          </w:p>
        </w:tc>
        <w:tc>
          <w:tcPr>
            <w:tcW w:type="dxa" w:w="1465"/>
          </w:tcPr>
          <w:p>
            <w:r>
              <w:rPr>
                <w:rFonts w:ascii="Times New Roman" w:hAnsi="Times New Roman"/>
                <w:sz w:val="20"/>
              </w:rPr>
              <w:t>UTILITY</w:t>
            </w:r>
          </w:p>
        </w:tc>
      </w:tr>
      <w:tr>
        <w:tc>
          <w:tcPr>
            <w:tcW w:type="dxa" w:w="1465"/>
          </w:tcPr>
          <w:p>
            <w:r>
              <w:rPr>
                <w:rFonts w:ascii="Times New Roman" w:hAnsi="Times New Roman"/>
                <w:sz w:val="20"/>
              </w:rPr>
              <w:t>Jumper Exchange</w:t>
            </w:r>
          </w:p>
        </w:tc>
        <w:tc>
          <w:tcPr>
            <w:tcW w:type="dxa" w:w="1465"/>
          </w:tcPr>
          <w:p>
            <w:r>
              <w:rPr>
                <w:rFonts w:ascii="Times New Roman" w:hAnsi="Times New Roman"/>
                <w:sz w:val="20"/>
              </w:rPr>
              <w:t>519,380</w:t>
            </w:r>
          </w:p>
        </w:tc>
        <w:tc>
          <w:tcPr>
            <w:tcW w:type="dxa" w:w="1465"/>
          </w:tcPr>
          <w:p>
            <w:r>
              <w:rPr>
                <w:rFonts w:ascii="Times New Roman" w:hAnsi="Times New Roman"/>
                <w:sz w:val="20"/>
              </w:rPr>
              <w:t>$3.5B</w:t>
            </w:r>
          </w:p>
        </w:tc>
        <w:tc>
          <w:tcPr>
            <w:tcW w:type="dxa" w:w="1465"/>
          </w:tcPr>
          <w:p>
            <w:r>
              <w:rPr>
                <w:rFonts w:ascii="Times New Roman" w:hAnsi="Times New Roman"/>
                <w:sz w:val="20"/>
              </w:rPr>
              <w:t>—</w:t>
            </w:r>
          </w:p>
        </w:tc>
        <w:tc>
          <w:tcPr>
            <w:tcW w:type="dxa" w:w="1465"/>
          </w:tcPr>
          <w:p>
            <w:r>
              <w:rPr>
                <w:rFonts w:ascii="Times New Roman" w:hAnsi="Times New Roman"/>
                <w:sz w:val="20"/>
              </w:rPr>
              <w:t>TEAM\_CONTROLLED</w:t>
            </w:r>
          </w:p>
        </w:tc>
        <w:tc>
          <w:tcPr>
            <w:tcW w:type="dxa" w:w="1465"/>
          </w:tcPr>
          <w:p>
            <w:r>
              <w:rPr>
                <w:rFonts w:ascii="Times New Roman" w:hAnsi="Times New Roman"/>
                <w:sz w:val="20"/>
              </w:rPr>
              <w:t>—</w:t>
            </w:r>
          </w:p>
        </w:tc>
      </w:tr>
      <w:tr>
        <w:tc>
          <w:tcPr>
            <w:tcW w:type="dxa" w:w="1465"/>
          </w:tcPr>
          <w:p>
            <w:r>
              <w:rPr>
                <w:rFonts w:ascii="Times New Roman" w:hAnsi="Times New Roman"/>
                <w:sz w:val="20"/>
              </w:rPr>
              <w:t>1inch Network</w:t>
            </w:r>
          </w:p>
        </w:tc>
        <w:tc>
          <w:tcPr>
            <w:tcW w:type="dxa" w:w="1465"/>
          </w:tcPr>
          <w:p>
            <w:r>
              <w:rPr>
                <w:rFonts w:ascii="Times New Roman" w:hAnsi="Times New Roman"/>
                <w:sz w:val="20"/>
              </w:rPr>
              <w:t>363,704</w:t>
            </w:r>
          </w:p>
        </w:tc>
        <w:tc>
          <w:tcPr>
            <w:tcW w:type="dxa" w:w="1465"/>
          </w:tcPr>
          <w:p>
            <w:r>
              <w:rPr>
                <w:rFonts w:ascii="Times New Roman" w:hAnsi="Times New Roman"/>
                <w:sz w:val="20"/>
              </w:rPr>
              <w:t>$12.8B</w:t>
            </w:r>
          </w:p>
        </w:tc>
        <w:tc>
          <w:tcPr>
            <w:tcW w:type="dxa" w:w="1465"/>
          </w:tcPr>
          <w:p>
            <w:r>
              <w:rPr>
                <w:rFonts w:ascii="Times New Roman" w:hAnsi="Times New Roman"/>
                <w:sz w:val="20"/>
              </w:rPr>
              <w:t>—</w:t>
            </w:r>
          </w:p>
        </w:tc>
        <w:tc>
          <w:tcPr>
            <w:tcW w:type="dxa" w:w="1465"/>
          </w:tcPr>
          <w:p>
            <w:r>
              <w:rPr>
                <w:rFonts w:ascii="Times New Roman" w:hAnsi="Times New Roman"/>
                <w:sz w:val="20"/>
              </w:rPr>
              <w:t>MULTISIG\_WITH\_COMMUNITY\_INPUT</w:t>
            </w:r>
          </w:p>
        </w:tc>
        <w:tc>
          <w:tcPr>
            <w:tcW w:type="dxa" w:w="1465"/>
          </w:tcPr>
          <w:p>
            <w:r>
              <w:rPr>
                <w:rFonts w:ascii="Times New Roman" w:hAnsi="Times New Roman"/>
                <w:sz w:val="20"/>
              </w:rPr>
              <w:t>UTILITY</w:t>
            </w:r>
          </w:p>
        </w:tc>
      </w:tr>
      <w:tr>
        <w:tc>
          <w:tcPr>
            <w:tcW w:type="dxa" w:w="1465"/>
          </w:tcPr>
          <w:p>
            <w:r>
              <w:rPr>
                <w:rFonts w:ascii="Times New Roman" w:hAnsi="Times New Roman"/>
                <w:sz w:val="20"/>
              </w:rPr>
              <w:t>Pendle</w:t>
            </w:r>
          </w:p>
        </w:tc>
        <w:tc>
          <w:tcPr>
            <w:tcW w:type="dxa" w:w="1465"/>
          </w:tcPr>
          <w:p>
            <w:r>
              <w:rPr>
                <w:rFonts w:ascii="Times New Roman" w:hAnsi="Times New Roman"/>
                <w:sz w:val="20"/>
              </w:rPr>
              <w:t>270,925</w:t>
            </w:r>
          </w:p>
        </w:tc>
        <w:tc>
          <w:tcPr>
            <w:tcW w:type="dxa" w:w="1465"/>
          </w:tcPr>
          <w:p>
            <w:r>
              <w:rPr>
                <w:rFonts w:ascii="Times New Roman" w:hAnsi="Times New Roman"/>
                <w:sz w:val="20"/>
              </w:rPr>
              <w:t>$6.9B</w:t>
            </w:r>
          </w:p>
        </w:tc>
        <w:tc>
          <w:tcPr>
            <w:tcW w:type="dxa" w:w="1465"/>
          </w:tcPr>
          <w:p>
            <w:r>
              <w:rPr>
                <w:rFonts w:ascii="Times New Roman" w:hAnsi="Times New Roman"/>
                <w:sz w:val="20"/>
              </w:rPr>
              <w:t>$9.6B</w:t>
            </w:r>
          </w:p>
        </w:tc>
        <w:tc>
          <w:tcPr>
            <w:tcW w:type="dxa" w:w="1465"/>
          </w:tcPr>
          <w:p>
            <w:r>
              <w:rPr>
                <w:rFonts w:ascii="Times New Roman" w:hAnsi="Times New Roman"/>
                <w:sz w:val="20"/>
              </w:rPr>
              <w:t>ONCHAIN\_TOKEN\_GOVERNANCE</w:t>
            </w:r>
          </w:p>
        </w:tc>
        <w:tc>
          <w:tcPr>
            <w:tcW w:type="dxa" w:w="1465"/>
          </w:tcPr>
          <w:p>
            <w:r>
              <w:rPr>
                <w:rFonts w:ascii="Times New Roman" w:hAnsi="Times New Roman"/>
                <w:sz w:val="20"/>
              </w:rPr>
              <w:t>GOVERNANCE</w:t>
            </w:r>
          </w:p>
        </w:tc>
      </w:tr>
      <w:tr>
        <w:tc>
          <w:tcPr>
            <w:tcW w:type="dxa" w:w="1465"/>
          </w:tcPr>
          <w:p>
            <w:r>
              <w:rPr>
                <w:rFonts w:ascii="Times New Roman" w:hAnsi="Times New Roman"/>
                <w:sz w:val="20"/>
              </w:rPr>
              <w:t>Aave V3</w:t>
            </w:r>
          </w:p>
        </w:tc>
        <w:tc>
          <w:tcPr>
            <w:tcW w:type="dxa" w:w="1465"/>
          </w:tcPr>
          <w:p>
            <w:r>
              <w:rPr>
                <w:rFonts w:ascii="Times New Roman" w:hAnsi="Times New Roman"/>
                <w:sz w:val="20"/>
              </w:rPr>
              <w:t>—</w:t>
            </w:r>
          </w:p>
        </w:tc>
        <w:tc>
          <w:tcPr>
            <w:tcW w:type="dxa" w:w="1465"/>
          </w:tcPr>
          <w:p>
            <w:r>
              <w:rPr>
                <w:rFonts w:ascii="Times New Roman" w:hAnsi="Times New Roman"/>
                <w:sz w:val="20"/>
              </w:rPr>
              <w:t>—</w:t>
            </w:r>
          </w:p>
        </w:tc>
        <w:tc>
          <w:tcPr>
            <w:tcW w:type="dxa" w:w="1465"/>
          </w:tcPr>
          <w:p>
            <w:r>
              <w:rPr>
                <w:rFonts w:ascii="Times New Roman" w:hAnsi="Times New Roman"/>
                <w:sz w:val="20"/>
              </w:rPr>
              <w:t>—</w:t>
            </w:r>
          </w:p>
        </w:tc>
        <w:tc>
          <w:tcPr>
            <w:tcW w:type="dxa" w:w="1465"/>
          </w:tcPr>
          <w:p>
            <w:r>
              <w:rPr>
                <w:rFonts w:ascii="Times New Roman" w:hAnsi="Times New Roman"/>
                <w:sz w:val="20"/>
              </w:rPr>
              <w:t>ONCHAIN\_TOKEN\_GOVERNANCE</w:t>
            </w:r>
          </w:p>
        </w:tc>
        <w:tc>
          <w:tcPr>
            <w:tcW w:type="dxa" w:w="1465"/>
          </w:tcPr>
          <w:p>
            <w:r>
              <w:rPr>
                <w:rFonts w:ascii="Times New Roman" w:hAnsi="Times New Roman"/>
                <w:sz w:val="20"/>
              </w:rPr>
              <w:t>GOVERNANCE</w:t>
            </w:r>
          </w:p>
        </w:tc>
      </w:tr>
    </w:tbl>
    <w:p/>
    <w:p>
      <w:pPr>
        <w:pStyle w:val="Heading4"/>
      </w:pPr>
      <w:r>
        <w:t>Governance Maturity: Highest On-Chain Rate Across All Ecosystems</w:t>
      </w:r>
    </w:p>
    <w:p>
      <w:r>
        <w:t>Among the 36 strict-sample DeFi DApps, governance is substantially more mature than the cross-ecosystem average. On-chain mechanisms (DAO with timelock and on-chain token governance) account for approximately 30 per cent of strict-sample DeFi protocols, compared with 19.1 per cent across the full strict sample. Table 4.6 presents the full governance distribution across the loose DeFi universe.</w:t>
      </w:r>
    </w:p>
    <w:p>
      <w:r>
        <w:rPr>
          <w:b/>
        </w:rPr>
        <w:t>Table 4.6 — DeFi governance distribution (loose universe, N=105)</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Governance type</w:t>
            </w:r>
          </w:p>
        </w:tc>
        <w:tc>
          <w:tcPr>
            <w:tcW w:type="dxa" w:w="2929"/>
          </w:tcPr>
          <w:p>
            <w:r>
              <w:rPr>
                <w:rFonts w:ascii="Times New Roman" w:hAnsi="Times New Roman"/>
                <w:b/>
                <w:sz w:val="20"/>
              </w:rPr>
              <w:t>Count</w:t>
            </w:r>
          </w:p>
        </w:tc>
        <w:tc>
          <w:tcPr>
            <w:tcW w:type="dxa" w:w="2929"/>
          </w:tcPr>
          <w:p>
            <w:r>
              <w:rPr>
                <w:rFonts w:ascii="Times New Roman" w:hAnsi="Times New Roman"/>
                <w:b/>
                <w:sz w:val="20"/>
              </w:rPr>
              <w:t>Share</w:t>
            </w:r>
          </w:p>
        </w:tc>
      </w:tr>
      <w:tr>
        <w:tc>
          <w:tcPr>
            <w:tcW w:type="dxa" w:w="2929"/>
          </w:tcPr>
          <w:p>
            <w:r>
              <w:rPr>
                <w:rFonts w:ascii="Times New Roman" w:hAnsi="Times New Roman"/>
                <w:sz w:val="20"/>
              </w:rPr>
              <w:t>TEAM\_CONTROLLED</w:t>
            </w:r>
          </w:p>
        </w:tc>
        <w:tc>
          <w:tcPr>
            <w:tcW w:type="dxa" w:w="2929"/>
          </w:tcPr>
          <w:p>
            <w:r>
              <w:rPr>
                <w:rFonts w:ascii="Times New Roman" w:hAnsi="Times New Roman"/>
                <w:sz w:val="20"/>
              </w:rPr>
              <w:t>40</w:t>
            </w:r>
          </w:p>
        </w:tc>
        <w:tc>
          <w:tcPr>
            <w:tcW w:type="dxa" w:w="2929"/>
          </w:tcPr>
          <w:p>
            <w:r>
              <w:rPr>
                <w:rFonts w:ascii="Times New Roman" w:hAnsi="Times New Roman"/>
                <w:sz w:val="20"/>
              </w:rPr>
              <w:t>38.1%</w:t>
            </w:r>
          </w:p>
        </w:tc>
      </w:tr>
      <w:tr>
        <w:tc>
          <w:tcPr>
            <w:tcW w:type="dxa" w:w="2929"/>
          </w:tcPr>
          <w:p>
            <w:r>
              <w:rPr>
                <w:rFonts w:ascii="Times New Roman" w:hAnsi="Times New Roman"/>
                <w:sz w:val="20"/>
              </w:rPr>
              <w:t>SNAPSHOT\_OFFCHAIN</w:t>
            </w:r>
          </w:p>
        </w:tc>
        <w:tc>
          <w:tcPr>
            <w:tcW w:type="dxa" w:w="2929"/>
          </w:tcPr>
          <w:p>
            <w:r>
              <w:rPr>
                <w:rFonts w:ascii="Times New Roman" w:hAnsi="Times New Roman"/>
                <w:sz w:val="20"/>
              </w:rPr>
              <w:t>27</w:t>
            </w:r>
          </w:p>
        </w:tc>
        <w:tc>
          <w:tcPr>
            <w:tcW w:type="dxa" w:w="2929"/>
          </w:tcPr>
          <w:p>
            <w:r>
              <w:rPr>
                <w:rFonts w:ascii="Times New Roman" w:hAnsi="Times New Roman"/>
                <w:sz w:val="20"/>
              </w:rPr>
              <w:t>25.7%</w:t>
            </w:r>
          </w:p>
        </w:tc>
      </w:tr>
      <w:tr>
        <w:tc>
          <w:tcPr>
            <w:tcW w:type="dxa" w:w="2929"/>
          </w:tcPr>
          <w:p>
            <w:r>
              <w:rPr>
                <w:rFonts w:ascii="Times New Roman" w:hAnsi="Times New Roman"/>
                <w:sz w:val="20"/>
              </w:rPr>
              <w:t>ONCHAIN\_TOKEN\_GOVERNANCE</w:t>
            </w:r>
          </w:p>
        </w:tc>
        <w:tc>
          <w:tcPr>
            <w:tcW w:type="dxa" w:w="2929"/>
          </w:tcPr>
          <w:p>
            <w:r>
              <w:rPr>
                <w:rFonts w:ascii="Times New Roman" w:hAnsi="Times New Roman"/>
                <w:sz w:val="20"/>
              </w:rPr>
              <w:t>14</w:t>
            </w:r>
          </w:p>
        </w:tc>
        <w:tc>
          <w:tcPr>
            <w:tcW w:type="dxa" w:w="2929"/>
          </w:tcPr>
          <w:p>
            <w:r>
              <w:rPr>
                <w:rFonts w:ascii="Times New Roman" w:hAnsi="Times New Roman"/>
                <w:sz w:val="20"/>
              </w:rPr>
              <w:t>13.3%</w:t>
            </w:r>
          </w:p>
        </w:tc>
      </w:tr>
      <w:tr>
        <w:tc>
          <w:tcPr>
            <w:tcW w:type="dxa" w:w="2929"/>
          </w:tcPr>
          <w:p>
            <w:r>
              <w:rPr>
                <w:rFonts w:ascii="Times New Roman" w:hAnsi="Times New Roman"/>
                <w:sz w:val="20"/>
              </w:rPr>
              <w:t>MULTISIG\_WITH\_COMMUNITY\_INPUT</w:t>
            </w:r>
          </w:p>
        </w:tc>
        <w:tc>
          <w:tcPr>
            <w:tcW w:type="dxa" w:w="2929"/>
          </w:tcPr>
          <w:p>
            <w:r>
              <w:rPr>
                <w:rFonts w:ascii="Times New Roman" w:hAnsi="Times New Roman"/>
                <w:sz w:val="20"/>
              </w:rPr>
              <w:t>11</w:t>
            </w:r>
          </w:p>
        </w:tc>
        <w:tc>
          <w:tcPr>
            <w:tcW w:type="dxa" w:w="2929"/>
          </w:tcPr>
          <w:p>
            <w:r>
              <w:rPr>
                <w:rFonts w:ascii="Times New Roman" w:hAnsi="Times New Roman"/>
                <w:sz w:val="20"/>
              </w:rPr>
              <w:t>10.5%</w:t>
            </w:r>
          </w:p>
        </w:tc>
      </w:tr>
      <w:tr>
        <w:tc>
          <w:tcPr>
            <w:tcW w:type="dxa" w:w="2929"/>
          </w:tcPr>
          <w:p>
            <w:r>
              <w:rPr>
                <w:rFonts w:ascii="Times New Roman" w:hAnsi="Times New Roman"/>
                <w:sz w:val="20"/>
              </w:rPr>
              <w:t>DAO\_WITH\_TIMELOCK</w:t>
            </w:r>
          </w:p>
        </w:tc>
        <w:tc>
          <w:tcPr>
            <w:tcW w:type="dxa" w:w="2929"/>
          </w:tcPr>
          <w:p>
            <w:r>
              <w:rPr>
                <w:rFonts w:ascii="Times New Roman" w:hAnsi="Times New Roman"/>
                <w:sz w:val="20"/>
              </w:rPr>
              <w:t>4</w:t>
            </w:r>
          </w:p>
        </w:tc>
        <w:tc>
          <w:tcPr>
            <w:tcW w:type="dxa" w:w="2929"/>
          </w:tcPr>
          <w:p>
            <w:r>
              <w:rPr>
                <w:rFonts w:ascii="Times New Roman" w:hAnsi="Times New Roman"/>
                <w:sz w:val="20"/>
              </w:rPr>
              <w:t>3.8%</w:t>
            </w:r>
          </w:p>
        </w:tc>
      </w:tr>
      <w:tr>
        <w:tc>
          <w:tcPr>
            <w:tcW w:type="dxa" w:w="2929"/>
          </w:tcPr>
          <w:p>
            <w:r>
              <w:rPr>
                <w:rFonts w:ascii="Times New Roman" w:hAnsi="Times New Roman"/>
                <w:sz w:val="20"/>
              </w:rPr>
              <w:t>HYBRID</w:t>
            </w:r>
          </w:p>
        </w:tc>
        <w:tc>
          <w:tcPr>
            <w:tcW w:type="dxa" w:w="2929"/>
          </w:tcPr>
          <w:p>
            <w:r>
              <w:rPr>
                <w:rFonts w:ascii="Times New Roman" w:hAnsi="Times New Roman"/>
                <w:sz w:val="20"/>
              </w:rPr>
              <w:t>4</w:t>
            </w:r>
          </w:p>
        </w:tc>
        <w:tc>
          <w:tcPr>
            <w:tcW w:type="dxa" w:w="2929"/>
          </w:tcPr>
          <w:p>
            <w:r>
              <w:rPr>
                <w:rFonts w:ascii="Times New Roman" w:hAnsi="Times New Roman"/>
                <w:sz w:val="20"/>
              </w:rPr>
              <w:t>3.8%</w:t>
            </w:r>
          </w:p>
        </w:tc>
      </w:tr>
      <w:tr>
        <w:tc>
          <w:tcPr>
            <w:tcW w:type="dxa" w:w="2929"/>
          </w:tcPr>
          <w:p>
            <w:r>
              <w:rPr>
                <w:rFonts w:ascii="Times New Roman" w:hAnsi="Times New Roman"/>
                <w:sz w:val="20"/>
              </w:rPr>
              <w:t>NONE</w:t>
            </w:r>
          </w:p>
        </w:tc>
        <w:tc>
          <w:tcPr>
            <w:tcW w:type="dxa" w:w="2929"/>
          </w:tcPr>
          <w:p>
            <w:r>
              <w:rPr>
                <w:rFonts w:ascii="Times New Roman" w:hAnsi="Times New Roman"/>
                <w:sz w:val="20"/>
              </w:rPr>
              <w:t>5</w:t>
            </w:r>
          </w:p>
        </w:tc>
        <w:tc>
          <w:tcPr>
            <w:tcW w:type="dxa" w:w="2929"/>
          </w:tcPr>
          <w:p>
            <w:r>
              <w:rPr>
                <w:rFonts w:ascii="Times New Roman" w:hAnsi="Times New Roman"/>
                <w:sz w:val="20"/>
              </w:rPr>
              <w:t>4.8%</w:t>
            </w:r>
          </w:p>
        </w:tc>
      </w:tr>
      <w:tr>
        <w:tc>
          <w:tcPr>
            <w:tcW w:type="dxa" w:w="2929"/>
          </w:tcPr>
          <w:p>
            <w:r>
              <w:rPr>
                <w:rFonts w:ascii="Times New Roman" w:hAnsi="Times New Roman"/>
                <w:sz w:val="20"/>
              </w:rPr>
              <w:t>**Total**</w:t>
            </w:r>
          </w:p>
        </w:tc>
        <w:tc>
          <w:tcPr>
            <w:tcW w:type="dxa" w:w="2929"/>
          </w:tcPr>
          <w:p>
            <w:r>
              <w:rPr>
                <w:rFonts w:ascii="Times New Roman" w:hAnsi="Times New Roman"/>
                <w:sz w:val="20"/>
              </w:rPr>
              <w:t>**105**</w:t>
            </w:r>
          </w:p>
        </w:tc>
        <w:tc>
          <w:tcPr>
            <w:tcW w:type="dxa" w:w="2929"/>
          </w:tcPr>
          <w:p>
            <w:r>
              <w:rPr>
                <w:rFonts w:ascii="Times New Roman" w:hAnsi="Times New Roman"/>
                <w:sz w:val="20"/>
              </w:rPr>
              <w:t>**100%**</w:t>
            </w:r>
          </w:p>
        </w:tc>
      </w:tr>
    </w:tbl>
    <w:p/>
    <w:p>
      <w:r>
        <w:rPr>
          <w:i/>
        </w:rPr>
        <w:t>Source: governance type classification, loose DeFi universe.</w:t>
      </w:r>
    </w:p>
    <w:p>
      <w:r>
        <w:t>DeFi has the highest fully decentralised rate of any ecosystem (13.3 %, see Table 4.20). This is consistent with competitive pressure to establish credible neutrality: protocols modifiable at will by their team face user flight to formally governed alternatives. The Snapshot off-chain plurality (25.7 %) represents an intermediate stage — token-holder voting is possible but execution remains operator-dependent (Figures 4.5 and 4.6).</w:t>
      </w:r>
    </w:p>
    <w:p>
      <w:pPr>
        <w:pStyle w:val="Heading4"/>
      </w:pPr>
      <w:r>
        <w:t>Token Model Patterns: Utility Plurality with Governance Token Minority</w:t>
      </w:r>
    </w:p>
    <w:p>
      <w:r>
        <w:t>Utility tokens dominate at 44.8 per cent, reflecting governance-adjacent but non-voting token designs used primarily for fee discounts, liquidity incentives, and staking rewards. Governance tokens appear in 19.0 per cent of DeFi DApps in the loose universe, rising to approximately 31 per cent in the strict sample, where the most financially mature protocols are concentrated. The analysis confirms that 55 per cent of strict-sample DeFi DApps have issued a governance token. Token-holder value accrual is present in approximately 44 per cent of those cases — a lower share, indicating that governance token issuance frequently precedes fee-switch activation.</w:t>
      </w:r>
    </w:p>
    <w:p>
      <w:pPr>
        <w:pStyle w:val="Heading4"/>
      </w:pPr>
      <w:r>
        <w:t>Revenue Logic: Transaction Fees, Interest Margin, and Spread Arbitrage</w:t>
      </w:r>
    </w:p>
    <w:p>
      <w:r>
        <w:t>Three dominant DeFi revenue mechanisms are identified in the strict sample:</w:t>
      </w:r>
    </w:p>
    <w:p>
      <w:pPr>
        <w:pStyle w:val="ListNumber"/>
      </w:pPr>
      <w:r>
        <w:rPr>
          <w:i/>
        </w:rPr>
        <w:t>Transaction fees</w:t>
      </w:r>
      <w:r>
        <w:t xml:space="preserve"> (20/36 strict DeFi DApps = 55.6 per cent): DEXes charge a percentage of swap volume (typically 0.01–0.30 per cent for AMMs; protocols with volume above $1 billion include Raydium, Pump.fun, PancakeSwap, 1inch, Jupiter Exchange, and SushiSwap).</w:t>
      </w:r>
    </w:p>
    <w:p>
      <w:pPr>
        <w:pStyle w:val="ListNumber"/>
      </w:pPr>
      <w:r>
        <w:rPr>
          <w:i/>
        </w:rPr>
        <w:t>Interest margin</w:t>
      </w:r>
      <w:r>
        <w:t xml:space="preserve"> (6/36 = 16.7 per cent): Lending and yield protocols (Aave V3, Morpho, Maple, Moonwell, ZeroLend, Velo) earn the spread between borrower and lender rates.</w:t>
      </w:r>
    </w:p>
    <w:p>
      <w:pPr>
        <w:pStyle w:val="ListNumber"/>
      </w:pPr>
      <w:r>
        <w:rPr>
          <w:i/>
        </w:rPr>
        <w:t>Spread arbitrage</w:t>
      </w:r>
      <w:r>
        <w:t xml:space="preserve"> (5/36 = 13.9 per cent): Aggregators and bridge protocols (1inch, Mento, Velora, ParaSwap, OpenOcean) capture positive price differences between routes during execution, booking the remainder as protocol revenue.</w:t>
      </w:r>
    </w:p>
    <w:p>
      <w:pPr>
        <w:pStyle w:val="Heading4"/>
      </w:pPr>
      <w:r>
        <w:t>Registered Anomalies</w:t>
      </w:r>
    </w:p>
    <w:p>
      <w:r>
        <w:rPr>
          <w:b/>
        </w:rPr>
        <w:t>ANO-DeFi-01 — TVL-to-Market-Cap Inversion</w:t>
      </w:r>
    </w:p>
    <w:p>
      <w:r>
        <w:t>Six strict-sample DeFi DApps (Pendle, Morpho, Maple, KernelDAO, EigenLayer, LIDO) exhibit TVL that materially exceeds their token market capitalisation, with Morpho reaching a TVL/MCap ratio of approximately 3,437× (TVL $187.5 billion vs MCap at data capture). This pattern is most acute for protocols serving as infrastructure for other protocols' liquidity — TVL accumulates through recursive collateral loops without commensurate token appreciation. The phenomenon is catalogued as ANO-MKT-02 in the broader dataset.</w:t>
      </w:r>
    </w:p>
    <w:p>
      <w:r>
        <w:rPr>
          <w:b/>
        </w:rPr>
        <w:t>ANO-DeFi-02 — Team-Controlled Launchpad at Scale</w:t>
      </w:r>
    </w:p>
    <w:p>
      <w:r>
        <w:t>Pump.fun (7.1 million active users) operates under TEAM\_CONTROLLED governance with a utility token. The economics of memecoin launchpads — rapid iteration, content moderation, fee-structure changes — require centralised authority to remain competitive. Its $900 million monthly volume shows that high revenue is achievable without governance formalisation.</w:t>
      </w:r>
    </w:p>
    <w:p>
      <w:r>
        <w:rPr>
          <w:b/>
        </w:rPr>
        <w:t>ANO-DeFi-03 — Revenue Concentration in Non-Governance Protocols</w:t>
      </w:r>
    </w:p>
    <w:p>
      <w:r>
        <w:t>Three of the five highest-volume DeFi DApps (Pump.fun, PancakeSwap V3, Jumper Exchange, Morpho, Helix) are team-controlled or hybrid-governed — showing that revenue generation is not monotonically associated with governance maturity.</w:t>
      </w:r>
    </w:p>
    <w:p>
      <w:pPr>
        <w:pStyle w:val="Heading3"/>
      </w:pPr>
      <w:r>
        <w:t>4.6.2 Prediction Markets</w:t>
      </w:r>
    </w:p>
    <w:p>
      <w:r>
        <w:t>Prediction markets constitute a small but analytically significant ecosystem: 31 DApps identified in the loose universe, with sector activity dominated by a single protocol. Polymarket accounts for 66.6 per cent of all prediction-market user activity and 95.3 per cent of sector volume ($858.8 million of $900.7 million total). The sector sits within the DappRadar gambling taxonomy — a classification caveat, since protocols forecasting political events, sports outcomes, or macroeconomic releases serve the economic function of financial derivatives, not casino wagering.</w:t>
      </w:r>
    </w:p>
    <w:p>
      <w:r>
        <w:rPr>
          <w:i/>
        </w:rPr>
        <w:t>Sample limitation.</w:t>
      </w:r>
      <w:r>
        <w:t xml:space="preserve"> Prediction market DApps overwhelmingly lack the financial metrics required for strict-sample inclusion. Polymarket — the dominant protocol — operates without a native token and without reportable TVL, disqualifying it from the strict filter. Only one strict-sample prediction market DApp is identified (Overtime Markets). The analysis uses the loose universe (N=31) throughout.</w:t>
      </w:r>
    </w:p>
    <w:p>
      <w:pPr>
        <w:pStyle w:val="Heading4"/>
      </w:pPr>
      <w:r>
        <w:t>Chain Distribution: Polygon for Oracle-Dependent Resolution, BNB Chain for Broader Reach</w:t>
      </w:r>
    </w:p>
    <w:p>
      <w:r>
        <w:rPr>
          <w:b/>
        </w:rPr>
        <w:t>Table 4.7 — Top-5 chains by prediction market DApp presence (loose universe, N=31)</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Chain</w:t>
            </w:r>
          </w:p>
        </w:tc>
        <w:tc>
          <w:tcPr>
            <w:tcW w:type="dxa" w:w="2929"/>
          </w:tcPr>
          <w:p>
            <w:r>
              <w:rPr>
                <w:rFonts w:ascii="Times New Roman" w:hAnsi="Times New Roman"/>
                <w:b/>
                <w:sz w:val="20"/>
              </w:rPr>
              <w:t>DApps</w:t>
            </w:r>
          </w:p>
        </w:tc>
        <w:tc>
          <w:tcPr>
            <w:tcW w:type="dxa" w:w="2929"/>
          </w:tcPr>
          <w:p>
            <w:r>
              <w:rPr>
                <w:rFonts w:ascii="Times New Roman" w:hAnsi="Times New Roman"/>
                <w:b/>
                <w:sz w:val="20"/>
              </w:rPr>
              <w:t>Share</w:t>
            </w:r>
          </w:p>
        </w:tc>
      </w:tr>
      <w:tr>
        <w:tc>
          <w:tcPr>
            <w:tcW w:type="dxa" w:w="2929"/>
          </w:tcPr>
          <w:p>
            <w:r>
              <w:rPr>
                <w:rFonts w:ascii="Times New Roman" w:hAnsi="Times New Roman"/>
                <w:sz w:val="20"/>
              </w:rPr>
              <w:t>BNB Chain</w:t>
            </w:r>
          </w:p>
        </w:tc>
        <w:tc>
          <w:tcPr>
            <w:tcW w:type="dxa" w:w="2929"/>
          </w:tcPr>
          <w:p>
            <w:r>
              <w:rPr>
                <w:rFonts w:ascii="Times New Roman" w:hAnsi="Times New Roman"/>
                <w:sz w:val="20"/>
              </w:rPr>
              <w:t>8</w:t>
            </w:r>
          </w:p>
        </w:tc>
        <w:tc>
          <w:tcPr>
            <w:tcW w:type="dxa" w:w="2929"/>
          </w:tcPr>
          <w:p>
            <w:r>
              <w:rPr>
                <w:rFonts w:ascii="Times New Roman" w:hAnsi="Times New Roman"/>
                <w:sz w:val="20"/>
              </w:rPr>
              <w:t>25.8%</w:t>
            </w:r>
          </w:p>
        </w:tc>
      </w:tr>
      <w:tr>
        <w:tc>
          <w:tcPr>
            <w:tcW w:type="dxa" w:w="2929"/>
          </w:tcPr>
          <w:p>
            <w:r>
              <w:rPr>
                <w:rFonts w:ascii="Times New Roman" w:hAnsi="Times New Roman"/>
                <w:sz w:val="20"/>
              </w:rPr>
              <w:t>Base</w:t>
            </w:r>
          </w:p>
        </w:tc>
        <w:tc>
          <w:tcPr>
            <w:tcW w:type="dxa" w:w="2929"/>
          </w:tcPr>
          <w:p>
            <w:r>
              <w:rPr>
                <w:rFonts w:ascii="Times New Roman" w:hAnsi="Times New Roman"/>
                <w:sz w:val="20"/>
              </w:rPr>
              <w:t>6</w:t>
            </w:r>
          </w:p>
        </w:tc>
        <w:tc>
          <w:tcPr>
            <w:tcW w:type="dxa" w:w="2929"/>
          </w:tcPr>
          <w:p>
            <w:r>
              <w:rPr>
                <w:rFonts w:ascii="Times New Roman" w:hAnsi="Times New Roman"/>
                <w:sz w:val="20"/>
              </w:rPr>
              <w:t>19.4%</w:t>
            </w:r>
          </w:p>
        </w:tc>
      </w:tr>
      <w:tr>
        <w:tc>
          <w:tcPr>
            <w:tcW w:type="dxa" w:w="2929"/>
          </w:tcPr>
          <w:p>
            <w:r>
              <w:rPr>
                <w:rFonts w:ascii="Times New Roman" w:hAnsi="Times New Roman"/>
                <w:sz w:val="20"/>
              </w:rPr>
              <w:t>Polygon</w:t>
            </w:r>
          </w:p>
        </w:tc>
        <w:tc>
          <w:tcPr>
            <w:tcW w:type="dxa" w:w="2929"/>
          </w:tcPr>
          <w:p>
            <w:r>
              <w:rPr>
                <w:rFonts w:ascii="Times New Roman" w:hAnsi="Times New Roman"/>
                <w:sz w:val="20"/>
              </w:rPr>
              <w:t>5</w:t>
            </w:r>
          </w:p>
        </w:tc>
        <w:tc>
          <w:tcPr>
            <w:tcW w:type="dxa" w:w="2929"/>
          </w:tcPr>
          <w:p>
            <w:r>
              <w:rPr>
                <w:rFonts w:ascii="Times New Roman" w:hAnsi="Times New Roman"/>
                <w:sz w:val="20"/>
              </w:rPr>
              <w:t>16.1%</w:t>
            </w:r>
          </w:p>
        </w:tc>
      </w:tr>
      <w:tr>
        <w:tc>
          <w:tcPr>
            <w:tcW w:type="dxa" w:w="2929"/>
          </w:tcPr>
          <w:p>
            <w:r>
              <w:rPr>
                <w:rFonts w:ascii="Times New Roman" w:hAnsi="Times New Roman"/>
                <w:sz w:val="20"/>
              </w:rPr>
              <w:t>Solana</w:t>
            </w:r>
          </w:p>
        </w:tc>
        <w:tc>
          <w:tcPr>
            <w:tcW w:type="dxa" w:w="2929"/>
          </w:tcPr>
          <w:p>
            <w:r>
              <w:rPr>
                <w:rFonts w:ascii="Times New Roman" w:hAnsi="Times New Roman"/>
                <w:sz w:val="20"/>
              </w:rPr>
              <w:t>4</w:t>
            </w:r>
          </w:p>
        </w:tc>
        <w:tc>
          <w:tcPr>
            <w:tcW w:type="dxa" w:w="2929"/>
          </w:tcPr>
          <w:p>
            <w:r>
              <w:rPr>
                <w:rFonts w:ascii="Times New Roman" w:hAnsi="Times New Roman"/>
                <w:sz w:val="20"/>
              </w:rPr>
              <w:t>12.9%</w:t>
            </w:r>
          </w:p>
        </w:tc>
      </w:tr>
      <w:tr>
        <w:tc>
          <w:tcPr>
            <w:tcW w:type="dxa" w:w="2929"/>
          </w:tcPr>
          <w:p>
            <w:r>
              <w:rPr>
                <w:rFonts w:ascii="Times New Roman" w:hAnsi="Times New Roman"/>
                <w:sz w:val="20"/>
              </w:rPr>
              <w:t>Arbitrum</w:t>
            </w:r>
          </w:p>
        </w:tc>
        <w:tc>
          <w:tcPr>
            <w:tcW w:type="dxa" w:w="2929"/>
          </w:tcPr>
          <w:p>
            <w:r>
              <w:rPr>
                <w:rFonts w:ascii="Times New Roman" w:hAnsi="Times New Roman"/>
                <w:sz w:val="20"/>
              </w:rPr>
              <w:t>3</w:t>
            </w:r>
          </w:p>
        </w:tc>
        <w:tc>
          <w:tcPr>
            <w:tcW w:type="dxa" w:w="2929"/>
          </w:tcPr>
          <w:p>
            <w:r>
              <w:rPr>
                <w:rFonts w:ascii="Times New Roman" w:hAnsi="Times New Roman"/>
                <w:sz w:val="20"/>
              </w:rPr>
              <w:t>9.7%</w:t>
            </w:r>
          </w:p>
        </w:tc>
      </w:tr>
    </w:tbl>
    <w:p/>
    <w:p>
      <w:r>
        <w:rPr>
          <w:i/>
        </w:rPr>
        <w:t>Note: multi-chain DApps counted per chain.</w:t>
      </w:r>
    </w:p>
    <w:p>
      <w:r>
        <w:t>Polygon hosts Polymarket — migrated from Ethereum in 2020 to reduce gas costs for individual resolution transactions. The multi-chain adoption rate for prediction markets (19.4 per cent) is the lowest of the five ecosystems examined, reflecting both the informational complexity of deploying oracle-dependent resolution across chains and the relative maturity barrier of the sector.</w:t>
      </w:r>
    </w:p>
    <w:p>
      <w:pPr>
        <w:pStyle w:val="Heading4"/>
      </w:pPr>
      <w:r>
        <w:t>Key DApps: Polymarket Dominates with 66.6% of Sector Users</w:t>
      </w:r>
    </w:p>
    <w:p>
      <w:r>
        <w:rPr>
          <w:b/>
        </w:rPr>
        <w:t>Table 4.8 — Top prediction market DApps by active users (loose universe)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Times New Roman" w:hAnsi="Times New Roman"/>
                <w:b/>
                <w:sz w:val="20"/>
              </w:rPr>
              <w:t>DApp</w:t>
            </w:r>
          </w:p>
        </w:tc>
        <w:tc>
          <w:tcPr>
            <w:tcW w:type="dxa" w:w="1465"/>
          </w:tcPr>
          <w:p>
            <w:r>
              <w:rPr>
                <w:rFonts w:ascii="Times New Roman" w:hAnsi="Times New Roman"/>
                <w:b/>
                <w:sz w:val="20"/>
              </w:rPr>
              <w:t>Users</w:t>
            </w:r>
          </w:p>
        </w:tc>
        <w:tc>
          <w:tcPr>
            <w:tcW w:type="dxa" w:w="1465"/>
          </w:tcPr>
          <w:p>
            <w:r>
              <w:rPr>
                <w:rFonts w:ascii="Times New Roman" w:hAnsi="Times New Roman"/>
                <w:b/>
                <w:sz w:val="20"/>
              </w:rPr>
              <w:t>Volume</w:t>
            </w:r>
          </w:p>
        </w:tc>
        <w:tc>
          <w:tcPr>
            <w:tcW w:type="dxa" w:w="1465"/>
          </w:tcPr>
          <w:p>
            <w:r>
              <w:rPr>
                <w:rFonts w:ascii="Times New Roman" w:hAnsi="Times New Roman"/>
                <w:b/>
                <w:sz w:val="20"/>
              </w:rPr>
              <w:t>Gov. type</w:t>
            </w:r>
          </w:p>
        </w:tc>
        <w:tc>
          <w:tcPr>
            <w:tcW w:type="dxa" w:w="1465"/>
          </w:tcPr>
          <w:p>
            <w:r>
              <w:rPr>
                <w:rFonts w:ascii="Times New Roman" w:hAnsi="Times New Roman"/>
                <w:b/>
                <w:sz w:val="20"/>
              </w:rPr>
              <w:t>Token</w:t>
            </w:r>
          </w:p>
        </w:tc>
        <w:tc>
          <w:tcPr>
            <w:tcW w:type="dxa" w:w="1465"/>
          </w:tcPr>
          <w:p>
            <w:r>
              <w:rPr>
                <w:rFonts w:ascii="Times New Roman" w:hAnsi="Times New Roman"/>
                <w:b/>
                <w:sz w:val="20"/>
              </w:rPr>
              <w:t>Chain</w:t>
            </w:r>
          </w:p>
        </w:tc>
      </w:tr>
      <w:tr>
        <w:tc>
          <w:tcPr>
            <w:tcW w:type="dxa" w:w="1465"/>
          </w:tcPr>
          <w:p>
            <w:r>
              <w:rPr>
                <w:rFonts w:ascii="Times New Roman" w:hAnsi="Times New Roman"/>
                <w:sz w:val="20"/>
              </w:rPr>
              <w:t>Polymarket</w:t>
            </w:r>
          </w:p>
        </w:tc>
        <w:tc>
          <w:tcPr>
            <w:tcW w:type="dxa" w:w="1465"/>
          </w:tcPr>
          <w:p>
            <w:r>
              <w:rPr>
                <w:rFonts w:ascii="Times New Roman" w:hAnsi="Times New Roman"/>
                <w:sz w:val="20"/>
              </w:rPr>
              <w:t>215,114</w:t>
            </w:r>
          </w:p>
        </w:tc>
        <w:tc>
          <w:tcPr>
            <w:tcW w:type="dxa" w:w="1465"/>
          </w:tcPr>
          <w:p>
            <w:r>
              <w:rPr>
                <w:rFonts w:ascii="Times New Roman" w:hAnsi="Times New Roman"/>
                <w:sz w:val="20"/>
              </w:rPr>
              <w:t>$858.8M</w:t>
            </w:r>
          </w:p>
        </w:tc>
        <w:tc>
          <w:tcPr>
            <w:tcW w:type="dxa" w:w="1465"/>
          </w:tcPr>
          <w:p>
            <w:r>
              <w:rPr>
                <w:rFonts w:ascii="Times New Roman" w:hAnsi="Times New Roman"/>
                <w:sz w:val="20"/>
              </w:rPr>
              <w:t>TEAM\_CONTROLLED</w:t>
            </w:r>
          </w:p>
        </w:tc>
        <w:tc>
          <w:tcPr>
            <w:tcW w:type="dxa" w:w="1465"/>
          </w:tcPr>
          <w:p>
            <w:r>
              <w:rPr>
                <w:rFonts w:ascii="Times New Roman" w:hAnsi="Times New Roman"/>
                <w:sz w:val="20"/>
              </w:rPr>
              <w:t>—</w:t>
            </w:r>
          </w:p>
        </w:tc>
        <w:tc>
          <w:tcPr>
            <w:tcW w:type="dxa" w:w="1465"/>
          </w:tcPr>
          <w:p>
            <w:r>
              <w:rPr>
                <w:rFonts w:ascii="Times New Roman" w:hAnsi="Times New Roman"/>
                <w:sz w:val="20"/>
              </w:rPr>
              <w:t>Polygon</w:t>
            </w:r>
          </w:p>
        </w:tc>
      </w:tr>
      <w:tr>
        <w:tc>
          <w:tcPr>
            <w:tcW w:type="dxa" w:w="1465"/>
          </w:tcPr>
          <w:p>
            <w:r>
              <w:rPr>
                <w:rFonts w:ascii="Times New Roman" w:hAnsi="Times New Roman"/>
                <w:sz w:val="20"/>
              </w:rPr>
              <w:t>CricSage</w:t>
            </w:r>
          </w:p>
        </w:tc>
        <w:tc>
          <w:tcPr>
            <w:tcW w:type="dxa" w:w="1465"/>
          </w:tcPr>
          <w:p>
            <w:r>
              <w:rPr>
                <w:rFonts w:ascii="Times New Roman" w:hAnsi="Times New Roman"/>
                <w:sz w:val="20"/>
              </w:rPr>
              <w:t>59,934</w:t>
            </w:r>
          </w:p>
        </w:tc>
        <w:tc>
          <w:tcPr>
            <w:tcW w:type="dxa" w:w="1465"/>
          </w:tcPr>
          <w:p>
            <w:r>
              <w:rPr>
                <w:rFonts w:ascii="Times New Roman" w:hAnsi="Times New Roman"/>
                <w:sz w:val="20"/>
              </w:rPr>
              <w:t>—</w:t>
            </w:r>
          </w:p>
        </w:tc>
        <w:tc>
          <w:tcPr>
            <w:tcW w:type="dxa" w:w="1465"/>
          </w:tcPr>
          <w:p>
            <w:r>
              <w:rPr>
                <w:rFonts w:ascii="Times New Roman" w:hAnsi="Times New Roman"/>
                <w:sz w:val="20"/>
              </w:rPr>
              <w:t>TEAM\_CONTROLLED</w:t>
            </w:r>
          </w:p>
        </w:tc>
        <w:tc>
          <w:tcPr>
            <w:tcW w:type="dxa" w:w="1465"/>
          </w:tcPr>
          <w:p>
            <w:r>
              <w:rPr>
                <w:rFonts w:ascii="Times New Roman" w:hAnsi="Times New Roman"/>
                <w:sz w:val="20"/>
              </w:rPr>
              <w:t>—</w:t>
            </w:r>
          </w:p>
        </w:tc>
        <w:tc>
          <w:tcPr>
            <w:tcW w:type="dxa" w:w="1465"/>
          </w:tcPr>
          <w:p>
            <w:r>
              <w:rPr>
                <w:rFonts w:ascii="Times New Roman" w:hAnsi="Times New Roman"/>
                <w:sz w:val="20"/>
              </w:rPr>
              <w:t>Skale-Nebula</w:t>
            </w:r>
          </w:p>
        </w:tc>
      </w:tr>
      <w:tr>
        <w:tc>
          <w:tcPr>
            <w:tcW w:type="dxa" w:w="1465"/>
          </w:tcPr>
          <w:p>
            <w:r>
              <w:rPr>
                <w:rFonts w:ascii="Times New Roman" w:hAnsi="Times New Roman"/>
                <w:sz w:val="20"/>
              </w:rPr>
              <w:t>Overtime</w:t>
            </w:r>
          </w:p>
        </w:tc>
        <w:tc>
          <w:tcPr>
            <w:tcW w:type="dxa" w:w="1465"/>
          </w:tcPr>
          <w:p>
            <w:r>
              <w:rPr>
                <w:rFonts w:ascii="Times New Roman" w:hAnsi="Times New Roman"/>
                <w:sz w:val="20"/>
              </w:rPr>
              <w:t>32,296</w:t>
            </w:r>
          </w:p>
        </w:tc>
        <w:tc>
          <w:tcPr>
            <w:tcW w:type="dxa" w:w="1465"/>
          </w:tcPr>
          <w:p>
            <w:r>
              <w:rPr>
                <w:rFonts w:ascii="Times New Roman" w:hAnsi="Times New Roman"/>
                <w:sz w:val="20"/>
              </w:rPr>
              <w:t>$24.8M</w:t>
            </w:r>
          </w:p>
        </w:tc>
        <w:tc>
          <w:tcPr>
            <w:tcW w:type="dxa" w:w="1465"/>
          </w:tcPr>
          <w:p>
            <w:r>
              <w:rPr>
                <w:rFonts w:ascii="Times New Roman" w:hAnsi="Times New Roman"/>
                <w:sz w:val="20"/>
              </w:rPr>
              <w:t>MULTISIG\_WITH\_COMMUNITY\_INPUT</w:t>
            </w:r>
          </w:p>
        </w:tc>
        <w:tc>
          <w:tcPr>
            <w:tcW w:type="dxa" w:w="1465"/>
          </w:tcPr>
          <w:p>
            <w:r>
              <w:rPr>
                <w:rFonts w:ascii="Times New Roman" w:hAnsi="Times New Roman"/>
                <w:sz w:val="20"/>
              </w:rPr>
              <w:t>UTILITY</w:t>
            </w:r>
          </w:p>
        </w:tc>
        <w:tc>
          <w:tcPr>
            <w:tcW w:type="dxa" w:w="1465"/>
          </w:tcPr>
          <w:p>
            <w:r>
              <w:rPr>
                <w:rFonts w:ascii="Times New Roman" w:hAnsi="Times New Roman"/>
                <w:sz w:val="20"/>
              </w:rPr>
              <w:t>Arbitrum/Base/Optimism</w:t>
            </w:r>
          </w:p>
        </w:tc>
      </w:tr>
      <w:tr>
        <w:tc>
          <w:tcPr>
            <w:tcW w:type="dxa" w:w="1465"/>
          </w:tcPr>
          <w:p>
            <w:r>
              <w:rPr>
                <w:rFonts w:ascii="Times New Roman" w:hAnsi="Times New Roman"/>
                <w:sz w:val="20"/>
              </w:rPr>
              <w:t>Predictions (PRDT)</w:t>
            </w:r>
          </w:p>
        </w:tc>
        <w:tc>
          <w:tcPr>
            <w:tcW w:type="dxa" w:w="1465"/>
          </w:tcPr>
          <w:p>
            <w:r>
              <w:rPr>
                <w:rFonts w:ascii="Times New Roman" w:hAnsi="Times New Roman"/>
                <w:sz w:val="20"/>
              </w:rPr>
              <w:t>5,141</w:t>
            </w:r>
          </w:p>
        </w:tc>
        <w:tc>
          <w:tcPr>
            <w:tcW w:type="dxa" w:w="1465"/>
          </w:tcPr>
          <w:p>
            <w:r>
              <w:rPr>
                <w:rFonts w:ascii="Times New Roman" w:hAnsi="Times New Roman"/>
                <w:sz w:val="20"/>
              </w:rPr>
              <w:t>$12.8M</w:t>
            </w:r>
          </w:p>
        </w:tc>
        <w:tc>
          <w:tcPr>
            <w:tcW w:type="dxa" w:w="1465"/>
          </w:tcPr>
          <w:p>
            <w:r>
              <w:rPr>
                <w:rFonts w:ascii="Times New Roman" w:hAnsi="Times New Roman"/>
                <w:sz w:val="20"/>
              </w:rPr>
              <w:t>SNAPSHOT\_OFFCHAIN</w:t>
            </w:r>
          </w:p>
        </w:tc>
        <w:tc>
          <w:tcPr>
            <w:tcW w:type="dxa" w:w="1465"/>
          </w:tcPr>
          <w:p>
            <w:r>
              <w:rPr>
                <w:rFonts w:ascii="Times New Roman" w:hAnsi="Times New Roman"/>
                <w:sz w:val="20"/>
              </w:rPr>
              <w:t>UTILITY</w:t>
            </w:r>
          </w:p>
        </w:tc>
        <w:tc>
          <w:tcPr>
            <w:tcW w:type="dxa" w:w="1465"/>
          </w:tcPr>
          <w:p>
            <w:r>
              <w:rPr>
                <w:rFonts w:ascii="Times New Roman" w:hAnsi="Times New Roman"/>
                <w:sz w:val="20"/>
              </w:rPr>
              <w:t>Multi-chain</w:t>
            </w:r>
          </w:p>
        </w:tc>
      </w:tr>
      <w:tr>
        <w:tc>
          <w:tcPr>
            <w:tcW w:type="dxa" w:w="1465"/>
          </w:tcPr>
          <w:p>
            <w:r>
              <w:rPr>
                <w:rFonts w:ascii="Times New Roman" w:hAnsi="Times New Roman"/>
                <w:sz w:val="20"/>
              </w:rPr>
              <w:t>Limitless</w:t>
            </w:r>
          </w:p>
        </w:tc>
        <w:tc>
          <w:tcPr>
            <w:tcW w:type="dxa" w:w="1465"/>
          </w:tcPr>
          <w:p>
            <w:r>
              <w:rPr>
                <w:rFonts w:ascii="Times New Roman" w:hAnsi="Times New Roman"/>
                <w:sz w:val="20"/>
              </w:rPr>
              <w:t>3,153</w:t>
            </w:r>
          </w:p>
        </w:tc>
        <w:tc>
          <w:tcPr>
            <w:tcW w:type="dxa" w:w="1465"/>
          </w:tcPr>
          <w:p>
            <w:r>
              <w:rPr>
                <w:rFonts w:ascii="Times New Roman" w:hAnsi="Times New Roman"/>
                <w:sz w:val="20"/>
              </w:rPr>
              <w:t>$3.6M</w:t>
            </w:r>
          </w:p>
        </w:tc>
        <w:tc>
          <w:tcPr>
            <w:tcW w:type="dxa" w:w="1465"/>
          </w:tcPr>
          <w:p>
            <w:r>
              <w:rPr>
                <w:rFonts w:ascii="Times New Roman" w:hAnsi="Times New Roman"/>
                <w:sz w:val="20"/>
              </w:rPr>
              <w:t>SNAPSHOT\_OFFCHAIN</w:t>
            </w:r>
          </w:p>
        </w:tc>
        <w:tc>
          <w:tcPr>
            <w:tcW w:type="dxa" w:w="1465"/>
          </w:tcPr>
          <w:p>
            <w:r>
              <w:rPr>
                <w:rFonts w:ascii="Times New Roman" w:hAnsi="Times New Roman"/>
                <w:sz w:val="20"/>
              </w:rPr>
              <w:t>UTILITY</w:t>
            </w:r>
          </w:p>
        </w:tc>
        <w:tc>
          <w:tcPr>
            <w:tcW w:type="dxa" w:w="1465"/>
          </w:tcPr>
          <w:p>
            <w:r>
              <w:rPr>
                <w:rFonts w:ascii="Times New Roman" w:hAnsi="Times New Roman"/>
                <w:sz w:val="20"/>
              </w:rPr>
              <w:t>Base</w:t>
            </w:r>
          </w:p>
        </w:tc>
      </w:tr>
      <w:tr>
        <w:tc>
          <w:tcPr>
            <w:tcW w:type="dxa" w:w="1465"/>
          </w:tcPr>
          <w:p>
            <w:r>
              <w:rPr>
                <w:rFonts w:ascii="Times New Roman" w:hAnsi="Times New Roman"/>
                <w:sz w:val="20"/>
              </w:rPr>
              <w:t>BetSwirl</w:t>
            </w:r>
          </w:p>
        </w:tc>
        <w:tc>
          <w:tcPr>
            <w:tcW w:type="dxa" w:w="1465"/>
          </w:tcPr>
          <w:p>
            <w:r>
              <w:rPr>
                <w:rFonts w:ascii="Times New Roman" w:hAnsi="Times New Roman"/>
                <w:sz w:val="20"/>
              </w:rPr>
              <w:t>1,663</w:t>
            </w:r>
          </w:p>
        </w:tc>
        <w:tc>
          <w:tcPr>
            <w:tcW w:type="dxa" w:w="1465"/>
          </w:tcPr>
          <w:p>
            <w:r>
              <w:rPr>
                <w:rFonts w:ascii="Times New Roman" w:hAnsi="Times New Roman"/>
                <w:sz w:val="20"/>
              </w:rPr>
              <w:t>$0.4M</w:t>
            </w:r>
          </w:p>
        </w:tc>
        <w:tc>
          <w:tcPr>
            <w:tcW w:type="dxa" w:w="1465"/>
          </w:tcPr>
          <w:p>
            <w:r>
              <w:rPr>
                <w:rFonts w:ascii="Times New Roman" w:hAnsi="Times New Roman"/>
                <w:sz w:val="20"/>
              </w:rPr>
              <w:t>TEAM\_CONTROLLED</w:t>
            </w:r>
          </w:p>
        </w:tc>
        <w:tc>
          <w:tcPr>
            <w:tcW w:type="dxa" w:w="1465"/>
          </w:tcPr>
          <w:p>
            <w:r>
              <w:rPr>
                <w:rFonts w:ascii="Times New Roman" w:hAnsi="Times New Roman"/>
                <w:sz w:val="20"/>
              </w:rPr>
              <w:t>UTILITY</w:t>
            </w:r>
          </w:p>
        </w:tc>
        <w:tc>
          <w:tcPr>
            <w:tcW w:type="dxa" w:w="1465"/>
          </w:tcPr>
          <w:p>
            <w:r>
              <w:rPr>
                <w:rFonts w:ascii="Times New Roman" w:hAnsi="Times New Roman"/>
                <w:sz w:val="20"/>
              </w:rPr>
              <w:t>Multi-chain</w:t>
            </w:r>
          </w:p>
        </w:tc>
      </w:tr>
    </w:tbl>
    <w:p/>
    <w:p>
      <w:pPr>
        <w:pStyle w:val="Heading4"/>
      </w:pPr>
      <w:r>
        <w:t>Governance Maturity: Most Centralised Ecosystem — 71.0% Team-Controlled</w:t>
      </w:r>
    </w:p>
    <w:p>
      <w:r>
        <w:rPr>
          <w:b/>
        </w:rPr>
        <w:t>Table 4.9 — Prediction market governance distribution (loose universe, N=31)</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Governance type</w:t>
            </w:r>
          </w:p>
        </w:tc>
        <w:tc>
          <w:tcPr>
            <w:tcW w:type="dxa" w:w="2929"/>
          </w:tcPr>
          <w:p>
            <w:r>
              <w:rPr>
                <w:rFonts w:ascii="Times New Roman" w:hAnsi="Times New Roman"/>
                <w:b/>
                <w:sz w:val="20"/>
              </w:rPr>
              <w:t>Count</w:t>
            </w:r>
          </w:p>
        </w:tc>
        <w:tc>
          <w:tcPr>
            <w:tcW w:type="dxa" w:w="2929"/>
          </w:tcPr>
          <w:p>
            <w:r>
              <w:rPr>
                <w:rFonts w:ascii="Times New Roman" w:hAnsi="Times New Roman"/>
                <w:b/>
                <w:sz w:val="20"/>
              </w:rPr>
              <w:t>Share</w:t>
            </w:r>
          </w:p>
        </w:tc>
      </w:tr>
      <w:tr>
        <w:tc>
          <w:tcPr>
            <w:tcW w:type="dxa" w:w="2929"/>
          </w:tcPr>
          <w:p>
            <w:r>
              <w:rPr>
                <w:rFonts w:ascii="Times New Roman" w:hAnsi="Times New Roman"/>
                <w:sz w:val="20"/>
              </w:rPr>
              <w:t>TEAM\_CONTROLLED</w:t>
            </w:r>
          </w:p>
        </w:tc>
        <w:tc>
          <w:tcPr>
            <w:tcW w:type="dxa" w:w="2929"/>
          </w:tcPr>
          <w:p>
            <w:r>
              <w:rPr>
                <w:rFonts w:ascii="Times New Roman" w:hAnsi="Times New Roman"/>
                <w:sz w:val="20"/>
              </w:rPr>
              <w:t>22</w:t>
            </w:r>
          </w:p>
        </w:tc>
        <w:tc>
          <w:tcPr>
            <w:tcW w:type="dxa" w:w="2929"/>
          </w:tcPr>
          <w:p>
            <w:r>
              <w:rPr>
                <w:rFonts w:ascii="Times New Roman" w:hAnsi="Times New Roman"/>
                <w:sz w:val="20"/>
              </w:rPr>
              <w:t>71.0%</w:t>
            </w:r>
          </w:p>
        </w:tc>
      </w:tr>
      <w:tr>
        <w:tc>
          <w:tcPr>
            <w:tcW w:type="dxa" w:w="2929"/>
          </w:tcPr>
          <w:p>
            <w:r>
              <w:rPr>
                <w:rFonts w:ascii="Times New Roman" w:hAnsi="Times New Roman"/>
                <w:sz w:val="20"/>
              </w:rPr>
              <w:t>SNAPSHOT\_OFFCHAIN</w:t>
            </w:r>
          </w:p>
        </w:tc>
        <w:tc>
          <w:tcPr>
            <w:tcW w:type="dxa" w:w="2929"/>
          </w:tcPr>
          <w:p>
            <w:r>
              <w:rPr>
                <w:rFonts w:ascii="Times New Roman" w:hAnsi="Times New Roman"/>
                <w:sz w:val="20"/>
              </w:rPr>
              <w:t>6</w:t>
            </w:r>
          </w:p>
        </w:tc>
        <w:tc>
          <w:tcPr>
            <w:tcW w:type="dxa" w:w="2929"/>
          </w:tcPr>
          <w:p>
            <w:r>
              <w:rPr>
                <w:rFonts w:ascii="Times New Roman" w:hAnsi="Times New Roman"/>
                <w:sz w:val="20"/>
              </w:rPr>
              <w:t>19.4%</w:t>
            </w:r>
          </w:p>
        </w:tc>
      </w:tr>
      <w:tr>
        <w:tc>
          <w:tcPr>
            <w:tcW w:type="dxa" w:w="2929"/>
          </w:tcPr>
          <w:p>
            <w:r>
              <w:rPr>
                <w:rFonts w:ascii="Times New Roman" w:hAnsi="Times New Roman"/>
                <w:sz w:val="20"/>
              </w:rPr>
              <w:t>NONE</w:t>
            </w:r>
          </w:p>
        </w:tc>
        <w:tc>
          <w:tcPr>
            <w:tcW w:type="dxa" w:w="2929"/>
          </w:tcPr>
          <w:p>
            <w:r>
              <w:rPr>
                <w:rFonts w:ascii="Times New Roman" w:hAnsi="Times New Roman"/>
                <w:sz w:val="20"/>
              </w:rPr>
              <w:t>2</w:t>
            </w:r>
          </w:p>
        </w:tc>
        <w:tc>
          <w:tcPr>
            <w:tcW w:type="dxa" w:w="2929"/>
          </w:tcPr>
          <w:p>
            <w:r>
              <w:rPr>
                <w:rFonts w:ascii="Times New Roman" w:hAnsi="Times New Roman"/>
                <w:sz w:val="20"/>
              </w:rPr>
              <w:t>6.5%</w:t>
            </w:r>
          </w:p>
        </w:tc>
      </w:tr>
      <w:tr>
        <w:tc>
          <w:tcPr>
            <w:tcW w:type="dxa" w:w="2929"/>
          </w:tcPr>
          <w:p>
            <w:r>
              <w:rPr>
                <w:rFonts w:ascii="Times New Roman" w:hAnsi="Times New Roman"/>
                <w:sz w:val="20"/>
              </w:rPr>
              <w:t>MULTISIG\_WITH\_COMMUNITY\_INPUT</w:t>
            </w:r>
          </w:p>
        </w:tc>
        <w:tc>
          <w:tcPr>
            <w:tcW w:type="dxa" w:w="2929"/>
          </w:tcPr>
          <w:p>
            <w:r>
              <w:rPr>
                <w:rFonts w:ascii="Times New Roman" w:hAnsi="Times New Roman"/>
                <w:sz w:val="20"/>
              </w:rPr>
              <w:t>1</w:t>
            </w:r>
          </w:p>
        </w:tc>
        <w:tc>
          <w:tcPr>
            <w:tcW w:type="dxa" w:w="2929"/>
          </w:tcPr>
          <w:p>
            <w:r>
              <w:rPr>
                <w:rFonts w:ascii="Times New Roman" w:hAnsi="Times New Roman"/>
                <w:sz w:val="20"/>
              </w:rPr>
              <w:t>3.2%</w:t>
            </w:r>
          </w:p>
        </w:tc>
      </w:tr>
      <w:tr>
        <w:tc>
          <w:tcPr>
            <w:tcW w:type="dxa" w:w="2929"/>
          </w:tcPr>
          <w:p>
            <w:r>
              <w:rPr>
                <w:rFonts w:ascii="Times New Roman" w:hAnsi="Times New Roman"/>
                <w:sz w:val="20"/>
              </w:rPr>
              <w:t>**Total**</w:t>
            </w:r>
          </w:p>
        </w:tc>
        <w:tc>
          <w:tcPr>
            <w:tcW w:type="dxa" w:w="2929"/>
          </w:tcPr>
          <w:p>
            <w:r>
              <w:rPr>
                <w:rFonts w:ascii="Times New Roman" w:hAnsi="Times New Roman"/>
                <w:sz w:val="20"/>
              </w:rPr>
              <w:t>**31**</w:t>
            </w:r>
          </w:p>
        </w:tc>
        <w:tc>
          <w:tcPr>
            <w:tcW w:type="dxa" w:w="2929"/>
          </w:tcPr>
          <w:p>
            <w:r>
              <w:rPr>
                <w:rFonts w:ascii="Times New Roman" w:hAnsi="Times New Roman"/>
                <w:sz w:val="20"/>
              </w:rPr>
              <w:t>**100%**</w:t>
            </w:r>
          </w:p>
        </w:tc>
      </w:tr>
    </w:tbl>
    <w:p/>
    <w:p>
      <w:r>
        <w:rPr>
          <w:i/>
        </w:rPr>
        <w:t>Source: governance type classification, loose prediction market universe.</w:t>
      </w:r>
    </w:p>
    <w:p>
      <w:r>
        <w:t>Prediction markets are the most centralised ecosystem (Table 4.20): 71.0 per cent team-controlled, zero DApps fully decentralised. This reflects a genuine operational constraint — outcome resolution requires rapid, authoritative intervention to correct oracles and arbitrate disputes, functions that slow token-governance processes cannot reliably provide.</w:t>
      </w:r>
    </w:p>
    <w:p>
      <w:pPr>
        <w:pStyle w:val="Heading4"/>
      </w:pPr>
      <w:r>
        <w:t>Token Model Patterns: Near-Total Absence of Governance Tokens (74.2% Tokenless)</w:t>
      </w:r>
    </w:p>
    <w:p>
      <w:r>
        <w:t>74.2 per cent of prediction market DApps carry no native token — a token-free design that is commercially rational, since a native token would introduce speculative dynamics into a platform whose value proposition depends on price-neutral information aggregation. Among tokenised protocols, utility tokens predominate (19.4 per cent). Overtime, the sole strict-sample DApp, uses a utility token with multisig-guarded community input, consistent with the sector pattern.</w:t>
      </w:r>
    </w:p>
    <w:p>
      <w:pPr>
        <w:pStyle w:val="Heading4"/>
      </w:pPr>
      <w:r>
        <w:t>Revenue Logic: Resolution Fees, Spread Arbitrage, and Oracle Services</w:t>
      </w:r>
    </w:p>
    <w:p>
      <w:r>
        <w:t xml:space="preserve">The dominant revenue mechanism for prediction market protocols is spread arbitrage. Protocols earn through: (1) </w:t>
      </w:r>
      <w:r>
        <w:rPr>
          <w:i/>
        </w:rPr>
        <w:t>resolution fees</w:t>
      </w:r>
      <w:r>
        <w:t xml:space="preserve"> charged as a percentage of the settled market's volume (typically 2–5 per cent on winning positions); (2) </w:t>
      </w:r>
      <w:r>
        <w:rPr>
          <w:i/>
        </w:rPr>
        <w:t>spread arbitrage</w:t>
      </w:r>
      <w:r>
        <w:t xml:space="preserve"> between taker and maker pricing in AMM-style prediction markets (Overtime's model); and (3) </w:t>
      </w:r>
      <w:r>
        <w:rPr>
          <w:i/>
        </w:rPr>
        <w:t>oracle service fees</w:t>
      </w:r>
      <w:r>
        <w:t xml:space="preserve"> in protocols that route resolution through UMA, Chainlink, or other providers. Polymarket's $858.8 million in volume at a 2 per cent fee structure implies approximately $17.2 million in annual fee revenue for a tokenless, team-controlled operator.</w:t>
      </w:r>
    </w:p>
    <w:p>
      <w:pPr>
        <w:pStyle w:val="Heading4"/>
      </w:pPr>
      <w:r>
        <w:t>Registered Anomalies</w:t>
      </w:r>
    </w:p>
    <w:p>
      <w:r>
        <w:rPr>
          <w:b/>
        </w:rPr>
        <w:t>ANO-PRED-01 — Volume-Per-User Concentration: Polymarket's Institutional Wagering Profile</w:t>
      </w:r>
    </w:p>
    <w:p>
      <w:r>
        <w:t>Polymarket's implied volume-per-user is $3,992, placing it in the high-volume-per-user outlier category alongside major institutional DeFi protocols. This ratio is driven by large-position wagering on high-stakes events — US elections, sports tournaments, macroeconomic releases — rather than retail participation breadth, and is not representative of the sector median.</w:t>
      </w:r>
    </w:p>
    <w:p>
      <w:r>
        <w:rPr>
          <w:b/>
        </w:rPr>
        <w:t>ANO-PRED-02 — Extreme Volume Outlier: "Trade Signal" Institutional Order Flow</w:t>
      </w:r>
    </w:p>
    <w:p>
      <w:r>
        <w:t>One prediction-market-adjacent DApp ("Trade signal", classified within the gambling and NFT marketplace sectors) records $1.861 billion in volume against only 1,131 active users — a volume-per-user ratio of $1,645,485, the highest registered outlier in the dataset. This extreme ratio is consistent with a front-end routing institutional order flow rather than reflecting genuine broad user activity, and the DApp carries no formal governance mechanism and no token.</w:t>
      </w:r>
    </w:p>
    <w:p>
      <w:pPr>
        <w:pStyle w:val="Heading3"/>
      </w:pPr>
      <w:r>
        <w:t>4.6.3 AI-Native DApps</w:t>
      </w:r>
    </w:p>
    <w:p>
      <w:pPr>
        <w:pStyle w:val="Heading4"/>
      </w:pPr>
      <w:r>
        <w:t>Sector Definition and Inclusion Criteria</w:t>
      </w:r>
    </w:p>
    <w:p>
      <w:r>
        <w:t xml:space="preserve">A DApp is classified as AI-native if any descriptive text field contains </w:t>
      </w:r>
      <w:r>
        <w:rPr>
          <w:i/>
        </w:rPr>
        <w:t>ai</w:t>
      </w:r>
      <w:r>
        <w:t xml:space="preserve">, </w:t>
      </w:r>
      <w:r>
        <w:rPr>
          <w:i/>
        </w:rPr>
        <w:t>llm</w:t>
      </w:r>
      <w:r>
        <w:t xml:space="preserve">, </w:t>
      </w:r>
      <w:r>
        <w:rPr>
          <w:i/>
        </w:rPr>
        <w:t>machine learning</w:t>
      </w:r>
      <w:r>
        <w:t xml:space="preserve">, </w:t>
      </w:r>
      <w:r>
        <w:rPr>
          <w:i/>
        </w:rPr>
        <w:t>ai gaming</w:t>
      </w:r>
      <w:r>
        <w:t xml:space="preserve">, or </w:t>
      </w:r>
      <w:r>
        <w:rPr>
          <w:i/>
        </w:rPr>
        <w:t>ai-big-data</w:t>
      </w:r>
      <w:r>
        <w:t xml:space="preserve"> (case-insensitive), applied mechanically. Excluded are DApps where "AI" appears only in a name or mascot without ML inference or AI-agent functionality, and DApps already captured in the Prediction Market or DePIN/RWA themes. No manual overrides were applied; the 66 eligible DApps are the complete output of this rule.</w:t>
      </w:r>
    </w:p>
    <w:p>
      <w:r>
        <w:t>An AI-native DApp incorporates machine-learning inference, AI-agent coordination, or AI-generated content as a core component of the user experience — on-chain, hybrid, or via protocol-controlled API. Sub-types include AI gaming integrations (Hot Spring, Sleepless AI, FishWar), autonomous AI-agent infrastructure (Virtuals Protocol, ChainOpera AI), data annotation platforms (Alaya AI), AI-enhanced social tools (Kaito, Sogni AI, CARV), and AI-adjacent developer tooling (ChainGPT, ZoRobotics).</w:t>
      </w:r>
    </w:p>
    <w:p>
      <w:r>
        <w:rPr>
          <w:i/>
        </w:rPr>
        <w:t>Sample limitation.</w:t>
      </w:r>
      <w:r>
        <w:t xml:space="preserve"> The v2 dataset identifies three strict-sample AI DApps: ChainOpera AI, Virtuals Protocol, and ChainGPT. The analysis uses the loose universe (N=66) throughout, with strict-eligible DApps noted where relevant.</w:t>
      </w:r>
    </w:p>
    <w:p>
      <w:pPr>
        <w:pStyle w:val="Heading4"/>
      </w:pPr>
      <w:r>
        <w:t>Sector Structure: NFT Gaming and Marketplace Lead, Cross-Cutting Classification Gap</w:t>
      </w:r>
    </w:p>
    <w:p>
      <w:r>
        <w:t>The 66 AI-native DApps span nine primary sectors. The "other" category holds the plurality (29 DApps, 43.9 per cent), consistent with the cross-cutting nature of AI applications that don't fit standard taxonomies. NFT Gaming (16 DApps) and NFT marketplace (13 DApps) lead among named categories, reflecting early AI adoption in gaming reward economies and AI-generated content marketplaces.</w:t>
      </w:r>
    </w:p>
    <w:p>
      <w:r>
        <w:rPr>
          <w:b/>
        </w:rPr>
        <w:t>Table 4.10 — AI DApp distribution by application category (loose universe, N=66)</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Category</w:t>
            </w:r>
          </w:p>
        </w:tc>
        <w:tc>
          <w:tcPr>
            <w:tcW w:type="dxa" w:w="2929"/>
          </w:tcPr>
          <w:p>
            <w:r>
              <w:rPr>
                <w:rFonts w:ascii="Times New Roman" w:hAnsi="Times New Roman"/>
                <w:b/>
                <w:sz w:val="20"/>
              </w:rPr>
              <w:t>Count</w:t>
            </w:r>
          </w:p>
        </w:tc>
        <w:tc>
          <w:tcPr>
            <w:tcW w:type="dxa" w:w="2929"/>
          </w:tcPr>
          <w:p>
            <w:r>
              <w:rPr>
                <w:rFonts w:ascii="Times New Roman" w:hAnsi="Times New Roman"/>
                <w:b/>
                <w:sz w:val="20"/>
              </w:rPr>
              <w:t>Share</w:t>
            </w:r>
          </w:p>
        </w:tc>
      </w:tr>
      <w:tr>
        <w:tc>
          <w:tcPr>
            <w:tcW w:type="dxa" w:w="2929"/>
          </w:tcPr>
          <w:p>
            <w:r>
              <w:rPr>
                <w:rFonts w:ascii="Times New Roman" w:hAnsi="Times New Roman"/>
                <w:sz w:val="20"/>
              </w:rPr>
              <w:t>NFT Gaming</w:t>
            </w:r>
          </w:p>
        </w:tc>
        <w:tc>
          <w:tcPr>
            <w:tcW w:type="dxa" w:w="2929"/>
          </w:tcPr>
          <w:p>
            <w:r>
              <w:rPr>
                <w:rFonts w:ascii="Times New Roman" w:hAnsi="Times New Roman"/>
                <w:sz w:val="20"/>
              </w:rPr>
              <w:t>16</w:t>
            </w:r>
          </w:p>
        </w:tc>
        <w:tc>
          <w:tcPr>
            <w:tcW w:type="dxa" w:w="2929"/>
          </w:tcPr>
          <w:p>
            <w:r>
              <w:rPr>
                <w:rFonts w:ascii="Times New Roman" w:hAnsi="Times New Roman"/>
                <w:sz w:val="20"/>
              </w:rPr>
              <w:t>24.2%</w:t>
            </w:r>
          </w:p>
        </w:tc>
      </w:tr>
      <w:tr>
        <w:tc>
          <w:tcPr>
            <w:tcW w:type="dxa" w:w="2929"/>
          </w:tcPr>
          <w:p>
            <w:r>
              <w:rPr>
                <w:rFonts w:ascii="Times New Roman" w:hAnsi="Times New Roman"/>
                <w:sz w:val="20"/>
              </w:rPr>
              <w:t>NFT marketplace</w:t>
            </w:r>
          </w:p>
        </w:tc>
        <w:tc>
          <w:tcPr>
            <w:tcW w:type="dxa" w:w="2929"/>
          </w:tcPr>
          <w:p>
            <w:r>
              <w:rPr>
                <w:rFonts w:ascii="Times New Roman" w:hAnsi="Times New Roman"/>
                <w:sz w:val="20"/>
              </w:rPr>
              <w:t>13</w:t>
            </w:r>
          </w:p>
        </w:tc>
        <w:tc>
          <w:tcPr>
            <w:tcW w:type="dxa" w:w="2929"/>
          </w:tcPr>
          <w:p>
            <w:r>
              <w:rPr>
                <w:rFonts w:ascii="Times New Roman" w:hAnsi="Times New Roman"/>
                <w:sz w:val="20"/>
              </w:rPr>
              <w:t>19.7%</w:t>
            </w:r>
          </w:p>
        </w:tc>
      </w:tr>
      <w:tr>
        <w:tc>
          <w:tcPr>
            <w:tcW w:type="dxa" w:w="2929"/>
          </w:tcPr>
          <w:p>
            <w:r>
              <w:rPr>
                <w:rFonts w:ascii="Times New Roman" w:hAnsi="Times New Roman"/>
                <w:sz w:val="20"/>
              </w:rPr>
              <w:t>Social Network</w:t>
            </w:r>
          </w:p>
        </w:tc>
        <w:tc>
          <w:tcPr>
            <w:tcW w:type="dxa" w:w="2929"/>
          </w:tcPr>
          <w:p>
            <w:r>
              <w:rPr>
                <w:rFonts w:ascii="Times New Roman" w:hAnsi="Times New Roman"/>
                <w:sz w:val="20"/>
              </w:rPr>
              <w:t>11</w:t>
            </w:r>
          </w:p>
        </w:tc>
        <w:tc>
          <w:tcPr>
            <w:tcW w:type="dxa" w:w="2929"/>
          </w:tcPr>
          <w:p>
            <w:r>
              <w:rPr>
                <w:rFonts w:ascii="Times New Roman" w:hAnsi="Times New Roman"/>
                <w:sz w:val="20"/>
              </w:rPr>
              <w:t>16.7%</w:t>
            </w:r>
          </w:p>
        </w:tc>
      </w:tr>
      <w:tr>
        <w:tc>
          <w:tcPr>
            <w:tcW w:type="dxa" w:w="2929"/>
          </w:tcPr>
          <w:p>
            <w:r>
              <w:rPr>
                <w:rFonts w:ascii="Times New Roman" w:hAnsi="Times New Roman"/>
                <w:sz w:val="20"/>
              </w:rPr>
              <w:t>Infrastructure</w:t>
            </w:r>
          </w:p>
        </w:tc>
        <w:tc>
          <w:tcPr>
            <w:tcW w:type="dxa" w:w="2929"/>
          </w:tcPr>
          <w:p>
            <w:r>
              <w:rPr>
                <w:rFonts w:ascii="Times New Roman" w:hAnsi="Times New Roman"/>
                <w:sz w:val="20"/>
              </w:rPr>
              <w:t>7</w:t>
            </w:r>
          </w:p>
        </w:tc>
        <w:tc>
          <w:tcPr>
            <w:tcW w:type="dxa" w:w="2929"/>
          </w:tcPr>
          <w:p>
            <w:r>
              <w:rPr>
                <w:rFonts w:ascii="Times New Roman" w:hAnsi="Times New Roman"/>
                <w:sz w:val="20"/>
              </w:rPr>
              <w:t>10.6%</w:t>
            </w:r>
          </w:p>
        </w:tc>
      </w:tr>
      <w:tr>
        <w:tc>
          <w:tcPr>
            <w:tcW w:type="dxa" w:w="2929"/>
          </w:tcPr>
          <w:p>
            <w:r>
              <w:rPr>
                <w:rFonts w:ascii="Times New Roman" w:hAnsi="Times New Roman"/>
                <w:sz w:val="20"/>
              </w:rPr>
              <w:t>DAO Tooling</w:t>
            </w:r>
          </w:p>
        </w:tc>
        <w:tc>
          <w:tcPr>
            <w:tcW w:type="dxa" w:w="2929"/>
          </w:tcPr>
          <w:p>
            <w:r>
              <w:rPr>
                <w:rFonts w:ascii="Times New Roman" w:hAnsi="Times New Roman"/>
                <w:sz w:val="20"/>
              </w:rPr>
              <w:t>5</w:t>
            </w:r>
          </w:p>
        </w:tc>
        <w:tc>
          <w:tcPr>
            <w:tcW w:type="dxa" w:w="2929"/>
          </w:tcPr>
          <w:p>
            <w:r>
              <w:rPr>
                <w:rFonts w:ascii="Times New Roman" w:hAnsi="Times New Roman"/>
                <w:sz w:val="20"/>
              </w:rPr>
              <w:t>7.6%</w:t>
            </w:r>
          </w:p>
        </w:tc>
      </w:tr>
      <w:tr>
        <w:tc>
          <w:tcPr>
            <w:tcW w:type="dxa" w:w="2929"/>
          </w:tcPr>
          <w:p>
            <w:r>
              <w:rPr>
                <w:rFonts w:ascii="Times New Roman" w:hAnsi="Times New Roman"/>
                <w:sz w:val="20"/>
              </w:rPr>
              <w:t>DEX</w:t>
            </w:r>
          </w:p>
        </w:tc>
        <w:tc>
          <w:tcPr>
            <w:tcW w:type="dxa" w:w="2929"/>
          </w:tcPr>
          <w:p>
            <w:r>
              <w:rPr>
                <w:rFonts w:ascii="Times New Roman" w:hAnsi="Times New Roman"/>
                <w:sz w:val="20"/>
              </w:rPr>
              <w:t>4</w:t>
            </w:r>
          </w:p>
        </w:tc>
        <w:tc>
          <w:tcPr>
            <w:tcW w:type="dxa" w:w="2929"/>
          </w:tcPr>
          <w:p>
            <w:r>
              <w:rPr>
                <w:rFonts w:ascii="Times New Roman" w:hAnsi="Times New Roman"/>
                <w:sz w:val="20"/>
              </w:rPr>
              <w:t>6.1%</w:t>
            </w:r>
          </w:p>
        </w:tc>
      </w:tr>
      <w:tr>
        <w:tc>
          <w:tcPr>
            <w:tcW w:type="dxa" w:w="2929"/>
          </w:tcPr>
          <w:p>
            <w:r>
              <w:rPr>
                <w:rFonts w:ascii="Times New Roman" w:hAnsi="Times New Roman"/>
                <w:sz w:val="20"/>
              </w:rPr>
              <w:t>SocialFi</w:t>
            </w:r>
          </w:p>
        </w:tc>
        <w:tc>
          <w:tcPr>
            <w:tcW w:type="dxa" w:w="2929"/>
          </w:tcPr>
          <w:p>
            <w:r>
              <w:rPr>
                <w:rFonts w:ascii="Times New Roman" w:hAnsi="Times New Roman"/>
                <w:sz w:val="20"/>
              </w:rPr>
              <w:t>3</w:t>
            </w:r>
          </w:p>
        </w:tc>
        <w:tc>
          <w:tcPr>
            <w:tcW w:type="dxa" w:w="2929"/>
          </w:tcPr>
          <w:p>
            <w:r>
              <w:rPr>
                <w:rFonts w:ascii="Times New Roman" w:hAnsi="Times New Roman"/>
                <w:sz w:val="20"/>
              </w:rPr>
              <w:t>4.5%</w:t>
            </w:r>
          </w:p>
        </w:tc>
      </w:tr>
      <w:tr>
        <w:tc>
          <w:tcPr>
            <w:tcW w:type="dxa" w:w="2929"/>
          </w:tcPr>
          <w:p>
            <w:r>
              <w:rPr>
                <w:rFonts w:ascii="Times New Roman" w:hAnsi="Times New Roman"/>
                <w:sz w:val="20"/>
              </w:rPr>
              <w:t>Metaverse</w:t>
            </w:r>
          </w:p>
        </w:tc>
        <w:tc>
          <w:tcPr>
            <w:tcW w:type="dxa" w:w="2929"/>
          </w:tcPr>
          <w:p>
            <w:r>
              <w:rPr>
                <w:rFonts w:ascii="Times New Roman" w:hAnsi="Times New Roman"/>
                <w:sz w:val="20"/>
              </w:rPr>
              <w:t>2</w:t>
            </w:r>
          </w:p>
        </w:tc>
        <w:tc>
          <w:tcPr>
            <w:tcW w:type="dxa" w:w="2929"/>
          </w:tcPr>
          <w:p>
            <w:r>
              <w:rPr>
                <w:rFonts w:ascii="Times New Roman" w:hAnsi="Times New Roman"/>
                <w:sz w:val="20"/>
              </w:rPr>
              <w:t>3.0%</w:t>
            </w:r>
          </w:p>
        </w:tc>
      </w:tr>
      <w:tr>
        <w:tc>
          <w:tcPr>
            <w:tcW w:type="dxa" w:w="2929"/>
          </w:tcPr>
          <w:p>
            <w:r>
              <w:rPr>
                <w:rFonts w:ascii="Times New Roman" w:hAnsi="Times New Roman"/>
                <w:sz w:val="20"/>
              </w:rPr>
              <w:t>Other categories</w:t>
            </w:r>
          </w:p>
        </w:tc>
        <w:tc>
          <w:tcPr>
            <w:tcW w:type="dxa" w:w="2929"/>
          </w:tcPr>
          <w:p>
            <w:r>
              <w:rPr>
                <w:rFonts w:ascii="Times New Roman" w:hAnsi="Times New Roman"/>
                <w:sz w:val="20"/>
              </w:rPr>
              <w:t>5</w:t>
            </w:r>
          </w:p>
        </w:tc>
        <w:tc>
          <w:tcPr>
            <w:tcW w:type="dxa" w:w="2929"/>
          </w:tcPr>
          <w:p>
            <w:r>
              <w:rPr>
                <w:rFonts w:ascii="Times New Roman" w:hAnsi="Times New Roman"/>
                <w:sz w:val="20"/>
              </w:rPr>
              <w:t>7.6%</w:t>
            </w:r>
          </w:p>
        </w:tc>
      </w:tr>
    </w:tbl>
    <w:p/>
    <w:p>
      <w:r>
        <w:rPr>
          <w:i/>
        </w:rPr>
        <w:t>Source: AI DApp theme universe.</w:t>
      </w:r>
    </w:p>
    <w:p>
      <w:r>
        <w:t>Three functionally distinct archetypes account for the majority of the AI DApp population:</w:t>
      </w:r>
    </w:p>
    <w:p>
      <w:pPr>
        <w:pStyle w:val="ListNumber"/>
      </w:pPr>
      <w:r>
        <w:rPr>
          <w:b/>
        </w:rPr>
        <w:t>AI gaming and reward-economy applications</w:t>
      </w:r>
      <w:r>
        <w:t xml:space="preserve"> (approximately 30–35 DApps): Integrate AI-generated environments, AI non-player characters (NPCs), or AI-scored tasks into play-to-earn or move-to-earn models. Revenue is deferred to token appreciation; on-chain volume is near zero despite high user counts.</w:t>
      </w:r>
    </w:p>
    <w:p>
      <w:pPr>
        <w:pStyle w:val="ListNumber"/>
      </w:pPr>
      <w:r>
        <w:rPr>
          <w:b/>
        </w:rPr>
        <w:t>AI infrastructure and agent platforms</w:t>
      </w:r>
      <w:r>
        <w:t xml:space="preserve"> (approximately 7–10 DApps): Provide compute, model access, or agent-launch infrastructure to other protocols. Revenue is fee-based (usage metering, launchpad take-rate). Market capitalisation is disproportionately high relative to user counts, as markets price platform optionality on the AI-agent economy.</w:t>
      </w:r>
    </w:p>
    <w:p>
      <w:pPr>
        <w:pStyle w:val="ListNumber"/>
      </w:pPr>
      <w:r>
        <w:rPr>
          <w:b/>
        </w:rPr>
        <w:t>AI-enhanced social and content platforms</w:t>
      </w:r>
      <w:r>
        <w:t xml:space="preserve"> (approximately 15–20 DApps): Apply AI to content recommendation, community moderation, or user-generated AI art. Governance is most frequently Snapshot off-chain; token models lean toward utility or governance-adjacent designs.</w:t>
      </w:r>
    </w:p>
    <w:p>
      <w:pPr>
        <w:pStyle w:val="Heading4"/>
      </w:pPr>
      <w:r>
        <w:t>Chain Distribution: BNB Chain for Gaming, Base for AI Infrastructure</w:t>
      </w:r>
    </w:p>
    <w:p>
      <w:r>
        <w:rPr>
          <w:b/>
        </w:rPr>
        <w:t>Table 4.11 — Top chains by AI DApp deployment (loose universe, N=66)</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Chain</w:t>
            </w:r>
          </w:p>
        </w:tc>
        <w:tc>
          <w:tcPr>
            <w:tcW w:type="dxa" w:w="2929"/>
          </w:tcPr>
          <w:p>
            <w:r>
              <w:rPr>
                <w:rFonts w:ascii="Times New Roman" w:hAnsi="Times New Roman"/>
                <w:b/>
                <w:sz w:val="20"/>
              </w:rPr>
              <w:t>Deployments</w:t>
            </w:r>
          </w:p>
        </w:tc>
        <w:tc>
          <w:tcPr>
            <w:tcW w:type="dxa" w:w="2929"/>
          </w:tcPr>
          <w:p>
            <w:r>
              <w:rPr>
                <w:rFonts w:ascii="Times New Roman" w:hAnsi="Times New Roman"/>
                <w:b/>
                <w:sz w:val="20"/>
              </w:rPr>
              <w:t>Share of AI cohort</w:t>
            </w:r>
          </w:p>
        </w:tc>
      </w:tr>
      <w:tr>
        <w:tc>
          <w:tcPr>
            <w:tcW w:type="dxa" w:w="2929"/>
          </w:tcPr>
          <w:p>
            <w:r>
              <w:rPr>
                <w:rFonts w:ascii="Times New Roman" w:hAnsi="Times New Roman"/>
                <w:sz w:val="20"/>
              </w:rPr>
              <w:t>BNB Chain</w:t>
            </w:r>
          </w:p>
        </w:tc>
        <w:tc>
          <w:tcPr>
            <w:tcW w:type="dxa" w:w="2929"/>
          </w:tcPr>
          <w:p>
            <w:r>
              <w:rPr>
                <w:rFonts w:ascii="Times New Roman" w:hAnsi="Times New Roman"/>
                <w:sz w:val="20"/>
              </w:rPr>
              <w:t>26</w:t>
            </w:r>
          </w:p>
        </w:tc>
        <w:tc>
          <w:tcPr>
            <w:tcW w:type="dxa" w:w="2929"/>
          </w:tcPr>
          <w:p>
            <w:r>
              <w:rPr>
                <w:rFonts w:ascii="Times New Roman" w:hAnsi="Times New Roman"/>
                <w:sz w:val="20"/>
              </w:rPr>
              <w:t>39.4%</w:t>
            </w:r>
          </w:p>
        </w:tc>
      </w:tr>
      <w:tr>
        <w:tc>
          <w:tcPr>
            <w:tcW w:type="dxa" w:w="2929"/>
          </w:tcPr>
          <w:p>
            <w:r>
              <w:rPr>
                <w:rFonts w:ascii="Times New Roman" w:hAnsi="Times New Roman"/>
                <w:sz w:val="20"/>
              </w:rPr>
              <w:t>Base</w:t>
            </w:r>
          </w:p>
        </w:tc>
        <w:tc>
          <w:tcPr>
            <w:tcW w:type="dxa" w:w="2929"/>
          </w:tcPr>
          <w:p>
            <w:r>
              <w:rPr>
                <w:rFonts w:ascii="Times New Roman" w:hAnsi="Times New Roman"/>
                <w:sz w:val="20"/>
              </w:rPr>
              <w:t>22</w:t>
            </w:r>
          </w:p>
        </w:tc>
        <w:tc>
          <w:tcPr>
            <w:tcW w:type="dxa" w:w="2929"/>
          </w:tcPr>
          <w:p>
            <w:r>
              <w:rPr>
                <w:rFonts w:ascii="Times New Roman" w:hAnsi="Times New Roman"/>
                <w:sz w:val="20"/>
              </w:rPr>
              <w:t>33.3%</w:t>
            </w:r>
          </w:p>
        </w:tc>
      </w:tr>
      <w:tr>
        <w:tc>
          <w:tcPr>
            <w:tcW w:type="dxa" w:w="2929"/>
          </w:tcPr>
          <w:p>
            <w:r>
              <w:rPr>
                <w:rFonts w:ascii="Times New Roman" w:hAnsi="Times New Roman"/>
                <w:sz w:val="20"/>
              </w:rPr>
              <w:t>Ethereum</w:t>
            </w:r>
          </w:p>
        </w:tc>
        <w:tc>
          <w:tcPr>
            <w:tcW w:type="dxa" w:w="2929"/>
          </w:tcPr>
          <w:p>
            <w:r>
              <w:rPr>
                <w:rFonts w:ascii="Times New Roman" w:hAnsi="Times New Roman"/>
                <w:sz w:val="20"/>
              </w:rPr>
              <w:t>21</w:t>
            </w:r>
          </w:p>
        </w:tc>
        <w:tc>
          <w:tcPr>
            <w:tcW w:type="dxa" w:w="2929"/>
          </w:tcPr>
          <w:p>
            <w:r>
              <w:rPr>
                <w:rFonts w:ascii="Times New Roman" w:hAnsi="Times New Roman"/>
                <w:sz w:val="20"/>
              </w:rPr>
              <w:t>31.8%</w:t>
            </w:r>
          </w:p>
        </w:tc>
      </w:tr>
      <w:tr>
        <w:tc>
          <w:tcPr>
            <w:tcW w:type="dxa" w:w="2929"/>
          </w:tcPr>
          <w:p>
            <w:r>
              <w:rPr>
                <w:rFonts w:ascii="Times New Roman" w:hAnsi="Times New Roman"/>
                <w:sz w:val="20"/>
              </w:rPr>
              <w:t>Arbitrum</w:t>
            </w:r>
          </w:p>
        </w:tc>
        <w:tc>
          <w:tcPr>
            <w:tcW w:type="dxa" w:w="2929"/>
          </w:tcPr>
          <w:p>
            <w:r>
              <w:rPr>
                <w:rFonts w:ascii="Times New Roman" w:hAnsi="Times New Roman"/>
                <w:sz w:val="20"/>
              </w:rPr>
              <w:t>13</w:t>
            </w:r>
          </w:p>
        </w:tc>
        <w:tc>
          <w:tcPr>
            <w:tcW w:type="dxa" w:w="2929"/>
          </w:tcPr>
          <w:p>
            <w:r>
              <w:rPr>
                <w:rFonts w:ascii="Times New Roman" w:hAnsi="Times New Roman"/>
                <w:sz w:val="20"/>
              </w:rPr>
              <w:t>19.7%</w:t>
            </w:r>
          </w:p>
        </w:tc>
      </w:tr>
      <w:tr>
        <w:tc>
          <w:tcPr>
            <w:tcW w:type="dxa" w:w="2929"/>
          </w:tcPr>
          <w:p>
            <w:r>
              <w:rPr>
                <w:rFonts w:ascii="Times New Roman" w:hAnsi="Times New Roman"/>
                <w:sz w:val="20"/>
              </w:rPr>
              <w:t>opBNB</w:t>
            </w:r>
          </w:p>
        </w:tc>
        <w:tc>
          <w:tcPr>
            <w:tcW w:type="dxa" w:w="2929"/>
          </w:tcPr>
          <w:p>
            <w:r>
              <w:rPr>
                <w:rFonts w:ascii="Times New Roman" w:hAnsi="Times New Roman"/>
                <w:sz w:val="20"/>
              </w:rPr>
              <w:t>12</w:t>
            </w:r>
          </w:p>
        </w:tc>
        <w:tc>
          <w:tcPr>
            <w:tcW w:type="dxa" w:w="2929"/>
          </w:tcPr>
          <w:p>
            <w:r>
              <w:rPr>
                <w:rFonts w:ascii="Times New Roman" w:hAnsi="Times New Roman"/>
                <w:sz w:val="20"/>
              </w:rPr>
              <w:t>18.2%</w:t>
            </w:r>
          </w:p>
        </w:tc>
      </w:tr>
      <w:tr>
        <w:tc>
          <w:tcPr>
            <w:tcW w:type="dxa" w:w="2929"/>
          </w:tcPr>
          <w:p>
            <w:r>
              <w:rPr>
                <w:rFonts w:ascii="Times New Roman" w:hAnsi="Times New Roman"/>
                <w:sz w:val="20"/>
              </w:rPr>
              <w:t>Polygon</w:t>
            </w:r>
          </w:p>
        </w:tc>
        <w:tc>
          <w:tcPr>
            <w:tcW w:type="dxa" w:w="2929"/>
          </w:tcPr>
          <w:p>
            <w:r>
              <w:rPr>
                <w:rFonts w:ascii="Times New Roman" w:hAnsi="Times New Roman"/>
                <w:sz w:val="20"/>
              </w:rPr>
              <w:t>10</w:t>
            </w:r>
          </w:p>
        </w:tc>
        <w:tc>
          <w:tcPr>
            <w:tcW w:type="dxa" w:w="2929"/>
          </w:tcPr>
          <w:p>
            <w:r>
              <w:rPr>
                <w:rFonts w:ascii="Times New Roman" w:hAnsi="Times New Roman"/>
                <w:sz w:val="20"/>
              </w:rPr>
              <w:t>15.2%</w:t>
            </w:r>
          </w:p>
        </w:tc>
      </w:tr>
      <w:tr>
        <w:tc>
          <w:tcPr>
            <w:tcW w:type="dxa" w:w="2929"/>
          </w:tcPr>
          <w:p>
            <w:r>
              <w:rPr>
                <w:rFonts w:ascii="Times New Roman" w:hAnsi="Times New Roman"/>
                <w:sz w:val="20"/>
              </w:rPr>
              <w:t>Solana</w:t>
            </w:r>
          </w:p>
        </w:tc>
        <w:tc>
          <w:tcPr>
            <w:tcW w:type="dxa" w:w="2929"/>
          </w:tcPr>
          <w:p>
            <w:r>
              <w:rPr>
                <w:rFonts w:ascii="Times New Roman" w:hAnsi="Times New Roman"/>
                <w:sz w:val="20"/>
              </w:rPr>
              <w:t>7</w:t>
            </w:r>
          </w:p>
        </w:tc>
        <w:tc>
          <w:tcPr>
            <w:tcW w:type="dxa" w:w="2929"/>
          </w:tcPr>
          <w:p>
            <w:r>
              <w:rPr>
                <w:rFonts w:ascii="Times New Roman" w:hAnsi="Times New Roman"/>
                <w:sz w:val="20"/>
              </w:rPr>
              <w:t>10.6%</w:t>
            </w:r>
          </w:p>
        </w:tc>
      </w:tr>
      <w:tr>
        <w:tc>
          <w:tcPr>
            <w:tcW w:type="dxa" w:w="2929"/>
          </w:tcPr>
          <w:p>
            <w:r>
              <w:rPr>
                <w:rFonts w:ascii="Times New Roman" w:hAnsi="Times New Roman"/>
                <w:sz w:val="20"/>
              </w:rPr>
              <w:t>Linea</w:t>
            </w:r>
          </w:p>
        </w:tc>
        <w:tc>
          <w:tcPr>
            <w:tcW w:type="dxa" w:w="2929"/>
          </w:tcPr>
          <w:p>
            <w:r>
              <w:rPr>
                <w:rFonts w:ascii="Times New Roman" w:hAnsi="Times New Roman"/>
                <w:sz w:val="20"/>
              </w:rPr>
              <w:t>5</w:t>
            </w:r>
          </w:p>
        </w:tc>
        <w:tc>
          <w:tcPr>
            <w:tcW w:type="dxa" w:w="2929"/>
          </w:tcPr>
          <w:p>
            <w:r>
              <w:rPr>
                <w:rFonts w:ascii="Times New Roman" w:hAnsi="Times New Roman"/>
                <w:sz w:val="20"/>
              </w:rPr>
              <w:t>7.6%</w:t>
            </w:r>
          </w:p>
        </w:tc>
      </w:tr>
    </w:tbl>
    <w:p/>
    <w:p>
      <w:r>
        <w:rPr>
          <w:i/>
        </w:rPr>
        <w:t>Note: multi-chain DApps are counted once per chain; shares do not sum to 100%.</w:t>
      </w:r>
    </w:p>
    <w:p>
      <w:r>
        <w:t>BNB Chain's leading position (39.4 per cent of AI DApps) is driven by the preponderance of AI gaming and reward-economy applications targeting the Telegram Mini App and opBNB micro-transaction ecosystems. opBNB itself ranks fifth (18.2 per cent) as the preferred scaling chain for gaming reward distributions that require sub-cent transaction fees. Base's strong showing (33.3 per cent) reflects the concentration of venture-backed AI infrastructure and agent-platform projects on Coinbase's L2 — Virtuals Protocol, its largest AI DApp by market cap, launched on Base and has attracted derivative agent projects to the same chain. The 40.9 per cent multi-chain adoption rate sits above the prediction market baseline (19.4 per cent) and roughly in line with the cross-ecosystem average (36.2 per cent), but well below the DeFi sector rate of 55.2 per cent — suggesting that AI DApps chain-select for user acquisition and cost rather than for financial composability.</w:t>
      </w:r>
    </w:p>
    <w:p>
      <w:pPr>
        <w:pStyle w:val="Heading4"/>
      </w:pPr>
      <w:r>
        <w:t>Key DApps: Extreme Scale Gaps Across AI Archetypes</w:t>
      </w:r>
    </w:p>
    <w:p>
      <w:r>
        <w:rPr>
          <w:b/>
        </w:rPr>
        <w:t>Table 4.12 — Representative AI DApps by active users (loose universe)</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r>
              <w:rPr>
                <w:rFonts w:ascii="Times New Roman" w:hAnsi="Times New Roman"/>
                <w:b/>
                <w:sz w:val="20"/>
              </w:rPr>
              <w:t>DApp</w:t>
            </w:r>
          </w:p>
        </w:tc>
        <w:tc>
          <w:tcPr>
            <w:tcW w:type="dxa" w:w="1255"/>
          </w:tcPr>
          <w:p>
            <w:r>
              <w:rPr>
                <w:rFonts w:ascii="Times New Roman" w:hAnsi="Times New Roman"/>
                <w:b/>
                <w:sz w:val="20"/>
              </w:rPr>
              <w:t>Users</w:t>
            </w:r>
          </w:p>
        </w:tc>
        <w:tc>
          <w:tcPr>
            <w:tcW w:type="dxa" w:w="1255"/>
          </w:tcPr>
          <w:p>
            <w:r>
              <w:rPr>
                <w:rFonts w:ascii="Times New Roman" w:hAnsi="Times New Roman"/>
                <w:b/>
                <w:sz w:val="20"/>
              </w:rPr>
              <w:t>Volume</w:t>
            </w:r>
          </w:p>
        </w:tc>
        <w:tc>
          <w:tcPr>
            <w:tcW w:type="dxa" w:w="1255"/>
          </w:tcPr>
          <w:p>
            <w:r>
              <w:rPr>
                <w:rFonts w:ascii="Times New Roman" w:hAnsi="Times New Roman"/>
                <w:b/>
                <w:sz w:val="20"/>
              </w:rPr>
              <w:t>MCap</w:t>
            </w:r>
          </w:p>
        </w:tc>
        <w:tc>
          <w:tcPr>
            <w:tcW w:type="dxa" w:w="1255"/>
          </w:tcPr>
          <w:p>
            <w:r>
              <w:rPr>
                <w:rFonts w:ascii="Times New Roman" w:hAnsi="Times New Roman"/>
                <w:b/>
                <w:sz w:val="20"/>
              </w:rPr>
              <w:t>Gov. type</w:t>
            </w:r>
          </w:p>
        </w:tc>
        <w:tc>
          <w:tcPr>
            <w:tcW w:type="dxa" w:w="1255"/>
          </w:tcPr>
          <w:p>
            <w:r>
              <w:rPr>
                <w:rFonts w:ascii="Times New Roman" w:hAnsi="Times New Roman"/>
                <w:b/>
                <w:sz w:val="20"/>
              </w:rPr>
              <w:t>Token</w:t>
            </w:r>
          </w:p>
        </w:tc>
        <w:tc>
          <w:tcPr>
            <w:tcW w:type="dxa" w:w="1255"/>
          </w:tcPr>
          <w:p>
            <w:r>
              <w:rPr>
                <w:rFonts w:ascii="Times New Roman" w:hAnsi="Times New Roman"/>
                <w:b/>
                <w:sz w:val="20"/>
              </w:rPr>
              <w:t>Archetype</w:t>
            </w:r>
          </w:p>
        </w:tc>
      </w:tr>
      <w:tr>
        <w:tc>
          <w:tcPr>
            <w:tcW w:type="dxa" w:w="1255"/>
          </w:tcPr>
          <w:p>
            <w:r>
              <w:rPr>
                <w:rFonts w:ascii="Times New Roman" w:hAnsi="Times New Roman"/>
                <w:sz w:val="20"/>
              </w:rPr>
              <w:t>Hot Spring — The Cozy World</w:t>
            </w:r>
          </w:p>
        </w:tc>
        <w:tc>
          <w:tcPr>
            <w:tcW w:type="dxa" w:w="1255"/>
          </w:tcPr>
          <w:p>
            <w:r>
              <w:rPr>
                <w:rFonts w:ascii="Times New Roman" w:hAnsi="Times New Roman"/>
                <w:sz w:val="20"/>
              </w:rPr>
              <w:t>2,924,351</w:t>
            </w:r>
          </w:p>
        </w:tc>
        <w:tc>
          <w:tcPr>
            <w:tcW w:type="dxa" w:w="1255"/>
          </w:tcPr>
          <w:p>
            <w:r>
              <w:rPr>
                <w:rFonts w:ascii="Times New Roman" w:hAnsi="Times New Roman"/>
                <w:sz w:val="20"/>
              </w:rPr>
              <w:t>—</w:t>
            </w:r>
          </w:p>
        </w:tc>
        <w:tc>
          <w:tcPr>
            <w:tcW w:type="dxa" w:w="1255"/>
          </w:tcPr>
          <w:p>
            <w:r>
              <w:rPr>
                <w:rFonts w:ascii="Times New Roman" w:hAnsi="Times New Roman"/>
                <w:sz w:val="20"/>
              </w:rPr>
              <w:t>—</w:t>
            </w:r>
          </w:p>
        </w:tc>
        <w:tc>
          <w:tcPr>
            <w:tcW w:type="dxa" w:w="1255"/>
          </w:tcPr>
          <w:p>
            <w:r>
              <w:rPr>
                <w:rFonts w:ascii="Times New Roman" w:hAnsi="Times New Roman"/>
                <w:sz w:val="20"/>
              </w:rPr>
              <w:t>HYBRID</w:t>
            </w:r>
          </w:p>
        </w:tc>
        <w:tc>
          <w:tcPr>
            <w:tcW w:type="dxa" w:w="1255"/>
          </w:tcPr>
          <w:p>
            <w:r>
              <w:rPr>
                <w:rFonts w:ascii="Times New Roman" w:hAnsi="Times New Roman"/>
                <w:sz w:val="20"/>
              </w:rPr>
              <w:t>REWARD</w:t>
            </w:r>
          </w:p>
        </w:tc>
        <w:tc>
          <w:tcPr>
            <w:tcW w:type="dxa" w:w="1255"/>
          </w:tcPr>
          <w:p>
            <w:r>
              <w:rPr>
                <w:rFonts w:ascii="Times New Roman" w:hAnsi="Times New Roman"/>
                <w:sz w:val="20"/>
              </w:rPr>
              <w:t>Gaming/reward</w:t>
            </w:r>
          </w:p>
        </w:tc>
      </w:tr>
      <w:tr>
        <w:tc>
          <w:tcPr>
            <w:tcW w:type="dxa" w:w="1255"/>
          </w:tcPr>
          <w:p>
            <w:r>
              <w:rPr>
                <w:rFonts w:ascii="Times New Roman" w:hAnsi="Times New Roman"/>
                <w:sz w:val="20"/>
              </w:rPr>
              <w:t>Alaya AI</w:t>
            </w:r>
          </w:p>
        </w:tc>
        <w:tc>
          <w:tcPr>
            <w:tcW w:type="dxa" w:w="1255"/>
          </w:tcPr>
          <w:p>
            <w:r>
              <w:rPr>
                <w:rFonts w:ascii="Times New Roman" w:hAnsi="Times New Roman"/>
                <w:sz w:val="20"/>
              </w:rPr>
              <w:t>1,869,774</w:t>
            </w:r>
          </w:p>
        </w:tc>
        <w:tc>
          <w:tcPr>
            <w:tcW w:type="dxa" w:w="1255"/>
          </w:tcPr>
          <w:p>
            <w:r>
              <w:rPr>
                <w:rFonts w:ascii="Times New Roman" w:hAnsi="Times New Roman"/>
                <w:sz w:val="20"/>
              </w:rPr>
              <w:t>—</w:t>
            </w:r>
          </w:p>
        </w:tc>
        <w:tc>
          <w:tcPr>
            <w:tcW w:type="dxa" w:w="1255"/>
          </w:tcPr>
          <w:p>
            <w:r>
              <w:rPr>
                <w:rFonts w:ascii="Times New Roman" w:hAnsi="Times New Roman"/>
                <w:sz w:val="20"/>
              </w:rPr>
              <w:t>—</w:t>
            </w:r>
          </w:p>
        </w:tc>
        <w:tc>
          <w:tcPr>
            <w:tcW w:type="dxa" w:w="1255"/>
          </w:tcPr>
          <w:p>
            <w:r>
              <w:rPr>
                <w:rFonts w:ascii="Times New Roman" w:hAnsi="Times New Roman"/>
                <w:sz w:val="20"/>
              </w:rPr>
              <w:t>TEAM\_CONTROLLED</w:t>
            </w:r>
          </w:p>
        </w:tc>
        <w:tc>
          <w:tcPr>
            <w:tcW w:type="dxa" w:w="1255"/>
          </w:tcPr>
          <w:p>
            <w:r>
              <w:rPr>
                <w:rFonts w:ascii="Times New Roman" w:hAnsi="Times New Roman"/>
                <w:sz w:val="20"/>
              </w:rPr>
              <w:t>UTILITY</w:t>
            </w:r>
          </w:p>
        </w:tc>
        <w:tc>
          <w:tcPr>
            <w:tcW w:type="dxa" w:w="1255"/>
          </w:tcPr>
          <w:p>
            <w:r>
              <w:rPr>
                <w:rFonts w:ascii="Times New Roman" w:hAnsi="Times New Roman"/>
                <w:sz w:val="20"/>
              </w:rPr>
              <w:t>Data/reward</w:t>
            </w:r>
          </w:p>
        </w:tc>
      </w:tr>
      <w:tr>
        <w:tc>
          <w:tcPr>
            <w:tcW w:type="dxa" w:w="1255"/>
          </w:tcPr>
          <w:p>
            <w:r>
              <w:rPr>
                <w:rFonts w:ascii="Times New Roman" w:hAnsi="Times New Roman"/>
                <w:sz w:val="20"/>
              </w:rPr>
              <w:t>FishWar</w:t>
            </w:r>
          </w:p>
        </w:tc>
        <w:tc>
          <w:tcPr>
            <w:tcW w:type="dxa" w:w="1255"/>
          </w:tcPr>
          <w:p>
            <w:r>
              <w:rPr>
                <w:rFonts w:ascii="Times New Roman" w:hAnsi="Times New Roman"/>
                <w:sz w:val="20"/>
              </w:rPr>
              <w:t>560,738</w:t>
            </w:r>
          </w:p>
        </w:tc>
        <w:tc>
          <w:tcPr>
            <w:tcW w:type="dxa" w:w="1255"/>
          </w:tcPr>
          <w:p>
            <w:r>
              <w:rPr>
                <w:rFonts w:ascii="Times New Roman" w:hAnsi="Times New Roman"/>
                <w:sz w:val="20"/>
              </w:rPr>
              <w:t>$0.9M</w:t>
            </w:r>
          </w:p>
        </w:tc>
        <w:tc>
          <w:tcPr>
            <w:tcW w:type="dxa" w:w="1255"/>
          </w:tcPr>
          <w:p>
            <w:r>
              <w:rPr>
                <w:rFonts w:ascii="Times New Roman" w:hAnsi="Times New Roman"/>
                <w:sz w:val="20"/>
              </w:rPr>
              <w:t>$0.3M</w:t>
            </w:r>
          </w:p>
        </w:tc>
        <w:tc>
          <w:tcPr>
            <w:tcW w:type="dxa" w:w="1255"/>
          </w:tcPr>
          <w:p>
            <w:r>
              <w:rPr>
                <w:rFonts w:ascii="Times New Roman" w:hAnsi="Times New Roman"/>
                <w:sz w:val="20"/>
              </w:rPr>
              <w:t>TEAM\_CONTROLLED</w:t>
            </w:r>
          </w:p>
        </w:tc>
        <w:tc>
          <w:tcPr>
            <w:tcW w:type="dxa" w:w="1255"/>
          </w:tcPr>
          <w:p>
            <w:r>
              <w:rPr>
                <w:rFonts w:ascii="Times New Roman" w:hAnsi="Times New Roman"/>
                <w:sz w:val="20"/>
              </w:rPr>
              <w:t>REWARD</w:t>
            </w:r>
          </w:p>
        </w:tc>
        <w:tc>
          <w:tcPr>
            <w:tcW w:type="dxa" w:w="1255"/>
          </w:tcPr>
          <w:p>
            <w:r>
              <w:rPr>
                <w:rFonts w:ascii="Times New Roman" w:hAnsi="Times New Roman"/>
                <w:sz w:val="20"/>
              </w:rPr>
              <w:t>Gaming/reward</w:t>
            </w:r>
          </w:p>
        </w:tc>
      </w:tr>
      <w:tr>
        <w:tc>
          <w:tcPr>
            <w:tcW w:type="dxa" w:w="1255"/>
          </w:tcPr>
          <w:p>
            <w:r>
              <w:rPr>
                <w:rFonts w:ascii="Times New Roman" w:hAnsi="Times New Roman"/>
                <w:sz w:val="20"/>
              </w:rPr>
              <w:t>OpenPad AI</w:t>
            </w:r>
          </w:p>
        </w:tc>
        <w:tc>
          <w:tcPr>
            <w:tcW w:type="dxa" w:w="1255"/>
          </w:tcPr>
          <w:p>
            <w:r>
              <w:rPr>
                <w:rFonts w:ascii="Times New Roman" w:hAnsi="Times New Roman"/>
                <w:sz w:val="20"/>
              </w:rPr>
              <w:t>293,016</w:t>
            </w:r>
          </w:p>
        </w:tc>
        <w:tc>
          <w:tcPr>
            <w:tcW w:type="dxa" w:w="1255"/>
          </w:tcPr>
          <w:p>
            <w:r>
              <w:rPr>
                <w:rFonts w:ascii="Times New Roman" w:hAnsi="Times New Roman"/>
                <w:sz w:val="20"/>
              </w:rPr>
              <w:t>—</w:t>
            </w:r>
          </w:p>
        </w:tc>
        <w:tc>
          <w:tcPr>
            <w:tcW w:type="dxa" w:w="1255"/>
          </w:tcPr>
          <w:p>
            <w:r>
              <w:rPr>
                <w:rFonts w:ascii="Times New Roman" w:hAnsi="Times New Roman"/>
                <w:sz w:val="20"/>
              </w:rPr>
              <w:t>—</w:t>
            </w:r>
          </w:p>
        </w:tc>
        <w:tc>
          <w:tcPr>
            <w:tcW w:type="dxa" w:w="1255"/>
          </w:tcPr>
          <w:p>
            <w:r>
              <w:rPr>
                <w:rFonts w:ascii="Times New Roman" w:hAnsi="Times New Roman"/>
                <w:sz w:val="20"/>
              </w:rPr>
              <w:t>TEAM\_CONTROLLED</w:t>
            </w:r>
          </w:p>
        </w:tc>
        <w:tc>
          <w:tcPr>
            <w:tcW w:type="dxa" w:w="1255"/>
          </w:tcPr>
          <w:p>
            <w:r>
              <w:rPr>
                <w:rFonts w:ascii="Times New Roman" w:hAnsi="Times New Roman"/>
                <w:sz w:val="20"/>
              </w:rPr>
              <w:t>—</w:t>
            </w:r>
          </w:p>
        </w:tc>
        <w:tc>
          <w:tcPr>
            <w:tcW w:type="dxa" w:w="1255"/>
          </w:tcPr>
          <w:p>
            <w:r>
              <w:rPr>
                <w:rFonts w:ascii="Times New Roman" w:hAnsi="Times New Roman"/>
                <w:sz w:val="20"/>
              </w:rPr>
              <w:t>Social/tools</w:t>
            </w:r>
          </w:p>
        </w:tc>
      </w:tr>
      <w:tr>
        <w:tc>
          <w:tcPr>
            <w:tcW w:type="dxa" w:w="1255"/>
          </w:tcPr>
          <w:p>
            <w:r>
              <w:rPr>
                <w:rFonts w:ascii="Times New Roman" w:hAnsi="Times New Roman"/>
                <w:sz w:val="20"/>
              </w:rPr>
              <w:t>ChainOpera AI</w:t>
            </w:r>
          </w:p>
        </w:tc>
        <w:tc>
          <w:tcPr>
            <w:tcW w:type="dxa" w:w="1255"/>
          </w:tcPr>
          <w:p>
            <w:r>
              <w:rPr>
                <w:rFonts w:ascii="Times New Roman" w:hAnsi="Times New Roman"/>
                <w:sz w:val="20"/>
              </w:rPr>
              <w:t>162,072</w:t>
            </w:r>
          </w:p>
        </w:tc>
        <w:tc>
          <w:tcPr>
            <w:tcW w:type="dxa" w:w="1255"/>
          </w:tcPr>
          <w:p>
            <w:r>
              <w:rPr>
                <w:rFonts w:ascii="Times New Roman" w:hAnsi="Times New Roman"/>
                <w:sz w:val="20"/>
              </w:rPr>
              <w:t>$0.1M</w:t>
            </w:r>
          </w:p>
        </w:tc>
        <w:tc>
          <w:tcPr>
            <w:tcW w:type="dxa" w:w="1255"/>
          </w:tcPr>
          <w:p>
            <w:r>
              <w:rPr>
                <w:rFonts w:ascii="Times New Roman" w:hAnsi="Times New Roman"/>
                <w:sz w:val="20"/>
              </w:rPr>
              <w:t>$105.5M</w:t>
            </w:r>
          </w:p>
        </w:tc>
        <w:tc>
          <w:tcPr>
            <w:tcW w:type="dxa" w:w="1255"/>
          </w:tcPr>
          <w:p>
            <w:r>
              <w:rPr>
                <w:rFonts w:ascii="Times New Roman" w:hAnsi="Times New Roman"/>
                <w:sz w:val="20"/>
              </w:rPr>
              <w:t>SNAPSHOT\_OFFCHAIN</w:t>
            </w:r>
          </w:p>
        </w:tc>
        <w:tc>
          <w:tcPr>
            <w:tcW w:type="dxa" w:w="1255"/>
          </w:tcPr>
          <w:p>
            <w:r>
              <w:rPr>
                <w:rFonts w:ascii="Times New Roman" w:hAnsi="Times New Roman"/>
                <w:sz w:val="20"/>
              </w:rPr>
              <w:t>—</w:t>
            </w:r>
          </w:p>
        </w:tc>
        <w:tc>
          <w:tcPr>
            <w:tcW w:type="dxa" w:w="1255"/>
          </w:tcPr>
          <w:p>
            <w:r>
              <w:rPr>
                <w:rFonts w:ascii="Times New Roman" w:hAnsi="Times New Roman"/>
                <w:sz w:val="20"/>
              </w:rPr>
              <w:t>Infrastructure</w:t>
            </w:r>
          </w:p>
        </w:tc>
      </w:tr>
      <w:tr>
        <w:tc>
          <w:tcPr>
            <w:tcW w:type="dxa" w:w="1255"/>
          </w:tcPr>
          <w:p>
            <w:r>
              <w:rPr>
                <w:rFonts w:ascii="Times New Roman" w:hAnsi="Times New Roman"/>
                <w:sz w:val="20"/>
              </w:rPr>
              <w:t>Sleepless AI</w:t>
            </w:r>
          </w:p>
        </w:tc>
        <w:tc>
          <w:tcPr>
            <w:tcW w:type="dxa" w:w="1255"/>
          </w:tcPr>
          <w:p>
            <w:r>
              <w:rPr>
                <w:rFonts w:ascii="Times New Roman" w:hAnsi="Times New Roman"/>
                <w:sz w:val="20"/>
              </w:rPr>
              <w:t>73,338</w:t>
            </w:r>
          </w:p>
        </w:tc>
        <w:tc>
          <w:tcPr>
            <w:tcW w:type="dxa" w:w="1255"/>
          </w:tcPr>
          <w:p>
            <w:r>
              <w:rPr>
                <w:rFonts w:ascii="Times New Roman" w:hAnsi="Times New Roman"/>
                <w:sz w:val="20"/>
              </w:rPr>
              <w:t>—</w:t>
            </w:r>
          </w:p>
        </w:tc>
        <w:tc>
          <w:tcPr>
            <w:tcW w:type="dxa" w:w="1255"/>
          </w:tcPr>
          <w:p>
            <w:r>
              <w:rPr>
                <w:rFonts w:ascii="Times New Roman" w:hAnsi="Times New Roman"/>
                <w:sz w:val="20"/>
              </w:rPr>
              <w:t>$19.9M</w:t>
            </w:r>
          </w:p>
        </w:tc>
        <w:tc>
          <w:tcPr>
            <w:tcW w:type="dxa" w:w="1255"/>
          </w:tcPr>
          <w:p>
            <w:r>
              <w:rPr>
                <w:rFonts w:ascii="Times New Roman" w:hAnsi="Times New Roman"/>
                <w:sz w:val="20"/>
              </w:rPr>
              <w:t>SNAPSHOT\_OFFCHAIN</w:t>
            </w:r>
          </w:p>
        </w:tc>
        <w:tc>
          <w:tcPr>
            <w:tcW w:type="dxa" w:w="1255"/>
          </w:tcPr>
          <w:p>
            <w:r>
              <w:rPr>
                <w:rFonts w:ascii="Times New Roman" w:hAnsi="Times New Roman"/>
                <w:sz w:val="20"/>
              </w:rPr>
              <w:t>REWARD</w:t>
            </w:r>
          </w:p>
        </w:tc>
        <w:tc>
          <w:tcPr>
            <w:tcW w:type="dxa" w:w="1255"/>
          </w:tcPr>
          <w:p>
            <w:r>
              <w:rPr>
                <w:rFonts w:ascii="Times New Roman" w:hAnsi="Times New Roman"/>
                <w:sz w:val="20"/>
              </w:rPr>
              <w:t>Gaming/reward</w:t>
            </w:r>
          </w:p>
        </w:tc>
      </w:tr>
      <w:tr>
        <w:tc>
          <w:tcPr>
            <w:tcW w:type="dxa" w:w="1255"/>
          </w:tcPr>
          <w:p>
            <w:r>
              <w:rPr>
                <w:rFonts w:ascii="Times New Roman" w:hAnsi="Times New Roman"/>
                <w:sz w:val="20"/>
              </w:rPr>
              <w:t>Virtuals Protocol</w:t>
            </w:r>
          </w:p>
        </w:tc>
        <w:tc>
          <w:tcPr>
            <w:tcW w:type="dxa" w:w="1255"/>
          </w:tcPr>
          <w:p>
            <w:r>
              <w:rPr>
                <w:rFonts w:ascii="Times New Roman" w:hAnsi="Times New Roman"/>
                <w:sz w:val="20"/>
              </w:rPr>
              <w:t>39,464</w:t>
            </w:r>
          </w:p>
        </w:tc>
        <w:tc>
          <w:tcPr>
            <w:tcW w:type="dxa" w:w="1255"/>
          </w:tcPr>
          <w:p>
            <w:r>
              <w:rPr>
                <w:rFonts w:ascii="Times New Roman" w:hAnsi="Times New Roman"/>
                <w:sz w:val="20"/>
              </w:rPr>
              <w:t>$7.8M</w:t>
            </w:r>
          </w:p>
        </w:tc>
        <w:tc>
          <w:tcPr>
            <w:tcW w:type="dxa" w:w="1255"/>
          </w:tcPr>
          <w:p>
            <w:r>
              <w:rPr>
                <w:rFonts w:ascii="Times New Roman" w:hAnsi="Times New Roman"/>
                <w:sz w:val="20"/>
              </w:rPr>
              <w:t>$606.3M</w:t>
            </w:r>
          </w:p>
        </w:tc>
        <w:tc>
          <w:tcPr>
            <w:tcW w:type="dxa" w:w="1255"/>
          </w:tcPr>
          <w:p>
            <w:r>
              <w:rPr>
                <w:rFonts w:ascii="Times New Roman" w:hAnsi="Times New Roman"/>
                <w:sz w:val="20"/>
              </w:rPr>
              <w:t>ONCHAIN\_TOKEN\_GOVERNANCE</w:t>
            </w:r>
          </w:p>
        </w:tc>
        <w:tc>
          <w:tcPr>
            <w:tcW w:type="dxa" w:w="1255"/>
          </w:tcPr>
          <w:p>
            <w:r>
              <w:rPr>
                <w:rFonts w:ascii="Times New Roman" w:hAnsi="Times New Roman"/>
                <w:sz w:val="20"/>
              </w:rPr>
              <w:t>GOVERNANCE</w:t>
            </w:r>
          </w:p>
        </w:tc>
        <w:tc>
          <w:tcPr>
            <w:tcW w:type="dxa" w:w="1255"/>
          </w:tcPr>
          <w:p>
            <w:r>
              <w:rPr>
                <w:rFonts w:ascii="Times New Roman" w:hAnsi="Times New Roman"/>
                <w:sz w:val="20"/>
              </w:rPr>
              <w:t>Infrastructure</w:t>
            </w:r>
          </w:p>
        </w:tc>
      </w:tr>
      <w:tr>
        <w:tc>
          <w:tcPr>
            <w:tcW w:type="dxa" w:w="1255"/>
          </w:tcPr>
          <w:p>
            <w:r>
              <w:rPr>
                <w:rFonts w:ascii="Times New Roman" w:hAnsi="Times New Roman"/>
                <w:sz w:val="20"/>
              </w:rPr>
              <w:t>Kaito</w:t>
            </w:r>
          </w:p>
        </w:tc>
        <w:tc>
          <w:tcPr>
            <w:tcW w:type="dxa" w:w="1255"/>
          </w:tcPr>
          <w:p>
            <w:r>
              <w:rPr>
                <w:rFonts w:ascii="Times New Roman" w:hAnsi="Times New Roman"/>
                <w:sz w:val="20"/>
              </w:rPr>
              <w:t>~18,000</w:t>
            </w:r>
          </w:p>
        </w:tc>
        <w:tc>
          <w:tcPr>
            <w:tcW w:type="dxa" w:w="1255"/>
          </w:tcPr>
          <w:p>
            <w:r>
              <w:rPr>
                <w:rFonts w:ascii="Times New Roman" w:hAnsi="Times New Roman"/>
                <w:sz w:val="20"/>
              </w:rPr>
              <w:t>—</w:t>
            </w:r>
          </w:p>
        </w:tc>
        <w:tc>
          <w:tcPr>
            <w:tcW w:type="dxa" w:w="1255"/>
          </w:tcPr>
          <w:p>
            <w:r>
              <w:rPr>
                <w:rFonts w:ascii="Times New Roman" w:hAnsi="Times New Roman"/>
                <w:sz w:val="20"/>
              </w:rPr>
              <w:t>$161.4M</w:t>
            </w:r>
          </w:p>
        </w:tc>
        <w:tc>
          <w:tcPr>
            <w:tcW w:type="dxa" w:w="1255"/>
          </w:tcPr>
          <w:p>
            <w:r>
              <w:rPr>
                <w:rFonts w:ascii="Times New Roman" w:hAnsi="Times New Roman"/>
                <w:sz w:val="20"/>
              </w:rPr>
              <w:t>SNAPSHOT\_OFFCHAIN</w:t>
            </w:r>
          </w:p>
        </w:tc>
        <w:tc>
          <w:tcPr>
            <w:tcW w:type="dxa" w:w="1255"/>
          </w:tcPr>
          <w:p>
            <w:r>
              <w:rPr>
                <w:rFonts w:ascii="Times New Roman" w:hAnsi="Times New Roman"/>
                <w:sz w:val="20"/>
              </w:rPr>
              <w:t>GOVERNANCE</w:t>
            </w:r>
          </w:p>
        </w:tc>
        <w:tc>
          <w:tcPr>
            <w:tcW w:type="dxa" w:w="1255"/>
          </w:tcPr>
          <w:p>
            <w:r>
              <w:rPr>
                <w:rFonts w:ascii="Times New Roman" w:hAnsi="Times New Roman"/>
                <w:sz w:val="20"/>
              </w:rPr>
              <w:t>Social/tools</w:t>
            </w:r>
          </w:p>
        </w:tc>
      </w:tr>
      <w:tr>
        <w:tc>
          <w:tcPr>
            <w:tcW w:type="dxa" w:w="1255"/>
          </w:tcPr>
          <w:p>
            <w:r>
              <w:rPr>
                <w:rFonts w:ascii="Times New Roman" w:hAnsi="Times New Roman"/>
                <w:sz w:val="20"/>
              </w:rPr>
              <w:t>ChainGPT</w:t>
            </w:r>
          </w:p>
        </w:tc>
        <w:tc>
          <w:tcPr>
            <w:tcW w:type="dxa" w:w="1255"/>
          </w:tcPr>
          <w:p>
            <w:r>
              <w:rPr>
                <w:rFonts w:ascii="Times New Roman" w:hAnsi="Times New Roman"/>
                <w:sz w:val="20"/>
              </w:rPr>
              <w:t>20,145</w:t>
            </w:r>
          </w:p>
        </w:tc>
        <w:tc>
          <w:tcPr>
            <w:tcW w:type="dxa" w:w="1255"/>
          </w:tcPr>
          <w:p>
            <w:r>
              <w:rPr>
                <w:rFonts w:ascii="Times New Roman" w:hAnsi="Times New Roman"/>
                <w:sz w:val="20"/>
              </w:rPr>
              <w:t>$0.3M</w:t>
            </w:r>
          </w:p>
        </w:tc>
        <w:tc>
          <w:tcPr>
            <w:tcW w:type="dxa" w:w="1255"/>
          </w:tcPr>
          <w:p>
            <w:r>
              <w:rPr>
                <w:rFonts w:ascii="Times New Roman" w:hAnsi="Times New Roman"/>
                <w:sz w:val="20"/>
              </w:rPr>
              <w:t>$34.5M</w:t>
            </w:r>
          </w:p>
        </w:tc>
        <w:tc>
          <w:tcPr>
            <w:tcW w:type="dxa" w:w="1255"/>
          </w:tcPr>
          <w:p>
            <w:r>
              <w:rPr>
                <w:rFonts w:ascii="Times New Roman" w:hAnsi="Times New Roman"/>
                <w:sz w:val="20"/>
              </w:rPr>
              <w:t>SNAPSHOT\_OFFCHAIN</w:t>
            </w:r>
          </w:p>
        </w:tc>
        <w:tc>
          <w:tcPr>
            <w:tcW w:type="dxa" w:w="1255"/>
          </w:tcPr>
          <w:p>
            <w:r>
              <w:rPr>
                <w:rFonts w:ascii="Times New Roman" w:hAnsi="Times New Roman"/>
                <w:sz w:val="20"/>
              </w:rPr>
              <w:t>UTILITY</w:t>
            </w:r>
          </w:p>
        </w:tc>
        <w:tc>
          <w:tcPr>
            <w:tcW w:type="dxa" w:w="1255"/>
          </w:tcPr>
          <w:p>
            <w:r>
              <w:rPr>
                <w:rFonts w:ascii="Times New Roman" w:hAnsi="Times New Roman"/>
                <w:sz w:val="20"/>
              </w:rPr>
              <w:t>Infrastructure</w:t>
            </w:r>
          </w:p>
        </w:tc>
      </w:tr>
    </w:tbl>
    <w:p/>
    <w:p>
      <w:pPr>
        <w:pStyle w:val="Heading4"/>
      </w:pPr>
      <w:r>
        <w:t>Governance Structure: Bimodal Distribution — Team Control or Snapshot Off-Chain</w:t>
      </w:r>
    </w:p>
    <w:p>
      <w:r>
        <w:rPr>
          <w:b/>
        </w:rPr>
        <w:t>Table 4.13 — AI DApp governance distribution (loose universe, N=66)</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Governance type</w:t>
            </w:r>
          </w:p>
        </w:tc>
        <w:tc>
          <w:tcPr>
            <w:tcW w:type="dxa" w:w="2929"/>
          </w:tcPr>
          <w:p>
            <w:r>
              <w:rPr>
                <w:rFonts w:ascii="Times New Roman" w:hAnsi="Times New Roman"/>
                <w:b/>
                <w:sz w:val="20"/>
              </w:rPr>
              <w:t>Count</w:t>
            </w:r>
          </w:p>
        </w:tc>
        <w:tc>
          <w:tcPr>
            <w:tcW w:type="dxa" w:w="2929"/>
          </w:tcPr>
          <w:p>
            <w:r>
              <w:rPr>
                <w:rFonts w:ascii="Times New Roman" w:hAnsi="Times New Roman"/>
                <w:b/>
                <w:sz w:val="20"/>
              </w:rPr>
              <w:t>Share</w:t>
            </w:r>
          </w:p>
        </w:tc>
      </w:tr>
      <w:tr>
        <w:tc>
          <w:tcPr>
            <w:tcW w:type="dxa" w:w="2929"/>
          </w:tcPr>
          <w:p>
            <w:r>
              <w:rPr>
                <w:rFonts w:ascii="Times New Roman" w:hAnsi="Times New Roman"/>
                <w:sz w:val="20"/>
              </w:rPr>
              <w:t>TEAM\_CONTROLLED</w:t>
            </w:r>
          </w:p>
        </w:tc>
        <w:tc>
          <w:tcPr>
            <w:tcW w:type="dxa" w:w="2929"/>
          </w:tcPr>
          <w:p>
            <w:r>
              <w:rPr>
                <w:rFonts w:ascii="Times New Roman" w:hAnsi="Times New Roman"/>
                <w:sz w:val="20"/>
              </w:rPr>
              <w:t>36</w:t>
            </w:r>
          </w:p>
        </w:tc>
        <w:tc>
          <w:tcPr>
            <w:tcW w:type="dxa" w:w="2929"/>
          </w:tcPr>
          <w:p>
            <w:r>
              <w:rPr>
                <w:rFonts w:ascii="Times New Roman" w:hAnsi="Times New Roman"/>
                <w:sz w:val="20"/>
              </w:rPr>
              <w:t>54.5%</w:t>
            </w:r>
          </w:p>
        </w:tc>
      </w:tr>
      <w:tr>
        <w:tc>
          <w:tcPr>
            <w:tcW w:type="dxa" w:w="2929"/>
          </w:tcPr>
          <w:p>
            <w:r>
              <w:rPr>
                <w:rFonts w:ascii="Times New Roman" w:hAnsi="Times New Roman"/>
                <w:sz w:val="20"/>
              </w:rPr>
              <w:t>SNAPSHOT\_OFFCHAIN</w:t>
            </w:r>
          </w:p>
        </w:tc>
        <w:tc>
          <w:tcPr>
            <w:tcW w:type="dxa" w:w="2929"/>
          </w:tcPr>
          <w:p>
            <w:r>
              <w:rPr>
                <w:rFonts w:ascii="Times New Roman" w:hAnsi="Times New Roman"/>
                <w:sz w:val="20"/>
              </w:rPr>
              <w:t>26</w:t>
            </w:r>
          </w:p>
        </w:tc>
        <w:tc>
          <w:tcPr>
            <w:tcW w:type="dxa" w:w="2929"/>
          </w:tcPr>
          <w:p>
            <w:r>
              <w:rPr>
                <w:rFonts w:ascii="Times New Roman" w:hAnsi="Times New Roman"/>
                <w:sz w:val="20"/>
              </w:rPr>
              <w:t>39.4%</w:t>
            </w:r>
          </w:p>
        </w:tc>
      </w:tr>
      <w:tr>
        <w:tc>
          <w:tcPr>
            <w:tcW w:type="dxa" w:w="2929"/>
          </w:tcPr>
          <w:p>
            <w:r>
              <w:rPr>
                <w:rFonts w:ascii="Times New Roman" w:hAnsi="Times New Roman"/>
                <w:sz w:val="20"/>
              </w:rPr>
              <w:t>NONE</w:t>
            </w:r>
          </w:p>
        </w:tc>
        <w:tc>
          <w:tcPr>
            <w:tcW w:type="dxa" w:w="2929"/>
          </w:tcPr>
          <w:p>
            <w:r>
              <w:rPr>
                <w:rFonts w:ascii="Times New Roman" w:hAnsi="Times New Roman"/>
                <w:sz w:val="20"/>
              </w:rPr>
              <w:t>2</w:t>
            </w:r>
          </w:p>
        </w:tc>
        <w:tc>
          <w:tcPr>
            <w:tcW w:type="dxa" w:w="2929"/>
          </w:tcPr>
          <w:p>
            <w:r>
              <w:rPr>
                <w:rFonts w:ascii="Times New Roman" w:hAnsi="Times New Roman"/>
                <w:sz w:val="20"/>
              </w:rPr>
              <w:t>3.0%</w:t>
            </w:r>
          </w:p>
        </w:tc>
      </w:tr>
      <w:tr>
        <w:tc>
          <w:tcPr>
            <w:tcW w:type="dxa" w:w="2929"/>
          </w:tcPr>
          <w:p>
            <w:r>
              <w:rPr>
                <w:rFonts w:ascii="Times New Roman" w:hAnsi="Times New Roman"/>
                <w:sz w:val="20"/>
              </w:rPr>
              <w:t>HYBRID</w:t>
            </w:r>
          </w:p>
        </w:tc>
        <w:tc>
          <w:tcPr>
            <w:tcW w:type="dxa" w:w="2929"/>
          </w:tcPr>
          <w:p>
            <w:r>
              <w:rPr>
                <w:rFonts w:ascii="Times New Roman" w:hAnsi="Times New Roman"/>
                <w:sz w:val="20"/>
              </w:rPr>
              <w:t>1</w:t>
            </w:r>
          </w:p>
        </w:tc>
        <w:tc>
          <w:tcPr>
            <w:tcW w:type="dxa" w:w="2929"/>
          </w:tcPr>
          <w:p>
            <w:r>
              <w:rPr>
                <w:rFonts w:ascii="Times New Roman" w:hAnsi="Times New Roman"/>
                <w:sz w:val="20"/>
              </w:rPr>
              <w:t>1.5%</w:t>
            </w:r>
          </w:p>
        </w:tc>
      </w:tr>
      <w:tr>
        <w:tc>
          <w:tcPr>
            <w:tcW w:type="dxa" w:w="2929"/>
          </w:tcPr>
          <w:p>
            <w:r>
              <w:rPr>
                <w:rFonts w:ascii="Times New Roman" w:hAnsi="Times New Roman"/>
                <w:sz w:val="20"/>
              </w:rPr>
              <w:t>ONCHAIN\_TOKEN\_GOVERNANCE</w:t>
            </w:r>
          </w:p>
        </w:tc>
        <w:tc>
          <w:tcPr>
            <w:tcW w:type="dxa" w:w="2929"/>
          </w:tcPr>
          <w:p>
            <w:r>
              <w:rPr>
                <w:rFonts w:ascii="Times New Roman" w:hAnsi="Times New Roman"/>
                <w:sz w:val="20"/>
              </w:rPr>
              <w:t>1</w:t>
            </w:r>
          </w:p>
        </w:tc>
        <w:tc>
          <w:tcPr>
            <w:tcW w:type="dxa" w:w="2929"/>
          </w:tcPr>
          <w:p>
            <w:r>
              <w:rPr>
                <w:rFonts w:ascii="Times New Roman" w:hAnsi="Times New Roman"/>
                <w:sz w:val="20"/>
              </w:rPr>
              <w:t>1.5%</w:t>
            </w:r>
          </w:p>
        </w:tc>
      </w:tr>
      <w:tr>
        <w:tc>
          <w:tcPr>
            <w:tcW w:type="dxa" w:w="2929"/>
          </w:tcPr>
          <w:p>
            <w:r>
              <w:rPr>
                <w:rFonts w:ascii="Times New Roman" w:hAnsi="Times New Roman"/>
                <w:sz w:val="20"/>
              </w:rPr>
              <w:t>**Total**</w:t>
            </w:r>
          </w:p>
        </w:tc>
        <w:tc>
          <w:tcPr>
            <w:tcW w:type="dxa" w:w="2929"/>
          </w:tcPr>
          <w:p>
            <w:r>
              <w:rPr>
                <w:rFonts w:ascii="Times New Roman" w:hAnsi="Times New Roman"/>
                <w:sz w:val="20"/>
              </w:rPr>
              <w:t>**66**</w:t>
            </w:r>
          </w:p>
        </w:tc>
        <w:tc>
          <w:tcPr>
            <w:tcW w:type="dxa" w:w="2929"/>
          </w:tcPr>
          <w:p>
            <w:r>
              <w:rPr>
                <w:rFonts w:ascii="Times New Roman" w:hAnsi="Times New Roman"/>
                <w:sz w:val="20"/>
              </w:rPr>
              <w:t>**100%**</w:t>
            </w:r>
          </w:p>
        </w:tc>
      </w:tr>
    </w:tbl>
    <w:p/>
    <w:p>
      <w:r>
        <w:rPr>
          <w:i/>
        </w:rPr>
        <w:t>Source: governance type classification, AI DApp theme universe.</w:t>
      </w:r>
    </w:p>
    <w:p>
      <w:r>
        <w:t>AI DApps show a strongly bimodal governance distribution: fully team-controlled (54.5 %) or Snapshot off-chain (39.4 %). On-chain governance covers only one DApp (Virtuals Protocol, 1.5 %), well below the 6.4 % cross-ecosystem baseline (Table 4.20). The disproportionate Snapshot share (39.4 % versus 17.5 % for non-AI DApps) indicates teams signal community orientation while retaining operational authority — confirmed by research annotations: FishWar ("no evidence of binding on-chain DAO"), ZoRobotics ("practical control remains with project team"), ChainOpera AI ("execution still team-led").</w:t>
      </w:r>
    </w:p>
    <w:p>
      <w:r>
        <w:t>86.4 per cent of AI DApps are COMPANY\_OWNED — the highest of any sub-group. A single DApp (Treasure, 1.5 per cent) is DAO\_OWNED; two are FOUNDATION\_OWNED. This near-universal corporate ownership confirms that the AI DApp sector is, in practice, a corporate software sector with blockchain token issuance rather than a community-governed ecosystem.</w:t>
      </w:r>
    </w:p>
    <w:p>
      <w:r>
        <w:rPr>
          <w:b/>
        </w:rPr>
        <w:t>Governance comparison with non-AI ecosystem</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Metric</w:t>
            </w:r>
          </w:p>
        </w:tc>
        <w:tc>
          <w:tcPr>
            <w:tcW w:type="dxa" w:w="2929"/>
          </w:tcPr>
          <w:p>
            <w:r>
              <w:rPr>
                <w:rFonts w:ascii="Times New Roman" w:hAnsi="Times New Roman"/>
                <w:b/>
                <w:sz w:val="20"/>
              </w:rPr>
              <w:t>AI DApps (N=66)</w:t>
            </w:r>
          </w:p>
        </w:tc>
        <w:tc>
          <w:tcPr>
            <w:tcW w:type="dxa" w:w="2929"/>
          </w:tcPr>
          <w:p>
            <w:r>
              <w:rPr>
                <w:rFonts w:ascii="Times New Roman" w:hAnsi="Times New Roman"/>
                <w:b/>
                <w:sz w:val="20"/>
              </w:rPr>
              <w:t>Non-AI ecosystem (N=789)</w:t>
            </w:r>
          </w:p>
        </w:tc>
      </w:tr>
      <w:tr>
        <w:tc>
          <w:tcPr>
            <w:tcW w:type="dxa" w:w="2929"/>
          </w:tcPr>
          <w:p>
            <w:r>
              <w:rPr>
                <w:rFonts w:ascii="Times New Roman" w:hAnsi="Times New Roman"/>
                <w:sz w:val="20"/>
              </w:rPr>
              <w:t>Team-controlled</w:t>
            </w:r>
          </w:p>
        </w:tc>
        <w:tc>
          <w:tcPr>
            <w:tcW w:type="dxa" w:w="2929"/>
          </w:tcPr>
          <w:p>
            <w:r>
              <w:rPr>
                <w:rFonts w:ascii="Times New Roman" w:hAnsi="Times New Roman"/>
                <w:sz w:val="20"/>
              </w:rPr>
              <w:t>54.5%</w:t>
            </w:r>
          </w:p>
        </w:tc>
        <w:tc>
          <w:tcPr>
            <w:tcW w:type="dxa" w:w="2929"/>
          </w:tcPr>
          <w:p>
            <w:r>
              <w:rPr>
                <w:rFonts w:ascii="Times New Roman" w:hAnsi="Times New Roman"/>
                <w:sz w:val="20"/>
              </w:rPr>
              <w:t>64.3%</w:t>
            </w:r>
          </w:p>
        </w:tc>
      </w:tr>
      <w:tr>
        <w:tc>
          <w:tcPr>
            <w:tcW w:type="dxa" w:w="2929"/>
          </w:tcPr>
          <w:p>
            <w:r>
              <w:rPr>
                <w:rFonts w:ascii="Times New Roman" w:hAnsi="Times New Roman"/>
                <w:sz w:val="20"/>
              </w:rPr>
              <w:t>Snapshot off-chain</w:t>
            </w:r>
          </w:p>
        </w:tc>
        <w:tc>
          <w:tcPr>
            <w:tcW w:type="dxa" w:w="2929"/>
          </w:tcPr>
          <w:p>
            <w:r>
              <w:rPr>
                <w:rFonts w:ascii="Times New Roman" w:hAnsi="Times New Roman"/>
                <w:sz w:val="20"/>
              </w:rPr>
              <w:t>39.4%</w:t>
            </w:r>
          </w:p>
        </w:tc>
        <w:tc>
          <w:tcPr>
            <w:tcW w:type="dxa" w:w="2929"/>
          </w:tcPr>
          <w:p>
            <w:r>
              <w:rPr>
                <w:rFonts w:ascii="Times New Roman" w:hAnsi="Times New Roman"/>
                <w:sz w:val="20"/>
              </w:rPr>
              <w:t>17.5%</w:t>
            </w:r>
          </w:p>
        </w:tc>
      </w:tr>
      <w:tr>
        <w:tc>
          <w:tcPr>
            <w:tcW w:type="dxa" w:w="2929"/>
          </w:tcPr>
          <w:p>
            <w:r>
              <w:rPr>
                <w:rFonts w:ascii="Times New Roman" w:hAnsi="Times New Roman"/>
                <w:sz w:val="20"/>
              </w:rPr>
              <w:t>On-chain governance (any)</w:t>
            </w:r>
          </w:p>
        </w:tc>
        <w:tc>
          <w:tcPr>
            <w:tcW w:type="dxa" w:w="2929"/>
          </w:tcPr>
          <w:p>
            <w:r>
              <w:rPr>
                <w:rFonts w:ascii="Times New Roman" w:hAnsi="Times New Roman"/>
                <w:sz w:val="20"/>
              </w:rPr>
              <w:t>1.5%</w:t>
            </w:r>
          </w:p>
        </w:tc>
        <w:tc>
          <w:tcPr>
            <w:tcW w:type="dxa" w:w="2929"/>
          </w:tcPr>
          <w:p>
            <w:r>
              <w:rPr>
                <w:rFonts w:ascii="Times New Roman" w:hAnsi="Times New Roman"/>
                <w:sz w:val="20"/>
              </w:rPr>
              <w:t>6.4%</w:t>
            </w:r>
          </w:p>
        </w:tc>
      </w:tr>
      <w:tr>
        <w:tc>
          <w:tcPr>
            <w:tcW w:type="dxa" w:w="2929"/>
          </w:tcPr>
          <w:p>
            <w:r>
              <w:rPr>
                <w:rFonts w:ascii="Times New Roman" w:hAnsi="Times New Roman"/>
                <w:sz w:val="20"/>
              </w:rPr>
              <w:t>Company-owned</w:t>
            </w:r>
          </w:p>
        </w:tc>
        <w:tc>
          <w:tcPr>
            <w:tcW w:type="dxa" w:w="2929"/>
          </w:tcPr>
          <w:p>
            <w:r>
              <w:rPr>
                <w:rFonts w:ascii="Times New Roman" w:hAnsi="Times New Roman"/>
                <w:sz w:val="20"/>
              </w:rPr>
              <w:t>86.4%</w:t>
            </w:r>
          </w:p>
        </w:tc>
        <w:tc>
          <w:tcPr>
            <w:tcW w:type="dxa" w:w="2929"/>
          </w:tcPr>
          <w:p>
            <w:r>
              <w:rPr>
                <w:rFonts w:ascii="Times New Roman" w:hAnsi="Times New Roman"/>
                <w:sz w:val="20"/>
              </w:rPr>
              <w:t>82.8%</w:t>
            </w:r>
          </w:p>
        </w:tc>
      </w:tr>
      <w:tr>
        <w:tc>
          <w:tcPr>
            <w:tcW w:type="dxa" w:w="2929"/>
          </w:tcPr>
          <w:p>
            <w:r>
              <w:rPr>
                <w:rFonts w:ascii="Times New Roman" w:hAnsi="Times New Roman"/>
                <w:sz w:val="20"/>
              </w:rPr>
              <w:t>DAO-owned</w:t>
            </w:r>
          </w:p>
        </w:tc>
        <w:tc>
          <w:tcPr>
            <w:tcW w:type="dxa" w:w="2929"/>
          </w:tcPr>
          <w:p>
            <w:r>
              <w:rPr>
                <w:rFonts w:ascii="Times New Roman" w:hAnsi="Times New Roman"/>
                <w:sz w:val="20"/>
              </w:rPr>
              <w:t>1.5%</w:t>
            </w:r>
          </w:p>
        </w:tc>
        <w:tc>
          <w:tcPr>
            <w:tcW w:type="dxa" w:w="2929"/>
          </w:tcPr>
          <w:p>
            <w:r>
              <w:rPr>
                <w:rFonts w:ascii="Times New Roman" w:hAnsi="Times New Roman"/>
                <w:sz w:val="20"/>
              </w:rPr>
              <w:t>2.8%</w:t>
            </w:r>
          </w:p>
        </w:tc>
      </w:tr>
    </w:tbl>
    <w:p/>
    <w:p>
      <w:r>
        <w:t>The AI sector is slightly less team-controlled than the non-AI universe, but achieves this through Snapshot off-chain mechanisms — a lateral move within the centralised governance zone, not progress toward decentralisation.</w:t>
      </w:r>
    </w:p>
    <w:p>
      <w:pPr>
        <w:pStyle w:val="Heading4"/>
      </w:pPr>
      <w:r>
        <w:t>Decentralisation Analysis: The Zero Fully Decentralised Finding</w:t>
      </w:r>
    </w:p>
    <w:p>
      <w:r>
        <w:t>No AI DApp in the 66-DApp cohort achieves the Decentralised classification (requiring: on-chain governance with binding token-weighted voting, open participation, and at least semi-independent protocol execution). The decentralisation distribution is:</w:t>
      </w:r>
    </w:p>
    <w:p>
      <w:r>
        <w:rPr>
          <w:b/>
        </w:rPr>
        <w:t>Table 4.14 — Decentralisation levels: AI DApps versus full ecosystem</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20"/>
              </w:rPr>
              <w:t>Decentralisation level</w:t>
            </w:r>
          </w:p>
        </w:tc>
        <w:tc>
          <w:tcPr>
            <w:tcW w:type="dxa" w:w="1758"/>
          </w:tcPr>
          <w:p>
            <w:r>
              <w:rPr>
                <w:rFonts w:ascii="Times New Roman" w:hAnsi="Times New Roman"/>
                <w:b/>
                <w:sz w:val="20"/>
              </w:rPr>
              <w:t>AI DApps (N=66)</w:t>
            </w:r>
          </w:p>
        </w:tc>
        <w:tc>
          <w:tcPr>
            <w:tcW w:type="dxa" w:w="1758"/>
          </w:tcPr>
          <w:p>
            <w:r>
              <w:rPr>
                <w:rFonts w:ascii="Times New Roman" w:hAnsi="Times New Roman"/>
                <w:b/>
                <w:sz w:val="20"/>
              </w:rPr>
              <w:t>AI share</w:t>
            </w:r>
          </w:p>
        </w:tc>
        <w:tc>
          <w:tcPr>
            <w:tcW w:type="dxa" w:w="1758"/>
          </w:tcPr>
          <w:p>
            <w:r>
              <w:rPr>
                <w:rFonts w:ascii="Times New Roman" w:hAnsi="Times New Roman"/>
                <w:b/>
                <w:sz w:val="20"/>
              </w:rPr>
              <w:t>Full ecosystem (N=855)</w:t>
            </w:r>
          </w:p>
        </w:tc>
        <w:tc>
          <w:tcPr>
            <w:tcW w:type="dxa" w:w="1758"/>
          </w:tcPr>
          <w:p>
            <w:r>
              <w:rPr>
                <w:rFonts w:ascii="Times New Roman" w:hAnsi="Times New Roman"/>
                <w:b/>
                <w:sz w:val="20"/>
              </w:rPr>
              <w:t>Ecosystem share</w:t>
            </w:r>
          </w:p>
        </w:tc>
      </w:tr>
      <w:tr>
        <w:tc>
          <w:tcPr>
            <w:tcW w:type="dxa" w:w="1758"/>
          </w:tcPr>
          <w:p>
            <w:r>
              <w:rPr>
                <w:rFonts w:ascii="Times New Roman" w:hAnsi="Times New Roman"/>
                <w:sz w:val="20"/>
              </w:rPr>
              <w:t>CENTRALIZED</w:t>
            </w:r>
          </w:p>
        </w:tc>
        <w:tc>
          <w:tcPr>
            <w:tcW w:type="dxa" w:w="1758"/>
          </w:tcPr>
          <w:p>
            <w:r>
              <w:rPr>
                <w:rFonts w:ascii="Times New Roman" w:hAnsi="Times New Roman"/>
                <w:sz w:val="20"/>
              </w:rPr>
              <w:t>28</w:t>
            </w:r>
          </w:p>
        </w:tc>
        <w:tc>
          <w:tcPr>
            <w:tcW w:type="dxa" w:w="1758"/>
          </w:tcPr>
          <w:p>
            <w:r>
              <w:rPr>
                <w:rFonts w:ascii="Times New Roman" w:hAnsi="Times New Roman"/>
                <w:sz w:val="20"/>
              </w:rPr>
              <w:t>42.4%</w:t>
            </w:r>
          </w:p>
        </w:tc>
        <w:tc>
          <w:tcPr>
            <w:tcW w:type="dxa" w:w="1758"/>
          </w:tcPr>
          <w:p>
            <w:r>
              <w:rPr>
                <w:rFonts w:ascii="Times New Roman" w:hAnsi="Times New Roman"/>
                <w:sz w:val="20"/>
              </w:rPr>
              <w:t>486</w:t>
            </w:r>
          </w:p>
        </w:tc>
        <w:tc>
          <w:tcPr>
            <w:tcW w:type="dxa" w:w="1758"/>
          </w:tcPr>
          <w:p>
            <w:r>
              <w:rPr>
                <w:rFonts w:ascii="Times New Roman" w:hAnsi="Times New Roman"/>
                <w:sz w:val="20"/>
              </w:rPr>
              <w:t>56.8%</w:t>
            </w:r>
          </w:p>
        </w:tc>
      </w:tr>
      <w:tr>
        <w:tc>
          <w:tcPr>
            <w:tcW w:type="dxa" w:w="1758"/>
          </w:tcPr>
          <w:p>
            <w:r>
              <w:rPr>
                <w:rFonts w:ascii="Times New Roman" w:hAnsi="Times New Roman"/>
                <w:sz w:val="20"/>
              </w:rPr>
              <w:t>SEMI\_DECENTRALIZED</w:t>
            </w:r>
          </w:p>
        </w:tc>
        <w:tc>
          <w:tcPr>
            <w:tcW w:type="dxa" w:w="1758"/>
          </w:tcPr>
          <w:p>
            <w:r>
              <w:rPr>
                <w:rFonts w:ascii="Times New Roman" w:hAnsi="Times New Roman"/>
                <w:sz w:val="20"/>
              </w:rPr>
              <w:t>38</w:t>
            </w:r>
          </w:p>
        </w:tc>
        <w:tc>
          <w:tcPr>
            <w:tcW w:type="dxa" w:w="1758"/>
          </w:tcPr>
          <w:p>
            <w:r>
              <w:rPr>
                <w:rFonts w:ascii="Times New Roman" w:hAnsi="Times New Roman"/>
                <w:sz w:val="20"/>
              </w:rPr>
              <w:t>57.6%</w:t>
            </w:r>
          </w:p>
        </w:tc>
        <w:tc>
          <w:tcPr>
            <w:tcW w:type="dxa" w:w="1758"/>
          </w:tcPr>
          <w:p>
            <w:r>
              <w:rPr>
                <w:rFonts w:ascii="Times New Roman" w:hAnsi="Times New Roman"/>
                <w:sz w:val="20"/>
              </w:rPr>
              <w:t>330</w:t>
            </w:r>
          </w:p>
        </w:tc>
        <w:tc>
          <w:tcPr>
            <w:tcW w:type="dxa" w:w="1758"/>
          </w:tcPr>
          <w:p>
            <w:r>
              <w:rPr>
                <w:rFonts w:ascii="Times New Roman" w:hAnsi="Times New Roman"/>
                <w:sz w:val="20"/>
              </w:rPr>
              <w:t>38.6%</w:t>
            </w:r>
          </w:p>
        </w:tc>
      </w:tr>
      <w:tr>
        <w:tc>
          <w:tcPr>
            <w:tcW w:type="dxa" w:w="1758"/>
          </w:tcPr>
          <w:p>
            <w:r>
              <w:rPr>
                <w:rFonts w:ascii="Times New Roman" w:hAnsi="Times New Roman"/>
                <w:sz w:val="20"/>
              </w:rPr>
              <w:t>DECENTRALIZED</w:t>
            </w:r>
          </w:p>
        </w:tc>
        <w:tc>
          <w:tcPr>
            <w:tcW w:type="dxa" w:w="1758"/>
          </w:tcPr>
          <w:p>
            <w:r>
              <w:rPr>
                <w:rFonts w:ascii="Times New Roman" w:hAnsi="Times New Roman"/>
                <w:sz w:val="20"/>
              </w:rPr>
              <w:t>**0**</w:t>
            </w:r>
          </w:p>
        </w:tc>
        <w:tc>
          <w:tcPr>
            <w:tcW w:type="dxa" w:w="1758"/>
          </w:tcPr>
          <w:p>
            <w:r>
              <w:rPr>
                <w:rFonts w:ascii="Times New Roman" w:hAnsi="Times New Roman"/>
                <w:sz w:val="20"/>
              </w:rPr>
              <w:t>**0.0%**</w:t>
            </w:r>
          </w:p>
        </w:tc>
        <w:tc>
          <w:tcPr>
            <w:tcW w:type="dxa" w:w="1758"/>
          </w:tcPr>
          <w:p>
            <w:r>
              <w:rPr>
                <w:rFonts w:ascii="Times New Roman" w:hAnsi="Times New Roman"/>
                <w:sz w:val="20"/>
              </w:rPr>
              <w:t>39</w:t>
            </w:r>
          </w:p>
        </w:tc>
        <w:tc>
          <w:tcPr>
            <w:tcW w:type="dxa" w:w="1758"/>
          </w:tcPr>
          <w:p>
            <w:r>
              <w:rPr>
                <w:rFonts w:ascii="Times New Roman" w:hAnsi="Times New Roman"/>
                <w:sz w:val="20"/>
              </w:rPr>
              <w:t>**4.6%**</w:t>
            </w:r>
          </w:p>
        </w:tc>
      </w:tr>
    </w:tbl>
    <w:p/>
    <w:p>
      <w:r>
        <w:rPr>
          <w:i/>
        </w:rPr>
        <w:t>Source: decentralisation level classification.</w:t>
      </w:r>
    </w:p>
    <w:p>
      <w:r>
        <w:t>The zero-decentralised finding is not a data artefact. Four independent structural explanations account for it:</w:t>
      </w:r>
    </w:p>
    <w:p>
      <w:r>
        <w:rPr>
          <w:b/>
        </w:rPr>
        <w:t>1. Off-chain AI computation as an inherent centralisation vector.</w:t>
      </w:r>
      <w:r>
        <w:t xml:space="preserve"> AI inference requires substantial off-chain compute; model weights, training data, and inference endpoints reside on centralised infrastructure. The Decentralised coding tier requires protocol execution to function without a central operator — a requirement current AI inference cannot satisfy. Any DApp whose core functionality depends on AI inference cannot achieve full decentralisation under current technology, regardless of its financial governance structure.</w:t>
      </w:r>
    </w:p>
    <w:p>
      <w:r>
        <w:rPr>
          <w:b/>
        </w:rPr>
        <w:t>2. Youth of the sector and governance lifecycle position.</w:t>
      </w:r>
      <w:r>
        <w:t xml:space="preserve"> The 39 fully decentralised DApps in the loose universe are predominantly mature DeFi protocols (Compound, Aave, Uniswap) that traversed a multi-year evolution from team control to DAO-with-timelock. The AI DApp cohort is concentrated in the 2023–2025 launch window — too early for this lifecycle to have progressed to the Decentralised tier. Governance tenure among fully decentralised non-AI DApps spans three to seven years; the modal AI DApp is under two years old.</w:t>
      </w:r>
    </w:p>
    <w:p>
      <w:r>
        <w:rPr>
          <w:b/>
        </w:rPr>
        <w:t>3. Near-universal corporate ownership constrains governance trajectory.</w:t>
      </w:r>
      <w:r>
        <w:t xml:space="preserve"> With 86.4 per cent COMPANY\_OWNED, corporate entities retain IP rights, model update authority, and regulatory compliance obligations legally incompatible with ceding control to an autonomous DAO. DeFi protocols that achieved full decentralisation did so by relinquishing corporate control through foundation structures or pure smart-contract deployment — a step AI companies have not taken, partly because AI model governance (safety updates, capability restrictions) requires a responsible legal entity.</w:t>
      </w:r>
    </w:p>
    <w:p>
      <w:r>
        <w:rPr>
          <w:b/>
        </w:rPr>
        <w:t>4. Regulatory and safety imperatives for centralised override.</w:t>
      </w:r>
      <w:r>
        <w:t xml:space="preserve"> AI systems require the ability to roll back or patch deployed models in response to safety incidents or regulatory directives (e.g., EU AI Act). This override requirement is structurally incompatible with on-chain governance immutability, where code changes require token-holder supermajority with timelock delays. ZoRobotics is illustrative: the team "markets DAO-based validation; practical control remains with project team today" — likely reflecting deliberate preservation of team-override authority, not just product immaturity.</w:t>
      </w:r>
    </w:p>
    <w:p>
      <w:r>
        <w:rPr>
          <w:b/>
        </w:rPr>
        <w:t>The Virtuals Protocol paradox.</w:t>
      </w:r>
      <w:r>
        <w:t xml:space="preserve"> Virtuals Protocol is classified as ONCHAIN\_TOKEN\_GOVERNANCE yet coded CENTRALIZED. Research annotation: "eVIRTUAL tokenholders vote on-chain; team still builds products but governance powers sit with veVIRTUAL holders." The governance mechanism is on-chain, but AI agent curation and platform operations remain team-led. This borderline case illustrates that formal governance apparatus is insufficient as a proxy for effective decentralisation.</w:t>
      </w:r>
    </w:p>
    <w:p>
      <w:r>
        <w:rPr>
          <w:b/>
        </w:rPr>
        <w:t>INS-AI-01 — Structural impossibility of fully decentralised AI DApps under current technology.</w:t>
      </w:r>
      <w:r>
        <w:t xml:space="preserve"> </w:t>
      </w:r>
      <w:r>
        <w:rPr>
          <w:i/>
        </w:rPr>
        <w:t>Fully decentralised AI-native DApps are a theoretical category the 2023–2025 technology stack cannot realise.</w:t>
      </w:r>
      <w:r>
        <w:t xml:space="preserve"> Decentralised AI inference — homomorphic encryption of model weights, verifiable on-chain ML execution — remains a research problem. Until these primitives mature, the AI DApp sector will occupy the CENTRALIZED or SEMI\_DECENTRALIZED tiers regardless of governance maturation, and performance comparisons with the DECENTRALIZED tier are not meaningful.</w:t>
      </w:r>
    </w:p>
    <w:p>
      <w:pPr>
        <w:pStyle w:val="Heading4"/>
      </w:pPr>
      <w:r>
        <w:t>Token Model Patterns: High Token Issuance (75.8%) Against Limited Governance Rights</w:t>
      </w:r>
    </w:p>
    <w:p>
      <w:r>
        <w:t>Of the 66 AI DApps, 50 (75.8 per cent) have issued a token. The remaining 16 (24.2 per cent) are tokenless — a higher no-token rate than the DeFi sector (approximately 15 per cent) but lower than prediction markets (approximately 40 per cent).</w:t>
      </w:r>
    </w:p>
    <w:p>
      <w:r>
        <w:rPr>
          <w:b/>
        </w:rPr>
        <w:t>Table 4.15 — AI DApp token type distribution (token-issuing DApps, N=50)</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Token type</w:t>
            </w:r>
          </w:p>
        </w:tc>
        <w:tc>
          <w:tcPr>
            <w:tcW w:type="dxa" w:w="2929"/>
          </w:tcPr>
          <w:p>
            <w:r>
              <w:rPr>
                <w:rFonts w:ascii="Times New Roman" w:hAnsi="Times New Roman"/>
                <w:b/>
                <w:sz w:val="20"/>
              </w:rPr>
              <w:t>Count</w:t>
            </w:r>
          </w:p>
        </w:tc>
        <w:tc>
          <w:tcPr>
            <w:tcW w:type="dxa" w:w="2929"/>
          </w:tcPr>
          <w:p>
            <w:r>
              <w:rPr>
                <w:rFonts w:ascii="Times New Roman" w:hAnsi="Times New Roman"/>
                <w:b/>
                <w:sz w:val="20"/>
              </w:rPr>
              <w:t>Share of token-issuers</w:t>
            </w:r>
          </w:p>
        </w:tc>
      </w:tr>
      <w:tr>
        <w:tc>
          <w:tcPr>
            <w:tcW w:type="dxa" w:w="2929"/>
          </w:tcPr>
          <w:p>
            <w:r>
              <w:rPr>
                <w:rFonts w:ascii="Times New Roman" w:hAnsi="Times New Roman"/>
                <w:sz w:val="20"/>
              </w:rPr>
              <w:t>UTILITY</w:t>
            </w:r>
          </w:p>
        </w:tc>
        <w:tc>
          <w:tcPr>
            <w:tcW w:type="dxa" w:w="2929"/>
          </w:tcPr>
          <w:p>
            <w:r>
              <w:rPr>
                <w:rFonts w:ascii="Times New Roman" w:hAnsi="Times New Roman"/>
                <w:sz w:val="20"/>
              </w:rPr>
              <w:t>28</w:t>
            </w:r>
          </w:p>
        </w:tc>
        <w:tc>
          <w:tcPr>
            <w:tcW w:type="dxa" w:w="2929"/>
          </w:tcPr>
          <w:p>
            <w:r>
              <w:rPr>
                <w:rFonts w:ascii="Times New Roman" w:hAnsi="Times New Roman"/>
                <w:sz w:val="20"/>
              </w:rPr>
              <w:t>56.0%</w:t>
            </w:r>
          </w:p>
        </w:tc>
      </w:tr>
      <w:tr>
        <w:tc>
          <w:tcPr>
            <w:tcW w:type="dxa" w:w="2929"/>
          </w:tcPr>
          <w:p>
            <w:r>
              <w:rPr>
                <w:rFonts w:ascii="Times New Roman" w:hAnsi="Times New Roman"/>
                <w:sz w:val="20"/>
              </w:rPr>
              <w:t>REWARD</w:t>
            </w:r>
          </w:p>
        </w:tc>
        <w:tc>
          <w:tcPr>
            <w:tcW w:type="dxa" w:w="2929"/>
          </w:tcPr>
          <w:p>
            <w:r>
              <w:rPr>
                <w:rFonts w:ascii="Times New Roman" w:hAnsi="Times New Roman"/>
                <w:sz w:val="20"/>
              </w:rPr>
              <w:t>10</w:t>
            </w:r>
          </w:p>
        </w:tc>
        <w:tc>
          <w:tcPr>
            <w:tcW w:type="dxa" w:w="2929"/>
          </w:tcPr>
          <w:p>
            <w:r>
              <w:rPr>
                <w:rFonts w:ascii="Times New Roman" w:hAnsi="Times New Roman"/>
                <w:sz w:val="20"/>
              </w:rPr>
              <w:t>20.0%</w:t>
            </w:r>
          </w:p>
        </w:tc>
      </w:tr>
      <w:tr>
        <w:tc>
          <w:tcPr>
            <w:tcW w:type="dxa" w:w="2929"/>
          </w:tcPr>
          <w:p>
            <w:r>
              <w:rPr>
                <w:rFonts w:ascii="Times New Roman" w:hAnsi="Times New Roman"/>
                <w:sz w:val="20"/>
              </w:rPr>
              <w:t>GOVERNANCE</w:t>
            </w:r>
          </w:p>
        </w:tc>
        <w:tc>
          <w:tcPr>
            <w:tcW w:type="dxa" w:w="2929"/>
          </w:tcPr>
          <w:p>
            <w:r>
              <w:rPr>
                <w:rFonts w:ascii="Times New Roman" w:hAnsi="Times New Roman"/>
                <w:sz w:val="20"/>
              </w:rPr>
              <w:t>6</w:t>
            </w:r>
          </w:p>
        </w:tc>
        <w:tc>
          <w:tcPr>
            <w:tcW w:type="dxa" w:w="2929"/>
          </w:tcPr>
          <w:p>
            <w:r>
              <w:rPr>
                <w:rFonts w:ascii="Times New Roman" w:hAnsi="Times New Roman"/>
                <w:sz w:val="20"/>
              </w:rPr>
              <w:t>12.0%</w:t>
            </w:r>
          </w:p>
        </w:tc>
      </w:tr>
      <w:tr>
        <w:tc>
          <w:tcPr>
            <w:tcW w:type="dxa" w:w="2929"/>
          </w:tcPr>
          <w:p>
            <w:r>
              <w:rPr>
                <w:rFonts w:ascii="Times New Roman" w:hAnsi="Times New Roman"/>
                <w:sz w:val="20"/>
              </w:rPr>
              <w:t>SPECULATIVE</w:t>
            </w:r>
          </w:p>
        </w:tc>
        <w:tc>
          <w:tcPr>
            <w:tcW w:type="dxa" w:w="2929"/>
          </w:tcPr>
          <w:p>
            <w:r>
              <w:rPr>
                <w:rFonts w:ascii="Times New Roman" w:hAnsi="Times New Roman"/>
                <w:sz w:val="20"/>
              </w:rPr>
              <w:t>3</w:t>
            </w:r>
          </w:p>
        </w:tc>
        <w:tc>
          <w:tcPr>
            <w:tcW w:type="dxa" w:w="2929"/>
          </w:tcPr>
          <w:p>
            <w:r>
              <w:rPr>
                <w:rFonts w:ascii="Times New Roman" w:hAnsi="Times New Roman"/>
                <w:sz w:val="20"/>
              </w:rPr>
              <w:t>6.0%</w:t>
            </w:r>
          </w:p>
        </w:tc>
      </w:tr>
      <w:tr>
        <w:tc>
          <w:tcPr>
            <w:tcW w:type="dxa" w:w="2929"/>
          </w:tcPr>
          <w:p>
            <w:r>
              <w:rPr>
                <w:rFonts w:ascii="Times New Roman" w:hAnsi="Times New Roman"/>
                <w:sz w:val="20"/>
              </w:rPr>
              <w:t>GOVERNANCE + UTILITY</w:t>
            </w:r>
          </w:p>
        </w:tc>
        <w:tc>
          <w:tcPr>
            <w:tcW w:type="dxa" w:w="2929"/>
          </w:tcPr>
          <w:p>
            <w:r>
              <w:rPr>
                <w:rFonts w:ascii="Times New Roman" w:hAnsi="Times New Roman"/>
                <w:sz w:val="20"/>
              </w:rPr>
              <w:t>2</w:t>
            </w:r>
          </w:p>
        </w:tc>
        <w:tc>
          <w:tcPr>
            <w:tcW w:type="dxa" w:w="2929"/>
          </w:tcPr>
          <w:p>
            <w:r>
              <w:rPr>
                <w:rFonts w:ascii="Times New Roman" w:hAnsi="Times New Roman"/>
                <w:sz w:val="20"/>
              </w:rPr>
              <w:t>4.0%</w:t>
            </w:r>
          </w:p>
        </w:tc>
      </w:tr>
      <w:tr>
        <w:tc>
          <w:tcPr>
            <w:tcW w:type="dxa" w:w="2929"/>
          </w:tcPr>
          <w:p>
            <w:r>
              <w:rPr>
                <w:rFonts w:ascii="Times New Roman" w:hAnsi="Times New Roman"/>
                <w:sz w:val="20"/>
              </w:rPr>
              <w:t>SOCIAL</w:t>
            </w:r>
          </w:p>
        </w:tc>
        <w:tc>
          <w:tcPr>
            <w:tcW w:type="dxa" w:w="2929"/>
          </w:tcPr>
          <w:p>
            <w:r>
              <w:rPr>
                <w:rFonts w:ascii="Times New Roman" w:hAnsi="Times New Roman"/>
                <w:sz w:val="20"/>
              </w:rPr>
              <w:t>1</w:t>
            </w:r>
          </w:p>
        </w:tc>
        <w:tc>
          <w:tcPr>
            <w:tcW w:type="dxa" w:w="2929"/>
          </w:tcPr>
          <w:p>
            <w:r>
              <w:rPr>
                <w:rFonts w:ascii="Times New Roman" w:hAnsi="Times New Roman"/>
                <w:sz w:val="20"/>
              </w:rPr>
              <w:t>2.0%</w:t>
            </w:r>
          </w:p>
        </w:tc>
      </w:tr>
    </w:tbl>
    <w:p/>
    <w:p>
      <w:r>
        <w:rPr>
          <w:i/>
        </w:rPr>
        <w:t>Source: token type classification.</w:t>
      </w:r>
    </w:p>
    <w:p>
      <w:r>
        <w:t>Utility tokens dominate (56.0 per cent of token-issuers; 42.4 per cent of the full cohort), consistent with AI DApps using tokens primarily to gate access to AI services, distribute compute credits, and incentivise data contributions. Reward tokens (20.0 per cent of token-issuers) are concentrated in gaming-adjacent AI applications that distribute tokens for AI-beneficial tasks: data labelling (Alaya AI), physical movement (Sleepless AI), and play-to-earn completion (Hot Spring — The Cozy World, FishWar). Pure governance tokens appear in 12.0 per cent of token-issuing AI DApps (6 DApps) — a low governance-token prevalence consistent with the sector's limited formal governance development. The cross-cohort governance token prevalence stands at 12.1 per cent, aligned with this range.</w:t>
      </w:r>
    </w:p>
    <w:p>
      <w:r>
        <w:t>No AI DApp in the dataset operates a pure fee-switch governance token model (where governance rights map directly to protocol revenue claims) at scale — the closest approximation is Virtuals Protocol's veVIRTUAL staking, which grants governance votes and fee-distribution rights but within a corporate-controlled product environment.</w:t>
      </w:r>
    </w:p>
    <w:p>
      <w:pPr>
        <w:pStyle w:val="Heading4"/>
      </w:pPr>
      <w:r>
        <w:t>Revenue Logic: Usage Metering, Agent Launch Take-Rate, and Tokenomics Subsidies</w:t>
      </w:r>
    </w:p>
    <w:p>
      <w:r>
        <w:t>AI DApp revenue divides into three models, identified for the three strict-sample DApps and extended analytically to the loose universe:</w:t>
      </w:r>
    </w:p>
    <w:p>
      <w:pPr>
        <w:pStyle w:val="ListNumber"/>
      </w:pPr>
      <w:r>
        <w:rPr>
          <w:b/>
        </w:rPr>
        <w:t>Usage metering</w:t>
      </w:r>
      <w:r>
        <w:t>: ChainOpera AI and ChainGPT charge compute credits for API-accessible AI inference, operating on fee and subscription revenue models respectively. This model mirrors enterprise SaaS pricing applied to on-chain-accessible AI services. It is financially sustainable but concentrates revenue in the infrastructure sub-type rather than the broad AI DApp population.</w:t>
      </w:r>
    </w:p>
    <w:p>
      <w:pPr>
        <w:pStyle w:val="ListNumber"/>
      </w:pPr>
      <w:r>
        <w:rPr>
          <w:b/>
        </w:rPr>
        <w:t>Take-rate on agent launches</w:t>
      </w:r>
      <w:r>
        <w:t>: Virtuals Protocol charges a percentage of initial bonding-curve liquidity when AI agents are launched on its platform. This model is analogous to token launchpad fees but applied to autonomous agent primitives, enabling revenue proportional to the growth of the AI agent economy.</w:t>
      </w:r>
    </w:p>
    <w:p>
      <w:pPr>
        <w:pStyle w:val="ListNumber"/>
      </w:pPr>
      <w:r>
        <w:rPr>
          <w:b/>
        </w:rPr>
        <w:t>Tokenomics-subsidised engagement</w:t>
      </w:r>
      <w:r>
        <w:t xml:space="preserve"> (majority of the loose-universe AI DApps): Hot Spring, Alaya AI, FishWar, and most large-user-count AI DApps distribute reward tokens for in-application activity rather than extracting fees. This is a user-acquisition model that defers monetisation to token appreciation and secondary-market activity — a structure with positive cash flow only if token markets sustain or appreciate, an assumption that holds during bull markets but collapses during contractions.</w:t>
      </w:r>
    </w:p>
    <w:p>
      <w:pPr>
        <w:pStyle w:val="Heading4"/>
      </w:pPr>
      <w:r>
        <w:t>Maturity Indicators: Data-Complete but Financially Thin</w:t>
      </w:r>
    </w:p>
    <w:p>
      <w:r>
        <w:t>Assessed across the standard maturity dimensions used in this thesis: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Metric</w:t>
            </w:r>
          </w:p>
        </w:tc>
        <w:tc>
          <w:tcPr>
            <w:tcW w:type="dxa" w:w="2929"/>
          </w:tcPr>
          <w:p>
            <w:r>
              <w:rPr>
                <w:rFonts w:ascii="Times New Roman" w:hAnsi="Times New Roman"/>
                <w:b/>
                <w:sz w:val="20"/>
              </w:rPr>
              <w:t>AI DApps (N=66)</w:t>
            </w:r>
          </w:p>
        </w:tc>
        <w:tc>
          <w:tcPr>
            <w:tcW w:type="dxa" w:w="2929"/>
          </w:tcPr>
          <w:p>
            <w:r>
              <w:rPr>
                <w:rFonts w:ascii="Times New Roman" w:hAnsi="Times New Roman"/>
                <w:b/>
                <w:sz w:val="20"/>
              </w:rPr>
              <w:t>Full loose universe (N=855)</w:t>
            </w:r>
          </w:p>
        </w:tc>
      </w:tr>
      <w:tr>
        <w:tc>
          <w:tcPr>
            <w:tcW w:type="dxa" w:w="2929"/>
          </w:tcPr>
          <w:p>
            <w:r>
              <w:rPr>
                <w:rFonts w:ascii="Times New Roman" w:hAnsi="Times New Roman"/>
                <w:sz w:val="20"/>
              </w:rPr>
              <w:t>Median active users</w:t>
            </w:r>
          </w:p>
        </w:tc>
        <w:tc>
          <w:tcPr>
            <w:tcW w:type="dxa" w:w="2929"/>
          </w:tcPr>
          <w:p>
            <w:r>
              <w:rPr>
                <w:rFonts w:ascii="Times New Roman" w:hAnsi="Times New Roman"/>
                <w:sz w:val="20"/>
              </w:rPr>
              <w:t>1,232</w:t>
            </w:r>
          </w:p>
        </w:tc>
        <w:tc>
          <w:tcPr>
            <w:tcW w:type="dxa" w:w="2929"/>
          </w:tcPr>
          <w:p>
            <w:r>
              <w:rPr>
                <w:rFonts w:ascii="Times New Roman" w:hAnsi="Times New Roman"/>
                <w:sz w:val="20"/>
              </w:rPr>
              <w:t>~2,400</w:t>
            </w:r>
          </w:p>
        </w:tc>
      </w:tr>
      <w:tr>
        <w:tc>
          <w:tcPr>
            <w:tcW w:type="dxa" w:w="2929"/>
          </w:tcPr>
          <w:p>
            <w:r>
              <w:rPr>
                <w:rFonts w:ascii="Times New Roman" w:hAnsi="Times New Roman"/>
                <w:sz w:val="20"/>
              </w:rPr>
              <w:t>Median volume (USD)</w:t>
            </w:r>
          </w:p>
        </w:tc>
        <w:tc>
          <w:tcPr>
            <w:tcW w:type="dxa" w:w="2929"/>
          </w:tcPr>
          <w:p>
            <w:r>
              <w:rPr>
                <w:rFonts w:ascii="Times New Roman" w:hAnsi="Times New Roman"/>
                <w:sz w:val="20"/>
              </w:rPr>
              <w:t>$785</w:t>
            </w:r>
          </w:p>
        </w:tc>
        <w:tc>
          <w:tcPr>
            <w:tcW w:type="dxa" w:w="2929"/>
          </w:tcPr>
          <w:p>
            <w:r>
              <w:rPr>
                <w:rFonts w:ascii="Times New Roman" w:hAnsi="Times New Roman"/>
                <w:sz w:val="20"/>
              </w:rPr>
              <w:t>~$28,000</w:t>
            </w:r>
          </w:p>
        </w:tc>
      </w:tr>
      <w:tr>
        <w:tc>
          <w:tcPr>
            <w:tcW w:type="dxa" w:w="2929"/>
          </w:tcPr>
          <w:p>
            <w:r>
              <w:rPr>
                <w:rFonts w:ascii="Times New Roman" w:hAnsi="Times New Roman"/>
                <w:sz w:val="20"/>
              </w:rPr>
              <w:t>Multi-chain rate</w:t>
            </w:r>
          </w:p>
        </w:tc>
        <w:tc>
          <w:tcPr>
            <w:tcW w:type="dxa" w:w="2929"/>
          </w:tcPr>
          <w:p>
            <w:r>
              <w:rPr>
                <w:rFonts w:ascii="Times New Roman" w:hAnsi="Times New Roman"/>
                <w:sz w:val="20"/>
              </w:rPr>
              <w:t>40.9%</w:t>
            </w:r>
          </w:p>
        </w:tc>
        <w:tc>
          <w:tcPr>
            <w:tcW w:type="dxa" w:w="2929"/>
          </w:tcPr>
          <w:p>
            <w:r>
              <w:rPr>
                <w:rFonts w:ascii="Times New Roman" w:hAnsi="Times New Roman"/>
                <w:sz w:val="20"/>
              </w:rPr>
              <w:t>36.2%</w:t>
            </w:r>
          </w:p>
        </w:tc>
      </w:tr>
      <w:tr>
        <w:tc>
          <w:tcPr>
            <w:tcW w:type="dxa" w:w="2929"/>
          </w:tcPr>
          <w:p>
            <w:r>
              <w:rPr>
                <w:rFonts w:ascii="Times New Roman" w:hAnsi="Times New Roman"/>
                <w:sz w:val="20"/>
              </w:rPr>
              <w:t>Mean activity signal count</w:t>
            </w:r>
          </w:p>
        </w:tc>
        <w:tc>
          <w:tcPr>
            <w:tcW w:type="dxa" w:w="2929"/>
          </w:tcPr>
          <w:p>
            <w:r>
              <w:rPr>
                <w:rFonts w:ascii="Times New Roman" w:hAnsi="Times New Roman"/>
                <w:sz w:val="20"/>
              </w:rPr>
              <w:t>3.4</w:t>
            </w:r>
          </w:p>
        </w:tc>
        <w:tc>
          <w:tcPr>
            <w:tcW w:type="dxa" w:w="2929"/>
          </w:tcPr>
          <w:p>
            <w:r>
              <w:rPr>
                <w:rFonts w:ascii="Times New Roman" w:hAnsi="Times New Roman"/>
                <w:sz w:val="20"/>
              </w:rPr>
              <w:t>~3.1</w:t>
            </w:r>
          </w:p>
        </w:tc>
      </w:tr>
      <w:tr>
        <w:tc>
          <w:tcPr>
            <w:tcW w:type="dxa" w:w="2929"/>
          </w:tcPr>
          <w:p>
            <w:r>
              <w:rPr>
                <w:rFonts w:ascii="Times New Roman" w:hAnsi="Times New Roman"/>
                <w:sz w:val="20"/>
              </w:rPr>
              <w:t>Data completeness score (mean)</w:t>
            </w:r>
          </w:p>
        </w:tc>
        <w:tc>
          <w:tcPr>
            <w:tcW w:type="dxa" w:w="2929"/>
          </w:tcPr>
          <w:p>
            <w:r>
              <w:rPr>
                <w:rFonts w:ascii="Times New Roman" w:hAnsi="Times New Roman"/>
                <w:sz w:val="20"/>
              </w:rPr>
              <w:t>0.84</w:t>
            </w:r>
          </w:p>
        </w:tc>
        <w:tc>
          <w:tcPr>
            <w:tcW w:type="dxa" w:w="2929"/>
          </w:tcPr>
          <w:p>
            <w:r>
              <w:rPr>
                <w:rFonts w:ascii="Times New Roman" w:hAnsi="Times New Roman"/>
                <w:sz w:val="20"/>
              </w:rPr>
              <w:t>~0.79</w:t>
            </w:r>
          </w:p>
        </w:tc>
      </w:tr>
      <w:tr>
        <w:tc>
          <w:tcPr>
            <w:tcW w:type="dxa" w:w="2929"/>
          </w:tcPr>
          <w:p>
            <w:r>
              <w:rPr>
                <w:rFonts w:ascii="Times New Roman" w:hAnsi="Times New Roman"/>
                <w:sz w:val="20"/>
              </w:rPr>
              <w:t>Token issuance rate</w:t>
            </w:r>
          </w:p>
        </w:tc>
        <w:tc>
          <w:tcPr>
            <w:tcW w:type="dxa" w:w="2929"/>
          </w:tcPr>
          <w:p>
            <w:r>
              <w:rPr>
                <w:rFonts w:ascii="Times New Roman" w:hAnsi="Times New Roman"/>
                <w:sz w:val="20"/>
              </w:rPr>
              <w:t>75.8%</w:t>
            </w:r>
          </w:p>
        </w:tc>
        <w:tc>
          <w:tcPr>
            <w:tcW w:type="dxa" w:w="2929"/>
          </w:tcPr>
          <w:p>
            <w:r>
              <w:rPr>
                <w:rFonts w:ascii="Times New Roman" w:hAnsi="Times New Roman"/>
                <w:sz w:val="20"/>
              </w:rPr>
              <w:t>~65%</w:t>
            </w:r>
          </w:p>
        </w:tc>
      </w:tr>
    </w:tbl>
    <w:p/>
    <w:p>
      <w:r>
        <w:rPr>
          <w:i/>
        </w:rPr>
        <w:t>Full-universe figures are derived from the full dataset for comparison.</w:t>
      </w:r>
    </w:p>
    <w:p>
      <w:r>
        <w:t>The AI DApp cohort is data-complete (mean score 0.84) and slightly above average on activity signal count (3.4 versus ~3.1), indicating sufficient analytic coverage for reliable coding. However, median active users (1,232) and volume ($785) are well below ecosystem medians, reflecting the preponderance of early-stage or reward-economy protocols. Multi-chain adoption (40.9 per cent) is above the ecosystem median, consistent with AI DApps seeking broad user distribution across L2 and L1 networks.</w:t>
      </w:r>
    </w:p>
    <w:p>
      <w:r>
        <w:t>The high token issuance rate (75.8 per cent) relative to governance maturity creates a structural tension: tokens are issued early as incentive and funding mechanisms, but governance infrastructure lags, leaving most token-holders with instruments that carry no meaningful governance rights.</w:t>
      </w:r>
    </w:p>
    <w:p>
      <w:pPr>
        <w:pStyle w:val="Heading4"/>
      </w:pPr>
      <w:r>
        <w:t>Registered Anomalies</w:t>
      </w:r>
    </w:p>
    <w:p>
      <w:r>
        <w:rPr>
          <w:b/>
        </w:rPr>
        <w:t>ANO-AI-01 — User–Volume Decoupling: Reward Economies Generate Activity Without Financial Throughput</w:t>
      </w:r>
    </w:p>
    <w:p>
      <w:r>
        <w:t>The two most-used AI DApps by active wallet count — Hot Spring (2.9 million users) and Alaya AI (1.9 million users) — report zero recorded volume. This decoupling indicates reward economies in which activity generates token distributions but not financial throughput traceable as on-chain "volume" in DappRadar's framework. The same pattern holds for OpenPad AI (293,016 users, $0 volume) and Sleepless AI (73,338 users, $0 volume), classifying these DApps as structurally incompatible with volume-based performance benchmarks calibrated on DeFi or NFT activity.</w:t>
      </w:r>
    </w:p>
    <w:p>
      <w:r>
        <w:rPr>
          <w:b/>
        </w:rPr>
        <w:t>ANO-AI-02 — Market-Capitalisation Inversion Relative to User Scale: Infrastructure Priced as Platform Options</w:t>
      </w:r>
    </w:p>
    <w:p>
      <w:r>
        <w:t>Virtuals Protocol carries a $606.3 million MCap with 39,464 active users (MCap-per-user ≈ $15,365), while Hot Spring has 2.9 million users and zero MCap. This near-perfect anti-correlation between financial valuation and user activity within the AI sector indicates that market participants price AI protocol infrastructure as platform options on the emerging AI-agent economy — not on revenue or user metrics. The total AI DApp combined market cap of $1.61 billion is dominated by the infrastructure sub-type (Virtuals Protocol, ChainOpera AI, Kaito, CARV) despite these protocols collectively holding fewer than 250,000 active users.</w:t>
      </w:r>
    </w:p>
    <w:p>
      <w:pPr>
        <w:pStyle w:val="Heading3"/>
      </w:pPr>
      <w:r>
        <w:t>4.6.4 Frontier Ecosystems: RWA and DePIN</w:t>
      </w:r>
    </w:p>
    <w:p>
      <w:r>
        <w:t>Real-World Assets (RWA) and Decentralised Physical Infrastructure (DePIN) represent the two smallest ecosystems in the dataset, with 43 and 29 DApps respectively in the loose universe and only 2–5 strict-eligible protocols across both categories. Because the strict filter excludes most protocols in these verticals — RWA protocols frequently lack native tokens; DePIN protocols rarely meet the TVL or volume thresholds — findings here are drawn from the loose universe and are descriptive rather than inferential.</w:t>
      </w:r>
    </w:p>
    <w:p>
      <w:r>
        <w:rPr>
          <w:b/>
        </w:rPr>
        <w:t>RWA</w:t>
      </w:r>
      <w:r>
        <w:t xml:space="preserve"> (N=43 loose) spans two economically distinct protocol types: </w:t>
      </w:r>
      <w:r>
        <w:rPr>
          <w:i/>
        </w:rPr>
        <w:t>institutional DeFi</w:t>
      </w:r>
      <w:r>
        <w:t xml:space="preserve"> (Ethena, Maple — targeting capital-intensive participants) and </w:t>
      </w:r>
      <w:r>
        <w:rPr>
          <w:i/>
        </w:rPr>
        <w:t>tokenised consumer assets</w:t>
      </w:r>
      <w:r>
        <w:t xml:space="preserve"> (Courtyard, WiFi Map — targeting retail participants through tokenised physical objects). Both types share a defining structural constraint: regulatory compliance for tokenised real-world assets typically requires a corporate legal custodian, which constrains governance toward centralisation. RWA is the second-most centralised ecosystem after prediction markets, with 60.5 per cent team-controlled governance, 55.8 per cent no-token share (highest of all ecosystems), and only 2.3 per cent fully decentralised — a profile consistent with the legal and operational exposure of protocols interfacing directly with regulated off-chain assets. Two structural anomalies stand out. </w:t>
      </w:r>
      <w:r>
        <w:rPr>
          <w:i/>
        </w:rPr>
        <w:t>ANO-RWA-01:</w:t>
      </w:r>
      <w:r>
        <w:t xml:space="preserve"> Ethena's TVL ($14.2 billion) exceeds its market capitalisation ($1.8 billion) by 7.8×, because sUSDe deposits represent depositor liabilities rather than protocol equity. </w:t>
      </w:r>
      <w:r>
        <w:rPr>
          <w:i/>
        </w:rPr>
        <w:t>ANO-RWA-02:</w:t>
      </w:r>
      <w:r>
        <w:t xml:space="preserve"> Maple's 30-day volume ($34.3 billion) exceeds its TVL ($2.6 billion) by 13.1×, indicating capital velocity through revolving institutional lending cycles rather than passive lock-up — the directional inverse of the TVL-leverage anomaly documented in §4.9.4.</w:t>
      </w:r>
    </w:p>
    <w:p>
      <w:r>
        <w:rPr>
          <w:b/>
        </w:rPr>
        <w:t>DePIN</w:t>
      </w:r>
      <w:r>
        <w:t xml:space="preserve"> (N=29 loose) coordinates physical hardware through token-incentivised networks: wireless data sharing (WiFi Map, XPIN Network), fitness tracking (Sweat Economy, SuperWalk), gaming hardware (Gaimin), and messaging infrastructure (Dmail Network). The sector mirrors RWA in governance centralisation (55.2 per cent team-controlled) but differs structurally in user scale: 4.9 million active users generate only $8.6 million in total volume — an average of $1.74 per user, the lowest of any sector (</w:t>
      </w:r>
      <w:r>
        <w:rPr>
          <w:i/>
        </w:rPr>
        <w:t>ANO-DEPIN-01</w:t>
      </w:r>
      <w:r>
        <w:t>). This confirms the category error introduced when DePIN is evaluated against DeFi-calibrated volume benchmarks. One governance novelty is worth recording: Sweat Economy achieves Hybrid decentralisation through a "one-person, one-vote" model enforced by physical activity verification — a mechanism with no precedent in the DeFi governance literature and one that raises an open question about whether standard decentralisation metrics apply across DePIN governance architectures (</w:t>
      </w:r>
      <w:r>
        <w:rPr>
          <w:i/>
        </w:rPr>
        <w:t>ANO-DEPIN-02</w:t>
      </w:r>
      <w:r>
        <w:t>).</w:t>
      </w:r>
    </w:p>
    <w:p>
      <w:r>
        <w:t>Table 4.20 at the head of §4.6 provides the cross-ecosystem quantitative comparison that situates RWA and DePIN relative to the three primary ecosystems. Centralisation is the norm in both frontier ecosystems for structural reasons — regulatory exposure in RWA, hardware control in DePIN — and neither contests DeFi's status as the governance outlier.</w:t>
      </w:r>
    </w:p>
    <w:p>
      <w:pPr>
        <w:pStyle w:val="Heading2"/>
      </w:pPr>
      <w:r>
        <w:t>4.7 Token Analysis</w:t>
      </w:r>
    </w:p>
    <w:p>
      <w:r>
        <w:t>Token structure in the strict sample follows from the governance analysis in §4.2. Across the full 855-DApp dataset, 50.2 per cent of DApps operate a native token. Within the strict sample (N=68): utility tokens 44.1 per cent (N=30), governance tokens 25.0 per cent (N=17), reward tokens 20.6 per cent (N=14), no token 8.8 per cent (N=6), social token 1.5 per cent (N=1).</w:t>
      </w:r>
    </w:p>
    <w:p>
      <w:r>
        <w:rPr>
          <w:b/>
        </w:rPr>
        <w:t>Governance token prevalence (INS-TOK-01).</w:t>
      </w:r>
      <w:r>
        <w:t xml:space="preserve"> All 13 DApps with DAO-with-timelock or on-chain token governance hold governance tokens, accounting for 76.5 per cent of all governance tokens in the sample. Four governance tokens appear in DApps with Snapshot off-chain governance, confirming that token design and governance mechanics are partially decoupled — some governance tokens coexist with team-controlled structures. This decoupling is developed in §4.9.1 (ANO-GOV-01) and interpreted in §5.3.</w:t>
      </w:r>
    </w:p>
    <w:p>
      <w:pPr>
        <w:pStyle w:val="Heading2"/>
      </w:pPr>
      <w:r>
        <w:t>4.8 Performance Clustering</w:t>
      </w:r>
    </w:p>
    <w:p>
      <w:r>
        <w:t>A K-means analysis (four clusters, k=4) applied to the full 855-DApp dataset partitions DApps with complete performance data into four tiers. Features are log-transformed active users, market capitalisation, TVL, volume, and transaction count, plus the composite governance score and a market maturity index, all z-score normalised before clustering. The four resulting clusters are labelled and characterised as follows:</w:t>
      </w:r>
    </w:p>
    <w:p>
      <w:r>
        <w:rPr>
          <w:b/>
        </w:rPr>
        <w:t>Struggling</w:t>
      </w:r>
      <w:r>
        <w:t xml:space="preserve"> (approximately 30 per cent of DApps with complete data): below-median performance across all features; predominantly team-controlled governance; single-chain deployment common.</w:t>
      </w:r>
    </w:p>
    <w:p>
      <w:r>
        <w:rPr>
          <w:b/>
        </w:rPr>
        <w:t>Emerging</w:t>
      </w:r>
      <w:r>
        <w:t xml:space="preserve"> (approximately 25 per cent): moderate user bases but low financial metrics; gaming protocols are concentrated here, reflecting the engagement-to-value gap documented in §4.5.2.</w:t>
      </w:r>
    </w:p>
    <w:p>
      <w:r>
        <w:rPr>
          <w:b/>
        </w:rPr>
        <w:t>Growing</w:t>
      </w:r>
      <w:r>
        <w:t xml:space="preserve"> (approximately 23 per cent): above-median user growth, improving governance scores, multi-chain deployment becoming common.</w:t>
      </w:r>
    </w:p>
    <w:p>
      <w:r>
        <w:rPr>
          <w:b/>
        </w:rPr>
        <w:t>Leading</w:t>
      </w:r>
      <w:r>
        <w:t xml:space="preserve"> (approximately 22 per cent): market cap, TVL, and volume above the 75th percentile; highest median governance scores; nearly all multi-chain; dominated by established DeFi protocols.</w:t>
      </w:r>
    </w:p>
    <w:p>
      <w:r>
        <w:rPr>
          <w:i/>
        </w:rPr>
        <w:t>Note on cohort structure.</w:t>
      </w:r>
      <w:r>
        <w:t xml:space="preserve"> As described in §3.3.3, cells with ≥20 strict-eligible DApps would form primary cohorts for intra-cohort K-means. No cell reached this threshold (largest: exchanges :: DEX, N=13), so the cohort analysis reduces to the sector × category decomposition in Figures 4.13–4.15. The four-tier characterisation above applies to the full 855-DApp dataset as a complementary description; primary analytical findings derive from the strict sample (N=68).</w:t>
      </w:r>
    </w:p>
    <w:p>
      <w:pPr>
        <w:jc w:val="center"/>
      </w:pPr>
      <w:r>
        <w:drawing>
          <wp:inline xmlns:a="http://schemas.openxmlformats.org/drawingml/2006/main" xmlns:pic="http://schemas.openxmlformats.org/drawingml/2006/picture">
            <wp:extent cx="5029200" cy="1770845"/>
            <wp:docPr id="11" name="Picture 11"/>
            <wp:cNvGraphicFramePr>
              <a:graphicFrameLocks noChangeAspect="1"/>
            </wp:cNvGraphicFramePr>
            <a:graphic>
              <a:graphicData uri="http://schemas.openxmlformats.org/drawingml/2006/picture">
                <pic:pic>
                  <pic:nvPicPr>
                    <pic:cNvPr id="0" name="02_governance_heatmaps_cohort.png"/>
                    <pic:cNvPicPr/>
                  </pic:nvPicPr>
                  <pic:blipFill>
                    <a:blip r:embed="rId19"/>
                    <a:stretch>
                      <a:fillRect/>
                    </a:stretch>
                  </pic:blipFill>
                  <pic:spPr>
                    <a:xfrm>
                      <a:off x="0" y="0"/>
                      <a:ext cx="5029200" cy="1770845"/>
                    </a:xfrm>
                    <a:prstGeom prst="rect"/>
                  </pic:spPr>
                </pic:pic>
              </a:graphicData>
            </a:graphic>
          </wp:inline>
        </w:drawing>
      </w:r>
    </w:p>
    <w:p>
      <w:pPr>
        <w:pStyle w:val="Caption"/>
      </w:pPr>
      <w:r>
        <w:rPr>
          <w:i/>
        </w:rPr>
        <w:t>Figure 4.13: Governance × ownership heatmap — sector × category cohort</w:t>
      </w:r>
    </w:p>
    <w:p>
      <w:pPr>
        <w:jc w:val="center"/>
      </w:pPr>
      <w:r>
        <w:drawing>
          <wp:inline xmlns:a="http://schemas.openxmlformats.org/drawingml/2006/main" xmlns:pic="http://schemas.openxmlformats.org/drawingml/2006/picture">
            <wp:extent cx="5029200" cy="2481580"/>
            <wp:docPr id="12" name="Picture 12"/>
            <wp:cNvGraphicFramePr>
              <a:graphicFrameLocks noChangeAspect="1"/>
            </wp:cNvGraphicFramePr>
            <a:graphic>
              <a:graphicData uri="http://schemas.openxmlformats.org/drawingml/2006/picture">
                <pic:pic>
                  <pic:nvPicPr>
                    <pic:cNvPr id="0" name="02_governance_token_heatmap_cohort.png"/>
                    <pic:cNvPicPr/>
                  </pic:nvPicPr>
                  <pic:blipFill>
                    <a:blip r:embed="rId20"/>
                    <a:stretch>
                      <a:fillRect/>
                    </a:stretch>
                  </pic:blipFill>
                  <pic:spPr>
                    <a:xfrm>
                      <a:off x="0" y="0"/>
                      <a:ext cx="5029200" cy="2481580"/>
                    </a:xfrm>
                    <a:prstGeom prst="rect"/>
                  </pic:spPr>
                </pic:pic>
              </a:graphicData>
            </a:graphic>
          </wp:inline>
        </w:drawing>
      </w:r>
    </w:p>
    <w:p>
      <w:pPr>
        <w:pStyle w:val="Caption"/>
      </w:pPr>
      <w:r>
        <w:rPr>
          <w:i/>
        </w:rPr>
        <w:t>Figure 4.14: Governance × token type heatmap — sector × category cohort</w:t>
      </w:r>
    </w:p>
    <w:p>
      <w:pPr>
        <w:jc w:val="center"/>
      </w:pPr>
      <w:r>
        <w:drawing>
          <wp:inline xmlns:a="http://schemas.openxmlformats.org/drawingml/2006/main" xmlns:pic="http://schemas.openxmlformats.org/drawingml/2006/picture">
            <wp:extent cx="5029200" cy="1565694"/>
            <wp:docPr id="13" name="Picture 13"/>
            <wp:cNvGraphicFramePr>
              <a:graphicFrameLocks noChangeAspect="1"/>
            </wp:cNvGraphicFramePr>
            <a:graphic>
              <a:graphicData uri="http://schemas.openxmlformats.org/drawingml/2006/picture">
                <pic:pic>
                  <pic:nvPicPr>
                    <pic:cNvPr id="0" name="02_governance_distribution_cohort.png"/>
                    <pic:cNvPicPr/>
                  </pic:nvPicPr>
                  <pic:blipFill>
                    <a:blip r:embed="rId21"/>
                    <a:stretch>
                      <a:fillRect/>
                    </a:stretch>
                  </pic:blipFill>
                  <pic:spPr>
                    <a:xfrm>
                      <a:off x="0" y="0"/>
                      <a:ext cx="5029200" cy="1565694"/>
                    </a:xfrm>
                    <a:prstGeom prst="rect"/>
                  </pic:spPr>
                </pic:pic>
              </a:graphicData>
            </a:graphic>
          </wp:inline>
        </w:drawing>
      </w:r>
    </w:p>
    <w:p>
      <w:pPr>
        <w:pStyle w:val="Caption"/>
      </w:pPr>
      <w:r>
        <w:rPr>
          <w:i/>
        </w:rPr>
        <w:t>Figure 4.15: Governance label distribution — sector × category cohort</w:t>
      </w:r>
    </w:p>
    <w:p>
      <w:r>
        <w:t>The cohort figures are consistent with the governance–performance correlation in §4.3.4: DeFi DApps exhibit the highest median governance scores; gaming DApps cluster in lower governance-score quadrants with predominantly team-controlled structures. Sector and governance are systematically co-determined, not independent.</w:t>
      </w:r>
    </w:p>
    <w:p>
      <w:pPr>
        <w:pStyle w:val="Heading2"/>
      </w:pPr>
      <w:r>
        <w:t>4.9 Anomalies, Contradictions, and Challenges to the DApp Narrative</w:t>
      </w:r>
    </w:p>
    <w:p>
      <w:r>
        <w:t>The preceding sections characterise the DApp landscape through systematic cross-sectional lenses. This section catalogues four categories of structural anomaly that emerge from the dataset and resist easy explanation within the dominant framings of DApp governance and market efficiency. Each anomaly is quantified, illustrated with representative examples, and cross-referenced to the interpretive discussion in Chapter 5. Together, they constitute an empirical challenge to four simplifying narratives — that governance tokens enable community control, that venture capital predicts market success, that user scale signals economic value, and that TVL is a reliable proxy for protocol importance — that pervade how the DApp ecosystem is publicly assessed.</w:t>
      </w:r>
    </w:p>
    <w:p>
      <w:pPr>
        <w:pStyle w:val="Heading3"/>
      </w:pPr>
      <w:r>
        <w:t>4.9.1 Governance Tokens Without Governance Authority</w:t>
      </w:r>
    </w:p>
    <w:p>
      <w:r>
        <w:t>The first anomaly is the co-occurrence of governance token issuance with team-controlled governance. Two DApps in the strict eligible set meet the strict definition (ANO-GOV-01): both hold governance-type tokens yet retain all material decision-making within a founding team, with no evidence of binding community votes. In the strict sample (N=68), four DApps with Snapshot off-chain governance hold governance tokens (§4.7) — token holders can register preferences, but execution authority rests with a team-operated multisig. One CENTRALIZED DApp holds on-chain token governance as its stated mechanism while remaining operationally centralised (ANO-GOV-03; 1.47 per cent of the strict sample) — typically attributable to upgradeability keys, multisig overrides, or governance proposals authored by team-controlled wallets.</w:t>
      </w:r>
    </w:p>
    <w:p>
      <w:r>
        <w:t>These cases represent a structural decoupling of token design from governance authority. A governance token does not transfer decision-making power if proposal thresholds, voting quorums, or execution keys remain team-controlled; the token then functions as a capital formation instrument rather than an effective governance mechanism. Star Atlas illustrates the ambiguity: its POLIS ve-model signals formal governance architecture, yet research annotations document team-led execution and a retained foundation coordination role. A permissive screen including Snapshot-governed DApps with concentrated team token holdings would surface a materially larger cohort from the 834 eligible DApps.</w:t>
      </w:r>
    </w:p>
    <w:p>
      <w:r>
        <w:t>In the current DApp market phase, governance token issuance functions primarily as a capital formation and community signalling mechanism rather than genuine governance transfer. Protocols issue tokens to access liquidity and attract community attention while retaining operational authority through multisig thresholds, upgrade keys, or concentrated distributions. The DApps classified as governance-token-holding yet team-controlled are concentrated in younger, higher-growth segments where organisational flexibility is commercially valued over governance credibility. For users and investors, governance token ownership is not a proxy for governance rights: independent verification of proposal participation rates and execution authority is required.</w:t>
      </w:r>
    </w:p>
    <w:p>
      <w:r>
        <w:t>This anomaly is examined interpretively in §5.3 (Labelling Versus Mechanics, DIS-02), where the gap between governance token design and governance authority is situated within the broader decentralisation paradox and its implications for regulatory framing are assessed.</w:t>
      </w:r>
    </w:p>
    <w:p>
      <w:pPr>
        <w:pStyle w:val="Heading3"/>
      </w:pPr>
      <w:r>
        <w:t>4.9.2 Unfunded DApps Outperforming Venture-Backed Peers</w:t>
      </w:r>
    </w:p>
    <w:p>
      <w:r>
        <w:t>The second anomaly challenges the assumption that venture capital backing predicts market performance. Among the strict eligible sample (N=68), 13 DApps raised documented venture capital. The median funding-to-valuation ratio — market capitalisation divided by capital raised — is 0.11×: the median funded DApp is valued at roughly one-tenth of the investment made in it. Meanwhile, 29.4 per cent of unfunded DApps (~20 protocols, ANO-MKT-03) achieve market capitalisations exceeding the median funded DApp. The 13 funded DApps include KGeN, 1inch Network, Pendle, DLN, Across, Moonwell, SynFutures, ZeroLend, Maple, KernelDAO, Mento, and GoodDollar; Mento and GoodDollar report zero market capitalisation at data capture, included in the median per study methodology.</w:t>
      </w:r>
    </w:p>
    <w:p>
      <w:r>
        <w:t>As noted in §4.3.3, raises data covers only 38 of 855 DApps (4.4 per cent), bounding the full-dataset analysis to this verified subset. Within those 38 cases, $14.3 billion was raised with no systematic positive relationship between capital raised and current market capitalisation — consistent with the strict-sample finding. Higher-funded DApps are not systematically associated with higher valuations at data capture.</w:t>
      </w:r>
    </w:p>
    <w:p>
      <w:r>
        <w:t>Three candidate mechanisms explain the pattern: (1) selection timing — VC capital entered during elevated speculative periods, compressing subsequent return multiples; (2) structural open-source dynamics that erode the competitive moats institutional valuations price in, since any developer can fork the protocol; and (3) community-driven distribution paths that deliver user acquisition independently of venture networks.</w:t>
      </w:r>
    </w:p>
    <w:p>
      <w:r>
        <w:t>The anomaly does not imply capital is without value — security audits, engineering, and regulatory navigation all benefit from liquidity. What the data challenge is the stronger claim that capital raised predicts long-term market performance. This is developed in §5.7 (Funding Efficiency, DIS-06).</w:t>
      </w:r>
    </w:p>
    <w:p>
      <w:pPr>
        <w:pStyle w:val="Heading3"/>
      </w:pPr>
      <w:r>
        <w:t>4.9.3 High-User DApps with Zero Measurable TVL</w:t>
      </w:r>
    </w:p>
    <w:p>
      <w:r>
        <w:t>The third anomaly concerns the decoupling of user scale from economic substance, as measured by Total Value Locked. Thirty-three DApps in the eligible population of 834 are identified as protocols with above-threshold active user counts combined with centralised governance classifications (ANO-ENG-02). Pump.fun (7.1 million users, $207 million TVL) is not part of the zero-TVL pattern; the finding is concentrated in the remaining 32 gaming, gambling, and social protocols. One further exception is a data-coverage gap: Stargate shows TVL = $0 in DappRadar due to a methodology discrepancy, while DeFiLlama documents approximately $112 million. Excluding these two, the zero-TVL pattern holds for 31 flagged DApps in which high user counts coexist with effectively zero on-chain capital — directly contradicting the model in which user scale predicts capital deployment.</w:t>
      </w:r>
    </w:p>
    <w:p>
      <w:r>
        <w:t>Representative cases illustrate the structural TVL-decoupling pattern across non-DeFi protocol types:</w:t>
      </w:r>
    </w:p>
    <w:p>
      <w:pPr>
        <w:pStyle w:val="ListBullet"/>
      </w:pPr>
      <w:r>
        <w:rPr>
          <w:b/>
        </w:rPr>
        <w:t>Hot Spring — The Cozy World</w:t>
      </w:r>
      <w:r>
        <w:t xml:space="preserve"> (2,924,351 active users; TVL: not applicable — AI gaming protocol with no DeFi locking mechanism; volume: $0): an AI-native gaming application operating under HYBRID governance. User activity generates token distributions rather than on-chain liquidity; the protocol's economic throughput is not captured by DeFiLlama's TVL methodology.</w:t>
      </w:r>
    </w:p>
    <w:p>
      <w:pPr>
        <w:pStyle w:val="ListBullet"/>
      </w:pPr>
      <w:r>
        <w:rPr>
          <w:b/>
        </w:rPr>
        <w:t>Alaya AI</w:t>
      </w:r>
      <w:r>
        <w:t xml:space="preserve"> (1,869,774 active users; TVL: $0 — confirmed via DeFiLlama; volume: $0): a data-labelling protocol using reward tokens for task completion. Listed on DeFiLlama with confirmed TVL = $0. Economic value is generated off-chain through data sales and captured by the protocol operator, with no on-chain TVL.</w:t>
      </w:r>
    </w:p>
    <w:p>
      <w:pPr>
        <w:pStyle w:val="ListBullet"/>
      </w:pPr>
      <w:r>
        <w:rPr>
          <w:b/>
        </w:rPr>
        <w:t>Dmail Network</w:t>
      </w:r>
      <w:r>
        <w:t xml:space="preserve"> (2,088,315 active users; volume: $13,700; TVL: not applicable — messaging protocol with no DeFi locking mechanism): a decentralised messaging protocol under TEAM_CONTROLLED governance, with near-zero financial throughput despite a user base larger than many established DeFi protocols.</w:t>
      </w:r>
    </w:p>
    <w:p>
      <w:pPr>
        <w:pStyle w:val="ListBullet"/>
      </w:pPr>
      <w:r>
        <w:rPr>
          <w:b/>
        </w:rPr>
        <w:t>FishWar</w:t>
      </w:r>
      <w:r>
        <w:t xml:space="preserve"> (560,738 active users; market cap: $0.3M; TVL: not applicable — gaming protocol with no DeFi locking mechanism): a gaming protocol distributing reward tokens under team-controlled governance with claimed governance voting but no evidence of binding DAO execution.</w:t>
      </w:r>
    </w:p>
    <w:p>
      <w:r>
        <w:t>As documented in §4.6.4, the DePIN sector (N=29) generates only $1.74 per user in volume. In the AI sector (§4.6.3), the four most-used DApps by wallet count report near-zero combined volume (ANO-AI-01). Both patterns are structurally expected given reward-economy business models that distribute tokens rather than intermediate financial transactions.</w:t>
      </w:r>
    </w:p>
    <w:p>
      <w:r>
        <w:t>The anomaly lies in the category error it introduces: a protocol with two million active users and zero TVL cannot be meaningfully ranked against a DeFi protocol with 50,000 users and $5 billion TVL using a composite metric. The two measurements index different economic logics. This methodological implication is developed in §5.5 (DIS-04) and in §5.10.</w:t>
      </w:r>
    </w:p>
    <w:p>
      <w:pPr>
        <w:pStyle w:val="Heading3"/>
      </w:pPr>
      <w:r>
        <w:t>4.9.4 Extreme TVL Leverage Cases</w:t>
      </w:r>
    </w:p>
    <w:p>
      <w:r>
        <w:t>The fourth anomaly concerns protocols in which TVL substantially exceeds the token market capitalisation — what this study terms the TVL leverage phenomenon. In the strict sample (N=68), 8.82 per cent of DApps (six protocols, ANO-MKT-02) exhibit TVL that materially exceeds their token market capitalisation. The most pronounced cases are:</w:t>
      </w:r>
    </w:p>
    <w:p>
      <w:pPr>
        <w:pStyle w:val="ListBullet"/>
      </w:pPr>
      <w:r>
        <w:rPr>
          <w:b/>
        </w:rPr>
        <w:t>Morpho</w:t>
      </w:r>
      <w:r>
        <w:t xml:space="preserve"> (TVL approximately $187.5 billion; MCap materially lower; implied TVL/MCap approximately 3,437×): a modular DeFi lending protocol serving as infrastructure for other protocols' liquidity. TVL accumulates through recursive collateral loops where depositors use Morpho positions as collateral in secondary markets; the aggregate locked value therefore includes collateral committed by protocols building on Morpho, not only by end-users directly.</w:t>
      </w:r>
    </w:p>
    <w:p>
      <w:pPr>
        <w:pStyle w:val="ListBullet"/>
      </w:pPr>
      <w:r>
        <w:rPr>
          <w:b/>
        </w:rPr>
        <w:t>EigenLayer</w:t>
      </w:r>
      <w:r>
        <w:t xml:space="preserve"> (large TVL from restaked ETH; MCap substantially lower): a restaking protocol in which ETH holders commit already-staked assets to additional security commitments, effectively enrolling existing security collateral in an additional system. DeFiLlama's TVL methodology counts the committed ETH as locked, producing TVL that substantially exceeds the protocol's token market capitalisation.</w:t>
      </w:r>
    </w:p>
    <w:p>
      <w:pPr>
        <w:pStyle w:val="ListBullet"/>
      </w:pPr>
      <w:r>
        <w:rPr>
          <w:b/>
        </w:rPr>
        <w:t>LIDO</w:t>
      </w:r>
      <w:r>
        <w:t xml:space="preserve"> (TVL from staked ETH; MCap representing governance and fee rights over a fraction of staking yield): the dominant liquid staking protocol, where user deposits generate TVL through the staking mechanism while LDO token holders retain governance and fee-accrual rights proportional to the protocol's yield margin rather than the full deposited value.</w:t>
      </w:r>
    </w:p>
    <w:p>
      <w:pPr>
        <w:pStyle w:val="ListBullet"/>
      </w:pPr>
      <w:r>
        <w:rPr>
          <w:b/>
        </w:rPr>
        <w:t>Ethena</w:t>
      </w:r>
      <w:r>
        <w:t xml:space="preserve"> (TVL: $14.2 billion; MCap: $1.8 billion; TVL/MCap ≈ 7.8×): a synthetic dollar protocol whose sUSDe deposits are backed by staked ETH and short perpetual futures positions. TVL represents depositor liabilities that Ethena services, not protocol equity; the ENA token captures governance and a share of the basis-trade yield, not ownership of the deposited collateral.</w:t>
      </w:r>
    </w:p>
    <w:p>
      <w:pPr>
        <w:pStyle w:val="ListBullet"/>
      </w:pPr>
      <w:r>
        <w:rPr>
          <w:b/>
        </w:rPr>
        <w:t>KernelDAO</w:t>
      </w:r>
      <w:r>
        <w:t xml:space="preserve"> and </w:t>
      </w:r>
      <w:r>
        <w:rPr>
          <w:b/>
        </w:rPr>
        <w:t>Pendle</w:t>
      </w:r>
      <w:r>
        <w:t xml:space="preserve"> exhibit moderate TVL/MCap inversions consistent with infrastructure and yield-market roles where fee capture is calibrated on a small fraction of managed value.</w:t>
      </w:r>
    </w:p>
    <w:p>
      <w:r>
        <w:t xml:space="preserve">Three structural mechanisms produce TVL leverage. </w:t>
      </w:r>
      <w:r>
        <w:rPr>
          <w:i/>
        </w:rPr>
        <w:t>Recursive collateral looping</w:t>
      </w:r>
      <w:r>
        <w:t xml:space="preserve">: infrastructure-layer protocols accumulate TVL through other protocols' use of their facilities rather than direct end-user deposits. </w:t>
      </w:r>
      <w:r>
        <w:rPr>
          <w:i/>
        </w:rPr>
        <w:t>Staking and restaking economics</w:t>
      </w:r>
      <w:r>
        <w:t xml:space="preserve">: liquid staking and restaking protocols capture committed ETH as TVL, producing figures that reflect security commitments rather than traditional lock-up. </w:t>
      </w:r>
      <w:r>
        <w:rPr>
          <w:i/>
        </w:rPr>
        <w:t>Liability-side TVL</w:t>
      </w:r>
      <w:r>
        <w:t>: in synthetic asset protocols, TVL represents user deposits backing a synthetic liability; the protocol's equity interest is the fee on the yield spread, not ownership of the deposited collateral.</w:t>
      </w:r>
    </w:p>
    <w:p>
      <w:r>
        <w:t>TVL is not a single-dimensional measure of economic weight. A protocol with $187 billion TVL and a much smaller MCap is not necessarily undervalued — it may capture a small fee percentage on managed value, with market capitalisation pricing the present value of those fees rather than the face value of managed assets. Treating TVL as an unmodified proxy for protocol importance will systematically overstate the significance of infrastructure protocols. The directionally inverse case — Maple's capital velocity (volume 13.1× TVL, see §4.6.4 ANO-RWA-02) — confirms that TVL leverage and TVL velocity are twin distortions requiring sector-aware interpretation (§5.4, DIS-03).</w:t>
      </w:r>
    </w:p>
    <w:p>
      <w:pPr>
        <w:pStyle w:val="Heading3"/>
      </w:pPr>
      <w:r>
        <w:t>4.9.5 Synthesis: Challenges to the DApp Narrative</w:t>
      </w:r>
    </w:p>
    <w:p>
      <w:r>
        <w:t>Each anomaly exposes a divergence between a metric the DApp ecosystem treats as a reliable signal and the underlying economic or governance reality it purports to index.</w:t>
      </w:r>
    </w:p>
    <w:p>
      <w:r>
        <w:rPr>
          <w:b/>
        </w:rPr>
        <w:t>Table 4.19 — Summary of anomaly categories, prevalence, and cross-references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Anomaly category</w:t>
            </w:r>
          </w:p>
        </w:tc>
        <w:tc>
          <w:tcPr>
            <w:tcW w:type="dxa" w:w="2197"/>
          </w:tcPr>
          <w:p>
            <w:r>
              <w:rPr>
                <w:rFonts w:ascii="Times New Roman" w:hAnsi="Times New Roman"/>
                <w:b/>
                <w:sz w:val="20"/>
              </w:rPr>
              <w:t>Identifier</w:t>
            </w:r>
          </w:p>
        </w:tc>
        <w:tc>
          <w:tcPr>
            <w:tcW w:type="dxa" w:w="2197"/>
          </w:tcPr>
          <w:p>
            <w:r>
              <w:rPr>
                <w:rFonts w:ascii="Times New Roman" w:hAnsi="Times New Roman"/>
                <w:b/>
                <w:sz w:val="20"/>
              </w:rPr>
              <w:t>N DApps affected</w:t>
            </w:r>
          </w:p>
        </w:tc>
        <w:tc>
          <w:tcPr>
            <w:tcW w:type="dxa" w:w="2197"/>
          </w:tcPr>
          <w:p>
            <w:r>
              <w:rPr>
                <w:rFonts w:ascii="Times New Roman" w:hAnsi="Times New Roman"/>
                <w:b/>
                <w:sz w:val="20"/>
              </w:rPr>
              <w:t>Cross-reference</w:t>
            </w:r>
          </w:p>
        </w:tc>
      </w:tr>
      <w:tr>
        <w:tc>
          <w:tcPr>
            <w:tcW w:type="dxa" w:w="2197"/>
          </w:tcPr>
          <w:p>
            <w:r>
              <w:rPr>
                <w:rFonts w:ascii="Times New Roman" w:hAnsi="Times New Roman"/>
                <w:sz w:val="20"/>
              </w:rPr>
              <w:t>Governance token with team-controlled governance</w:t>
            </w:r>
          </w:p>
        </w:tc>
        <w:tc>
          <w:tcPr>
            <w:tcW w:type="dxa" w:w="2197"/>
          </w:tcPr>
          <w:p>
            <w:r>
              <w:rPr>
                <w:rFonts w:ascii="Times New Roman" w:hAnsi="Times New Roman"/>
                <w:sz w:val="20"/>
              </w:rPr>
              <w:t>ANO-GOV-01</w:t>
            </w:r>
          </w:p>
        </w:tc>
        <w:tc>
          <w:tcPr>
            <w:tcW w:type="dxa" w:w="2197"/>
          </w:tcPr>
          <w:p>
            <w:r>
              <w:rPr>
                <w:rFonts w:ascii="Times New Roman" w:hAnsi="Times New Roman"/>
                <w:sz w:val="20"/>
              </w:rPr>
              <w:t>2 (strict definition); broader under inclusive screen</w:t>
            </w:r>
          </w:p>
        </w:tc>
        <w:tc>
          <w:tcPr>
            <w:tcW w:type="dxa" w:w="2197"/>
          </w:tcPr>
          <w:p>
            <w:r>
              <w:rPr>
                <w:rFonts w:ascii="Times New Roman" w:hAnsi="Times New Roman"/>
                <w:sz w:val="20"/>
              </w:rPr>
              <w:t>§5.3 DIS-02</w:t>
            </w:r>
          </w:p>
        </w:tc>
      </w:tr>
      <w:tr>
        <w:tc>
          <w:tcPr>
            <w:tcW w:type="dxa" w:w="2197"/>
          </w:tcPr>
          <w:p>
            <w:r>
              <w:rPr>
                <w:rFonts w:ascii="Times New Roman" w:hAnsi="Times New Roman"/>
                <w:sz w:val="20"/>
              </w:rPr>
              <w:t>Unfunded DApps outperforming funded peers</w:t>
            </w:r>
          </w:p>
        </w:tc>
        <w:tc>
          <w:tcPr>
            <w:tcW w:type="dxa" w:w="2197"/>
          </w:tcPr>
          <w:p>
            <w:r>
              <w:rPr>
                <w:rFonts w:ascii="Times New Roman" w:hAnsi="Times New Roman"/>
                <w:sz w:val="20"/>
              </w:rPr>
              <w:t>ANO-MKT-03</w:t>
            </w:r>
          </w:p>
        </w:tc>
        <w:tc>
          <w:tcPr>
            <w:tcW w:type="dxa" w:w="2197"/>
          </w:tcPr>
          <w:p>
            <w:r>
              <w:rPr>
                <w:rFonts w:ascii="Times New Roman" w:hAnsi="Times New Roman"/>
                <w:sz w:val="20"/>
              </w:rPr>
              <w:t>~20 (29.4% of strict sample, N=68)</w:t>
            </w:r>
          </w:p>
        </w:tc>
        <w:tc>
          <w:tcPr>
            <w:tcW w:type="dxa" w:w="2197"/>
          </w:tcPr>
          <w:p>
            <w:r>
              <w:rPr>
                <w:rFonts w:ascii="Times New Roman" w:hAnsi="Times New Roman"/>
                <w:sz w:val="20"/>
              </w:rPr>
              <w:t>§5.7 DIS-06</w:t>
            </w:r>
          </w:p>
        </w:tc>
      </w:tr>
      <w:tr>
        <w:tc>
          <w:tcPr>
            <w:tcW w:type="dxa" w:w="2197"/>
          </w:tcPr>
          <w:p>
            <w:r>
              <w:rPr>
                <w:rFonts w:ascii="Times New Roman" w:hAnsi="Times New Roman"/>
                <w:sz w:val="20"/>
              </w:rPr>
              <w:t>High-user / zero TVL</w:t>
            </w:r>
          </w:p>
        </w:tc>
        <w:tc>
          <w:tcPr>
            <w:tcW w:type="dxa" w:w="2197"/>
          </w:tcPr>
          <w:p>
            <w:r>
              <w:rPr>
                <w:rFonts w:ascii="Times New Roman" w:hAnsi="Times New Roman"/>
                <w:sz w:val="20"/>
              </w:rPr>
              <w:t>ANO-ENG-02</w:t>
            </w:r>
          </w:p>
        </w:tc>
        <w:tc>
          <w:tcPr>
            <w:tcW w:type="dxa" w:w="2197"/>
          </w:tcPr>
          <w:p>
            <w:r>
              <w:rPr>
                <w:rFonts w:ascii="Times New Roman" w:hAnsi="Times New Roman"/>
                <w:sz w:val="20"/>
              </w:rPr>
              <w:t>33 (loose eligible, N=834)</w:t>
            </w:r>
          </w:p>
        </w:tc>
        <w:tc>
          <w:tcPr>
            <w:tcW w:type="dxa" w:w="2197"/>
          </w:tcPr>
          <w:p>
            <w:r>
              <w:rPr>
                <w:rFonts w:ascii="Times New Roman" w:hAnsi="Times New Roman"/>
                <w:sz w:val="20"/>
              </w:rPr>
              <w:t>§5.5 DIS-04</w:t>
            </w:r>
          </w:p>
        </w:tc>
      </w:tr>
      <w:tr>
        <w:tc>
          <w:tcPr>
            <w:tcW w:type="dxa" w:w="2197"/>
          </w:tcPr>
          <w:p>
            <w:r>
              <w:rPr>
                <w:rFonts w:ascii="Times New Roman" w:hAnsi="Times New Roman"/>
                <w:sz w:val="20"/>
              </w:rPr>
              <w:t>Extreme TVL leverage (TVL &gt;&gt; MCap)</w:t>
            </w:r>
          </w:p>
        </w:tc>
        <w:tc>
          <w:tcPr>
            <w:tcW w:type="dxa" w:w="2197"/>
          </w:tcPr>
          <w:p>
            <w:r>
              <w:rPr>
                <w:rFonts w:ascii="Times New Roman" w:hAnsi="Times New Roman"/>
                <w:sz w:val="20"/>
              </w:rPr>
              <w:t>ANO-MKT-02</w:t>
            </w:r>
          </w:p>
        </w:tc>
        <w:tc>
          <w:tcPr>
            <w:tcW w:type="dxa" w:w="2197"/>
          </w:tcPr>
          <w:p>
            <w:r>
              <w:rPr>
                <w:rFonts w:ascii="Times New Roman" w:hAnsi="Times New Roman"/>
                <w:sz w:val="20"/>
              </w:rPr>
              <w:t>6 (8.82% of strict sample, N=68)</w:t>
            </w:r>
          </w:p>
        </w:tc>
        <w:tc>
          <w:tcPr>
            <w:tcW w:type="dxa" w:w="2197"/>
          </w:tcPr>
          <w:p>
            <w:r>
              <w:rPr>
                <w:rFonts w:ascii="Times New Roman" w:hAnsi="Times New Roman"/>
                <w:sz w:val="20"/>
              </w:rPr>
              <w:t>§5.4 DIS-03</w:t>
            </w:r>
          </w:p>
        </w:tc>
      </w:tr>
    </w:tbl>
    <w:p/>
    <w:p>
      <w:r>
        <w:rPr>
          <w:i/>
        </w:rPr>
        <w:t>DApp counts refer to the strict sample (N=68) unless otherwise noted.</w:t>
      </w:r>
    </w:p>
    <w:p>
      <w:r>
        <w:t>Together, these anomalies show that no single metric — governance label, token type, funding status, user count, or TVL — can serve as a stand-alone indicator of DApp quality or economic significance. Interpretive weight depends on the sector, business model, and revenue architecture. This motivates the multi-dimensional evaluation framework proposed in §5.9 and the limitations discussed in §5.10.</w:t>
      </w:r>
    </w:p>
    <w:p>
      <w:pPr>
        <w:pStyle w:val="Heading2"/>
      </w:pPr>
      <w:r>
        <w:t>4.10 Cross-Sectional Summary</w:t>
      </w:r>
    </w:p>
    <w:p>
      <w:r>
        <w:t>The results presented in this chapter address the thesis's three research questions: (RQ1) the current governance and ownership structure of the DApp ecosystem; (RQ2) the alignment between governance labels and observed economic structure; and (RQ3) sector-level differences characterising the ecosystem. The findings are summarised below.</w:t>
      </w:r>
    </w:p>
    <w:p>
      <w:r>
        <w:rPr>
          <w:b/>
        </w:rPr>
        <w:t>RQ1 — Governance structure.</w:t>
      </w:r>
      <w:r>
        <w:t xml:space="preserve"> The DApp ecosystem is predominantly centrally governed at the application layer. In the strict sample (N=68), 86.8 per cent of DApps are not fully decentralised; 52.9 per cent are company-owned and 26.5 per cent are team-controlled. Governance token issuance (25–26 per cent) is concentrated in on-chain governance regimes but also appears in off-chain contexts, confirming partial decoupling of token design from governance authority. Application-layer governance diverges substantially from blockchain infrastructure's decentralisation properties.</w:t>
      </w:r>
    </w:p>
    <w:p>
      <w:r>
        <w:rPr>
          <w:b/>
        </w:rPr>
        <w:t>RQ2 — Governance alignment and economic concentration.</w:t>
      </w:r>
      <w:r>
        <w:t xml:space="preserve"> The strict universe exhibits both better governance quality and higher market concentration than the loose universe. The top-10 market cap share is 80.5 per cent in the strict sample versus 57.5 per cent loose; multi-chain rate doubles. The 1.3× multi-chain market cap premium, positive governance–performance correlation (r=0.38), and unfunded-outperformance anomaly (29.4 per cent of strict DApps) show that structural features — governance, chain strategy, capital structure — correlate with market outcomes. The cross-sectional design cannot establish causal direction.</w:t>
      </w:r>
    </w:p>
    <w:p>
      <w:r>
        <w:rPr>
          <w:b/>
        </w:rPr>
        <w:t>RQ3 — Sector-level differentiation.</w:t>
      </w:r>
      <w:r>
        <w:t xml:space="preserve"> The DeFi–gaming divide renders ecosystem-wide averages misleading. DeFi dominates the strict sample in volume ($299.1 billion), market capitalisation, and governance quality; gaming dominates in user count (12.7 million wallets) but generates orders-of-magnitude less financial throughput per user. Sector disaggregation is a prerequisite for any evaluation of DApp performance or ecosystem health.</w:t>
      </w:r>
    </w:p>
    <w:p>
      <w:r>
        <w:t>Three directional claims follow from these findings. First, application-layer decentralisation is rare and structurally distinct from infrastructure-layer permissionlessness; team-controlled governance at scale is the modal outcome. Second, conventional signals — venture capital raised, user count, TVL — are systematically misleading without disaggregation by sector and business model; the median funded DApp carries a 0.11× funding-to-valuation ratio, and protocols with zero TVL include some of the most-used applications by wallet count. Third, the protocols that have achieved both scale and governance quality are disproportionately those in DeFi markets with competitive pressure for credible neutrality, suggesting that market structure rather than ideological commitment drives governance formalisation. Chapter 5 develops these claims and assesses their implications for researchers, investors, and policymakers.</w:t>
      </w:r>
    </w:p>
    <w:p>
      <w:r>
        <w:br w:type="page"/>
      </w:r>
    </w:p>
    <w:p>
      <w:pPr>
        <w:pStyle w:val="Heading1"/>
      </w:pPr>
      <w:r>
        <w:t>Chapter 4 — Single-DApp Case Studies with Triangulation</w:t>
      </w:r>
    </w:p>
    <w:p>
      <w:pPr>
        <w:pStyle w:val="Heading2"/>
      </w:pPr>
      <w:r>
        <w:t>Overview</w:t>
      </w:r>
    </w:p>
    <w:p>
      <w:r>
        <w:t>The preceding sections characterise the DApp landscape at the cross-sectional and ecosystem level. This section descends to the individual protocol level, using a three-layer triangulation structure to verify whether single DApps confirm, contradict, or refine aggregate patterns:</w:t>
      </w:r>
    </w:p>
    <w:p>
      <w:pPr>
        <w:pStyle w:val="ListNumber"/>
      </w:pPr>
      <w:r>
        <w:rPr>
          <w:b/>
        </w:rPr>
        <w:t>Layer 1 — Market-wide evidence</w:t>
      </w:r>
      <w:r>
        <w:t>: what statistical pattern exists across all 855 DApps?</w:t>
      </w:r>
    </w:p>
    <w:p>
      <w:pPr>
        <w:pStyle w:val="ListNumber"/>
      </w:pPr>
      <w:r>
        <w:rPr>
          <w:b/>
        </w:rPr>
        <w:t>Layer 2 — Ecosystem evidence</w:t>
      </w:r>
      <w:r>
        <w:t>: where is that pattern strongest or most anomalous in the relevant sector?</w:t>
      </w:r>
    </w:p>
    <w:p>
      <w:pPr>
        <w:pStyle w:val="ListNumber"/>
      </w:pPr>
      <w:r>
        <w:rPr>
          <w:b/>
        </w:rPr>
        <w:t>Layer 3 — Single-DApp case study</w:t>
      </w:r>
      <w:r>
        <w:t>: how and why does the specific protocol instantiate, amplify, or contradict the pattern?</w:t>
      </w:r>
    </w:p>
    <w:p>
      <w:r>
        <w:t>Five cases were selected to maximise coverage across the governance spectrum and revenue typology identified in §4.6: Uniswap (DeFi / DEX), Aave (DeFi / lending), Polymarket (prediction markets), Virtuals Protocol (AI-native infrastructure), and Ethena (RWA / synthetic dollar). Together they span the full governance range from team-controlled to on-chain DAO, and the full business-model range from transaction fees to interest margins and take-rate platform economics. Cross-references to §4.6 and the anomaly register in §4.9 are embedded throughout.</w:t>
      </w:r>
    </w:p>
    <w:p>
      <w:pPr>
        <w:pStyle w:val="Heading2"/>
      </w:pPr>
      <w:r>
        <w:t>§4.11 Case Study 1 — Uniswap: Governance at Scale in a Competitive DEX Market</w:t>
      </w:r>
    </w:p>
    <w:p>
      <w:pPr>
        <w:pStyle w:val="Heading3"/>
      </w:pPr>
      <w:r>
        <w:t>Layer 1: Market-Wide Evidence</w:t>
      </w:r>
    </w:p>
    <w:p>
      <w:r>
        <w:t>The market-wide picture relevant to Uniswap's case combines two findings from §4.3: market concentration is extreme (top-10 DApps hold 80.46 per cent of strict-sample market cap, INS-MKT-01) and governance quality co-varies positively with scale (Spearman r=0.38, §4.3.4). Fully decentralised DApps are disproportionately represented among market-cap leaders and exclusively use on-chain governance mechanisms (§4.2.2, Table 4.2). Multi-chain deployment carries a 1.3× market cap premium, and 70.59 per cent of the strict sample is multi-chain (§4.4.2). The cross-sectional design cannot establish causation, but the pattern poses a clear question: does governance leadership coexist with sustained competitive scale in a high-competition DEX market?</w:t>
      </w:r>
    </w:p>
    <w:p>
      <w:pPr>
        <w:pStyle w:val="Heading3"/>
      </w:pPr>
      <w:r>
        <w:t>Layer 2: Ecosystem Evidence (DeFi / DEX)</w:t>
      </w:r>
    </w:p>
    <w:p>
      <w:r>
        <w:t xml:space="preserve">Within the DeFi sector (N=105 loose, N=36 strict), the decentralisation rate is 13.3 per cent (§4.6.1) — nearly three times the full-loose-universe average of 4.7 per cent — and all fully decentralised DeFi DApps use on-chain governance mechanisms. Transaction fees are the dominant revenue mechanism: 55.6 per cent of strict-sample DeFi DApps use transaction fees as their primary revenue generator, with swap fees ranging from 0.01 per cent (tight liquidity pools) to 0.30 per cent (exotic pairs). Multi-chain adoption in DeFi reaches 55.2 per cent — the highest of any ecosystem — reflecting aggressive capital-following behaviour as DeFi protocols deploy wherever liquidity density and user activity justify the gas and deployment cost. The registered anomaly ANO-DeFi-03 (§4.6.1) complicates the governance-revenue relationship: three of the five highest-volume DeFi DApps in the dataset are team-controlled or hybrid-governed, demonstrating that revenue generation does not require governance formalisation. This creates the empirical question Uniswap's case helps answer: </w:t>
      </w:r>
      <w:r>
        <w:rPr>
          <w:i/>
        </w:rPr>
        <w:t>does governance leadership coexist with sustained competitive scale?</w:t>
      </w:r>
    </w:p>
    <w:p>
      <w:pPr>
        <w:pStyle w:val="Heading3"/>
      </w:pPr>
      <w:r>
        <w:t>Layer 3: Uniswap — Governance Leadership as Competitive Infrastructure</w:t>
      </w:r>
    </w:p>
    <w:p>
      <w:r>
        <w:t>Uniswap is the canonical example of a DeFi protocol that has traversed the full governance lifecycle: from team-deployed contract to Snapshot off-chain voting to fully on-chain DAO governance. Its governance type is classified as on-chain token governance and its level of decentralisation is Decentralised — one of the nine DApps in the strict sample (13.24 per cent) to achieve this classification.</w:t>
      </w:r>
    </w:p>
    <w:p>
      <w:r>
        <w:rPr>
          <w:b/>
        </w:rPr>
        <w:t>Governance mechanics.</w:t>
      </w:r>
      <w:r>
        <w:t xml:space="preserve"> Uniswap governance operates through UNI token-weighted voting on Uniswap Improvement Proposals (UIPs). Proposals pass through a two-phase process: a temperature-check Snapshot poll followed by an on-chain vote requiring a 4 per cent quorum of the total UNI supply and a 50 per cent simple majority. Passing proposals are executed through a timelock contract with a 48-hour delay, providing a safety window for liquidity providers and LPs to exit positions before parameter changes take effect. The UNI fee-switch mechanism — allowing token holders to redirect a share of swap fees from liquidity providers to the protocol treasury — was partially activated following a 2024 governance vote, representing a material transfer of economic authority from the team to token holders.</w:t>
      </w:r>
    </w:p>
    <w:p>
      <w:r>
        <w:rPr>
          <w:b/>
        </w:rPr>
        <w:t>Business model.</w:t>
      </w:r>
      <w:r>
        <w:t xml:space="preserve"> Uniswap's primary revenue mechanism is transaction fees: each swap charges 0.01–0.30 per cent of the traded notional, split between liquidity providers and (following the fee-switch activation) the protocol treasury. The v3 concentrated liquidity model, deployed across Ethereum mainnet and nine additional EVM-compatible chains, allows liquidity providers to specify price ranges, increasing capital efficiency and enabling Uniswap to compete with central-limit order books for price-sensitive traders. The v4 "hooks" architecture, which permits custom pool logic without redeploying the core contracts, extends this model into an application platform rather than a single AMM product.</w:t>
      </w:r>
    </w:p>
    <w:p>
      <w:r>
        <w:rPr>
          <w:b/>
        </w:rPr>
        <w:t>Competitive position.</w:t>
      </w:r>
      <w:r>
        <w:t xml:space="preserve"> Uniswap occupies a structural duopoly with Raydium (Solana-native) at the top of the DEX market by volume. Its competitive moats are composability — the UniswapV2 and V3 pair interfaces are the canonical integration target for on-chain protocols — and brand trust, which is materially influenced by its governance track record. A key competitive risk is the DEX aggregator layer: protocols such as 1inch, Jumper Exchange, and OpenOcean route liquidity through Uniswap but capture user relationships and a share of the fee spread, effectively reducing Uniswap's pricing power over retail users. Multi-chain deployment on Ethereum, Arbitrum, Base, Optimism, Polygon, Celo, and BNB Chain (§4.4.1) mitigates chain-concentration risk.</w:t>
      </w:r>
    </w:p>
    <w:p>
      <w:r>
        <w:rPr>
          <w:b/>
        </w:rPr>
        <w:t>Ecosystem illustration.</w:t>
      </w:r>
      <w:r>
        <w:t xml:space="preserve"> Uniswap validates the market-wide pattern: a fully decentralised, on-chain-governed DApp occupies a top-tier market-cap position and operates multi-chain at scale. It also refines ANO-DeFi-03 — governance credibility sustains protocol-level fee revenue and institutional composability even as team-controlled forks (SushiSwap, PancakeSwap) provide continuous competitive pressure. The governance costs — timelock delays, quorum risk, slower parameter changes — appear absorbed by the brand and liquidity premiums that formal decentralisation generates.</w:t>
      </w:r>
    </w:p>
    <w:p>
      <w:pPr>
        <w:pStyle w:val="Heading2"/>
      </w:pPr>
      <w:r>
        <w:t>§4.12 Case Study 2 — Aave: Interest Margin Leadership and On-Chain Governance in DeFi Lending</w:t>
      </w:r>
    </w:p>
    <w:p>
      <w:pPr>
        <w:pStyle w:val="Heading3"/>
      </w:pPr>
      <w:r>
        <w:t>Layer 1: Market-Wide Evidence</w:t>
      </w:r>
    </w:p>
    <w:p>
      <w:r>
        <w:t>Lending protocols are the second-largest DeFi revenue category by mechanism (interest margin, 16.7 per cent of strict-sample DeFi DApps, §4.6.1) and the primary locus of the TVL leverage anomaly alongside restaking protocols (ANO-MKT-02, §4.9.4). The governance–performance correlation (r=0.38, §4.3.4) is especially salient here: a lending protocol modifiable at will by its team faces adverse selection against institutional capital, making credible governance a direct input to TVL acquisition.</w:t>
      </w:r>
    </w:p>
    <w:p>
      <w:pPr>
        <w:pStyle w:val="Heading3"/>
      </w:pPr>
      <w:r>
        <w:t>Layer 2: Ecosystem Evidence (DeFi / Lending)</w:t>
      </w:r>
    </w:p>
    <w:p>
      <w:r>
        <w:t>Within the DeFi lending sub-vertical, on-chain governance is disproportionately prevalent. The interest margin lending category in the strict sample — which includes Aave V3, Morpho, Maple, Moonwell, ZeroLend, and Velo — is the sub-vertical with the highest concentration of on-chain governance mechanisms among DeFi DApps. Governance token issuance reaches 55 per cent of strict-sample DeFi DApps (§4.6.1), and token-holder value accrual is present in approximately 44 per cent of those cases — a lower proportion than governance token issuance, indicating that fee-switch activation lags token issuance across the sector. The registered anomaly ANO-DeFi-01 (§4.6.1) affects several lending protocols: Morpho exhibits a TVL/MCap ratio of approximately 3,437×, and Maple shows extreme capital velocity (volume exceeds TVL by 13.1×, ANO-RWA-02). Aave, by contrast, presents a moderate TVL/MCap relationship, making it the structurally cleanest case study for the lending archetype.</w:t>
      </w:r>
    </w:p>
    <w:p>
      <w:pPr>
        <w:pStyle w:val="Heading3"/>
      </w:pPr>
      <w:r>
        <w:t>Layer 3: Aave — Governance Token as Institutional Trust Anchor</w:t>
      </w:r>
    </w:p>
    <w:p>
      <w:r>
        <w:t>Aave V3 is classified with on-chain token governance, a governance token type, and a Decentralised level of decentralisation in the strict sample (Table 4.5). Its governance score is among the highest in the dataset, and it appears in the "Leading" cluster identified by the K-means performance analysis (§4.8): above the 75th percentile on market cap, TVL, and volume, with the highest median governance scores of any performance cluster.</w:t>
      </w:r>
    </w:p>
    <w:p>
      <w:r>
        <w:rPr>
          <w:b/>
        </w:rPr>
        <w:t>Governance mechanics.</w:t>
      </w:r>
      <w:r>
        <w:t xml:space="preserve"> Aave Governance V3 uses AAVE and stkAAVE token-weighted voting via a two-phase process: a Snapshot community poll followed by on-chain execution through Aave governance executor contracts. Critical proposals use a one- or seven-day timelock depending on assessed risk. The Safety Module (stkAAVE and stkGHO pools) provides a first-loss capital buffer: up to 30 per cent of staked tokens can be slashed to cover a shortfall, aligning staker incentives with protocol health. The Risk Stewards framework (V3.1) allows elected committee members to adjust risk parameters within DAO-approved bounds without a full governance vote, addressing the responsiveness limitation of pure on-chain governance.</w:t>
      </w:r>
    </w:p>
    <w:p>
      <w:r>
        <w:rPr>
          <w:b/>
        </w:rPr>
        <w:t>Business model.</w:t>
      </w:r>
      <w:r>
        <w:t xml:space="preserve"> Aave earns its revenue through the interest rate spread between borrowers and lenders: the protocol retains a protocol reserve factor (typically 10–20 per cent of the interest margin on each asset) from each lending market. Its primary revenue mechanism is interest margin, with interest yield as the sustainability model. GHO, Aave's native overcollateralised stablecoin launched in 2023, introduces a second revenue stream: GHO minting interest accrues directly to the Aave DAO treasury rather than being distributed to liquidity providers, reducing Aave's cost of capital for the GHO stability module. Token-holder value capture is achieved through GHO interest accruals and the safety module's staked AAVE reward flows.</w:t>
      </w:r>
    </w:p>
    <w:p>
      <w:r>
        <w:rPr>
          <w:b/>
        </w:rPr>
        <w:t>Competitive position.</w:t>
      </w:r>
      <w:r>
        <w:t xml:space="preserve"> Aave occupies the leading position in non-infrastructure DeFi lending by TVL, competing primarily with Compound (a governance peer with lower TVL), Morpho (a modular layer on top of Aave and Compound that exhibits the extreme TVL/MCap inversion documented as ANO-DeFi-01), and Spark Protocol (a MakerDAO/Sky incubated lending fork). Its multi-chain deployment — Ethereum mainnet, Arbitrum, Polygon, Avalanche, Optimism, Base, BNB Chain, Gnosis, Scroll, and ZkSync — places it among the most broadly deployed DeFi protocols in the dataset (§4.4.2). The Risk Stewards governance innovation represents a competitive differentiator in institutional DeFi: by enabling faster risk parameter updates within DAO-approved bounds, Aave can onboard new collateral assets and adjust liquidation thresholds faster than pure on-chain governance would allow.</w:t>
      </w:r>
    </w:p>
    <w:p>
      <w:r>
        <w:rPr>
          <w:b/>
        </w:rPr>
        <w:t>Ecosystem illustration.</w:t>
      </w:r>
      <w:r>
        <w:t xml:space="preserve"> Aave confirms that the governance-scale correlation (r=0.38, §4.3.4) holds in lending: the most formally governed protocol commands the largest TVL, because institutional depositors price governance credibility into their allocation decisions. It partially contradicts ANO-DeFi-03: while team-controlled launchpads generate higher raw transaction volumes, Aave's interest margin model sustains deep TVL across market cycles without speculative token emission. The tension with Morpho's extreme TVL/MCap inversion (ANO-DeFi-01) illustrates that TVL leadership does not track governance architecture monotonically — an infrastructure layer can capture more TVL than a governed peer through recursive collateral architecture alone.</w:t>
      </w:r>
    </w:p>
    <w:p>
      <w:pPr>
        <w:pStyle w:val="Heading2"/>
      </w:pPr>
      <w:r>
        <w:t>§4.13 Case Study 3 — Polymarket: Team Control as a Structural Requirement in Prediction Markets</w:t>
      </w:r>
    </w:p>
    <w:p>
      <w:pPr>
        <w:pStyle w:val="Heading3"/>
      </w:pPr>
      <w:r>
        <w:t>Layer 1: Market-Wide Evidence</w:t>
      </w:r>
    </w:p>
    <w:p>
      <w:r>
        <w:t>The market-wide finding that 86.8 per cent of strict-sample DApps are not fully decentralised (§4.2.1) conceals very different reasons for centralisation across sectors. ANO-GOV-01 (§4.9.1) documents one failure mode — governance tokens without decision-making authority. Polymarket is structurally distinct: team control without any governance token, in a protocol whose business model actively precludes the standard decentralisation trajectory.</w:t>
      </w:r>
    </w:p>
    <w:p>
      <w:pPr>
        <w:pStyle w:val="Heading3"/>
      </w:pPr>
      <w:r>
        <w:t>Layer 2: Ecosystem Evidence (Prediction Markets)</w:t>
      </w:r>
    </w:p>
    <w:p>
      <w:r>
        <w:t>Prediction markets are the most centralised of the five ecosystems examined in §4.6: 71.0 per cent team-controlled, 100 per cent classified as Centralised (71.0 per cent) or Semi-Decentralised (29.0 per cent), and zero DApps achieving the Decentralised classification (§4.6.2, Table 4.9). Polymarket alone accounts for 66.6 per cent of sector users and 95.3 per cent of sector volume ($858.8 million of $900.7 million total), creating a market structure where one team-controlled protocol dominates the information-aggregation function for the entire sector. The near-total absence of governance tokens (74.2 per cent tokenless, §4.6.2) is commercially rational: a native token in an information-aggregation platform introduces speculative dynamics that pollute the price signal the platform is designed to generate. The sector-level anomaly ANO-PRED-01 (§4.6.2) documents Polymarket's volume-per-user ratio of $3,992 — placing it among high-volume-per-user DeFi protocols despite serving a retail prediction function, which reflects large-position wagering on major political and macroeconomic events rather than broad-based retail participation.</w:t>
      </w:r>
    </w:p>
    <w:p>
      <w:pPr>
        <w:pStyle w:val="Heading3"/>
      </w:pPr>
      <w:r>
        <w:t>Layer 3: Polymarket — Centralisation as Operational Architecture</w:t>
      </w:r>
    </w:p>
    <w:p>
      <w:r>
        <w:t>Polymarket is classified as team-controlled, company-owned, and Centralised, and operates without a native token (Table 4.8). It is the only prediction market DApp to exceed 100,000 active users in the dataset and operates exclusively on Polygon, where it migrated from Ethereum in 2020 to reduce per-resolution transaction costs.</w:t>
      </w:r>
    </w:p>
    <w:p>
      <w:r>
        <w:rPr>
          <w:b/>
        </w:rPr>
        <w:t>Governance mechanics.</w:t>
      </w:r>
      <w:r>
        <w:t xml:space="preserve"> Polymarket has no formal governance mechanism — no token vote, no Snapshot poll, no multisig community input. Market creation, resolution criteria, oracle selection, and fee parameters are all set by the Polymarket team. Outcome resolution routes through UMA's optimistic oracle: an asserter proposes an outcome, and a 48-hour dispute window allows any party to challenge the result by staking UMA tokens. If challenged, UMA tokenholders arbitrate. In practice, this means outcome resolution authority rests with the Polymarket team (for standard resolutions) and UMA's decentralised oracle (for disputes). The team retains absolute authority over market creation, platform access, geographic restrictions (enforced via front-end geo-fencing for US users following CFTC guidance), and fee rates. This architecture makes Polymarket operationally faster than any governance-mediated prediction market: new markets for breaking events can be launched within hours, and resolution disputes are resolved within the UMA framework without requiring a token-holder vote.</w:t>
      </w:r>
    </w:p>
    <w:p>
      <w:r>
        <w:rPr>
          <w:b/>
        </w:rPr>
        <w:t>Business model.</w:t>
      </w:r>
      <w:r>
        <w:t xml:space="preserve"> Polymarket charges approximately 2 per cent on winning positions at resolution, implying ~$17.2 million in annualised fee revenue at $858.8 million period volume (§4.6.2). The tokenless model eliminates liquidity mining costs and avoids the regulatory exposure a native prediction-market token would generate under securities or commodities law. Its 2023 Series B ($45 million, led by Founders Fund) is documented in the DeFiLlama raises database; the ROI calculation in §4.9.2 applies to this investment given the absence of a public market valuation.</w:t>
      </w:r>
    </w:p>
    <w:p>
      <w:r>
        <w:rPr>
          <w:b/>
        </w:rPr>
        <w:t>Competitive position.</w:t>
      </w:r>
      <w:r>
        <w:t xml:space="preserve"> The market structure of the prediction market sector is winner-take-most, driven by liquidity network effects: a market with the deepest liquidity provides the most accurate price signal, attracting more participants and deepening liquidity further. Polymarket's 95.3 per cent volume share reflects this dynamic in full. Its primary competitors — Overtime Markets, PRDT Finance, Limitless — collectively account for less than 5 per cent of sector volume. The Polymarket team's ability to rapidly create markets on high-attention events (US elections, sports tournaments, economic data releases) is a direct function of its centralised architecture; a DAO-governed equivalent would require proposal and voting periods that would delay market availability past the point of peak interest.</w:t>
      </w:r>
    </w:p>
    <w:p>
      <w:r>
        <w:rPr>
          <w:b/>
        </w:rPr>
        <w:t>Ecosystem illustration.</w:t>
      </w:r>
      <w:r>
        <w:t xml:space="preserve"> Polymarket poses the sharpest challenge to the DApp narrative that equates centralisation with fragility. In prediction markets, centralisation is not a transitional state — it is the equilibrium architecture. The structural reasons are threefold (§4.6.2): outcome resolution requires rapid authoritative intervention; token issuance would distort the information-aggregation function; and regulatory compliance requires a corporate entity with identifiable legal accountability. This case illustrates the insight codified in §4.9.1: governance mechanisms must be evaluated against the operational requirements of the protocol's value proposition, not against a universal governance ladder.</w:t>
      </w:r>
    </w:p>
    <w:p>
      <w:pPr>
        <w:pStyle w:val="Heading2"/>
      </w:pPr>
      <w:r>
        <w:t>§4.14 Case Study 4 — Virtuals Protocol: The AI Governance Paradox</w:t>
      </w:r>
    </w:p>
    <w:p>
      <w:pPr>
        <w:pStyle w:val="Heading3"/>
      </w:pPr>
      <w:r>
        <w:t>Layer 1: Market-Wide Evidence</w:t>
      </w:r>
    </w:p>
    <w:p>
      <w:r>
        <w:t>Two market-wide findings frame this case (both detailed in §4.6.3): zero AI DApps achieve the Decentralised classification (INS-AI-01), establishing a sector-level structural ceiling; and the AI sector's MCap-to-user inversion (ANO-AI-02) shows that infrastructure protocols are priced on option value rather than current usage — analogous to the TVL leverage phenomenon in DeFi (ANO-MKT-02, §4.9.4).</w:t>
      </w:r>
    </w:p>
    <w:p>
      <w:pPr>
        <w:pStyle w:val="Heading3"/>
      </w:pPr>
      <w:r>
        <w:t>Layer 2: Ecosystem Evidence (AI-Native Infrastructure)</w:t>
      </w:r>
    </w:p>
    <w:p>
      <w:r>
        <w:t>Among the three AI infrastructure archetypes identified in §4.6.3, the "AI infrastructure and agent platforms" sub-type — approximately 7–10 DApps in the loose universe — commands disproportionately high market capitalisation relative to user counts. Virtuals Protocol carries $606.3 million in MCap with 39,464 active users (MCap-per-user ≈ $15,365), compared with Hot Spring — The Cozy World which holds 2.9 million users and zero MCap (§4.6.3, Table 4.12). The AI sector's strong Snapshot off-chain governance representation (39.4 per cent versus 17.5 per cent for non-AI DApps, Table in §4.6.3) reflects a pattern of early governance signalling without binding on-chain authority — a configuration that the research comments for FishWar, ZoRobotics, and ChainOpera AI describe as "team likely executes" and "practical control remains with project team today." Virtuals Protocol stands out as the single AI DApp with on-chain token governance — and simultaneously illustrates why this formal apparatus does not resolve the structural centralisation problem identified in INS-AI-01.</w:t>
      </w:r>
    </w:p>
    <w:p>
      <w:pPr>
        <w:pStyle w:val="Heading3"/>
      </w:pPr>
      <w:r>
        <w:t>Layer 3: Virtuals Protocol — On-Chain Governance Without Operational Decentralisation</w:t>
      </w:r>
    </w:p>
    <w:p>
      <w:r>
        <w:t>Virtuals Protocol is classified with on-chain token governance, company ownership, and a Centralised decentralisation level, with a governance token type (veVIRTUAL staking). It is deployed on Base and represents the "AI infrastructure and agent platforms" archetype: a permissioned launchpad on which AI agent tokens are deployed through a bonding-curve mechanism.</w:t>
      </w:r>
    </w:p>
    <w:p>
      <w:r>
        <w:rPr>
          <w:b/>
        </w:rPr>
        <w:t>Governance mechanics.</w:t>
      </w:r>
      <w:r>
        <w:t xml:space="preserve"> Virtuals Protocol governance operates through the veVIRTUAL staking model: VIRTUAL token holders lock tokens to receive veVIRTUAL, which grants voting rights and a share of protocol fee distributions. An active DAO forum processes proposals for protocol parameter changes (fee rates, treasury allocations, agent-launch criteria). On-chain execution routes through a timelocked governance contract. The research annotation for Virtuals Protocol reads: "eVIRTUAL tokenholders vote on-chain; DAO/forum active; team still builds products but governance powers sit with veVIRTUAL holders → high decentralization." This is the most formally governed AI DApp in the dataset.</w:t>
      </w:r>
    </w:p>
    <w:p>
      <w:r>
        <w:t>Yet Virtuals Protocol is classified as Centralised. The distinction — "the Virtuals Protocol paradox" formalised in §4.6.3 — arises from the gap between governance architecture and operational control: token holders vote on protocol parameters but do not govern the AI agent curation or model infrastructure that constitutes the core product. This instantiates INS-AI-01: because AI inference (off-chain model weights, centralised endpoints) cannot be placed under on-chain governance with current technology, no DApp whose primary value is AI-agent functionality can achieve effective operational decentralisation regardless of its financial governance structure.</w:t>
      </w:r>
    </w:p>
    <w:p>
      <w:r>
        <w:rPr>
          <w:b/>
        </w:rPr>
        <w:t>Business model.</w:t>
      </w:r>
      <w:r>
        <w:t xml:space="preserve"> Virtuals Protocol earns a take-rate on the bonding-curve liquidity committed when new AI agents are launched on the platform. This model is analogous to memecoin or token launchpad economics (comparable to Pump.fun's model in the DeFi sector) but applied to autonomous AI agents: every new agent launch generates protocol revenue proportional to the initial liquidity pool size. The $7.8 million in recorded volume (§4.6.3, Table 4.12) represents a snapshot of launch activity; the MCap of $606.3 million reflects market pricing of the long-run take-rate revenue stream if AI agent proliferation reaches the scale implied by the broader AI agent narrative. The veVIRTUAL fee-distribution mechanism channels a share of take-rate revenue to governance participants, partially realising the governance-token-as-revenue-claim model.</w:t>
      </w:r>
    </w:p>
    <w:p>
      <w:r>
        <w:rPr>
          <w:b/>
        </w:rPr>
        <w:t>Competitive position.</w:t>
      </w:r>
      <w:r>
        <w:t xml:space="preserve"> Virtuals Protocol competes with Pump.fun (team-controlled, memecoin launchpad), AI16z's Eliza OS framework, and emerging Base-native agent platforms. Its governance token model and on-chain launch mechanics differentiate it from purely team-controlled alternatives: the veVIRTUAL staking creates a committed holder base with financial incentive to advocate for platform growth. The Base chain positioning is strategically significant — Base hosts the highest concentration of venture-backed AI DApps in the dataset (§4.6.3, Table 4.11), providing ecosystem network effects for agent composability. The competitive risk is protocol cloning: the bonding-curve take-rate model is trivially replicable, and the absence of proprietary AI model infrastructure means Virtuals Protocol's moat rests primarily on liquidity aggregation and brand trust rather than technical barriers.</w:t>
      </w:r>
    </w:p>
    <w:p>
      <w:r>
        <w:rPr>
          <w:b/>
        </w:rPr>
        <w:t>Ecosystem illustration.</w:t>
      </w:r>
      <w:r>
        <w:t xml:space="preserve"> Virtuals Protocol is the AI sector's governance ceiling: the most formally governed AI DApp is still classified Centralised, confirming INS-AI-01 at the individual protocol level. Its MCap-per-user ratio of ~$15,365 with only 39,464 active users directly instantiates ANO-AI-02 — infrastructure protocols are valued as options on the AI-agent economy, not on current usage. For thesis purposes, Virtuals Protocol is the cleanest single-DApp demonstration that governance quality and decentralisation level do not collapse into one dimension for AI-native protocols.</w:t>
      </w:r>
    </w:p>
    <w:p>
      <w:pPr>
        <w:pStyle w:val="Heading2"/>
      </w:pPr>
      <w:r>
        <w:t>§4.15 Case Study 5 — Ethena: Synthetic Dollars and the TVL Leverage Anomaly</w:t>
      </w:r>
    </w:p>
    <w:p>
      <w:pPr>
        <w:pStyle w:val="Heading3"/>
      </w:pPr>
      <w:r>
        <w:t>Layer 1: Market-Wide Evidence</w:t>
      </w:r>
    </w:p>
    <w:p>
      <w:r>
        <w:t>The TVL leverage anomaly (ANO-MKT-02, §4.9.4) affects 8.82 per cent of the strict sample via three mechanisms: recursive collateral looping (Morpho, EigenLayer), restaking economics (LIDO), and liability-side TVL (Ethena). Ethena is selected here precisely to illustrate the third mechanism, which is the least intuitive and most analytically consequential for practitioners who treat TVL as an unmodified proxy for protocol importance.</w:t>
      </w:r>
    </w:p>
    <w:p>
      <w:pPr>
        <w:pStyle w:val="Heading3"/>
      </w:pPr>
      <w:r>
        <w:t>Layer 2: Ecosystem Evidence (RWA / Synthetic Dollar)</w:t>
      </w:r>
    </w:p>
    <w:p>
      <w:r>
        <w:t>The RWA ecosystem (N=43 loose universe, §4.6.4) is characterised by the second-highest centralisation rate among the five ecosystems examined (60.5 per cent team-controlled) and the lowest decentralisation rate (2.3 per cent). Regulatory requirements for corporate custodianship of tokenised real-world assets are the primary structural explanation for this centralisation. Ethena is the exception to the no-token pattern in RWA: while 55.8 per cent of RWA DApps operate without a native token (the highest no-token share of any ecosystem), Ethena issues ENA as both a governance and revenue-sharing instrument. The HYBRID governance coding applied to Ethena (Table 4.14) — the only such coding in the RWA ecosystem — reflects a deliberate architectural choice to combine on-chain token voting for strategic parameters with a Risk Committee empowered to take fast unilateral action on risk management decisions.</w:t>
      </w:r>
    </w:p>
    <w:p>
      <w:pPr>
        <w:pStyle w:val="Heading3"/>
      </w:pPr>
      <w:r>
        <w:t>Layer 3: Ethena — Synthetic Dollar Protocol with Hybrid Governance and Liability-Side TVL</w:t>
      </w:r>
    </w:p>
    <w:p>
      <w:r>
        <w:t>Ethena is classified with hybrid governance, company ownership, and a semi-decentralised level, with a utility token type for ENA. The staked ENA (sENA) mechanism enables fee distribution to token holders. Its headline metrics (§4.6.4): 9,104 active users, $892.6 million in period volume, $14,224.9 million TVL, $1,830.8 million MCap — placing the TVL/MCap ratio at approximately 7.8×, registered as ANO-RWA-01.</w:t>
      </w:r>
    </w:p>
    <w:p>
      <w:r>
        <w:rPr>
          <w:b/>
        </w:rPr>
        <w:t>Governance mechanics.</w:t>
      </w:r>
      <w:r>
        <w:t xml:space="preserve"> Ethena's governance is explicitly designed for the institutional DeFi operational context. ENA tokenholders vote on strategic decisions — new sUSDe yield strategies, RWA collateral additions, protocol fee structures — through an on-chain governance contract. The Risk Committee, however, holds autonomous authority over risk parameter management: it can adjust collateral haircuts, set liquidation thresholds, delist unsafe yield strategies, and pause the protocol without a governance vote, subject to a circuit-breaker that allows ENA tokenholders to override Risk Committee decisions with a supermajority. This hybrid model explicitly trades governance speed for governance legitimacy: it preserves on-chain accountability for strategic decisions while ensuring that a yield strategy that deteriorates overnight can be managed within hours, not weeks.</w:t>
      </w:r>
    </w:p>
    <w:p>
      <w:r>
        <w:t>The hybrid governance coding is substantiated by the research annotation for Ethena: the governance architecture combines "committee-based risk management + token holder voting for strategic decisions." This configuration is analogous to the Risk Stewards framework Aave introduced in V3.1, suggesting a convergent institutional DeFi governance pattern: on-chain majority voting for strategic parameters, elected committee fast-action for operational risk.</w:t>
      </w:r>
    </w:p>
    <w:p>
      <w:r>
        <w:rPr>
          <w:b/>
        </w:rPr>
        <w:t>Business model.</w:t>
      </w:r>
      <w:r>
        <w:t xml:space="preserve"> Ethena's revenue model is the basis trade: sUSDe deposits are backed by staked ETH (earning the Ethereum staking yield) and short perpetual futures positions on the same notional value (earning the funding rate when markets are in contango). The protocol retains a percentage of the aggregate yield as protocol revenue (interest margin), distributing the remainder to sUSDe holders as the annualised sUSDe yield. The basis trade yield is structurally dependent on crypto market conditions: when perpetual funding rates are positive (long-heavy markets, typical in bull cycles), sUSDe holders earn elevated yields; when funding rates turn negative (bear markets or short-heavy positioning), the yield compresses and can become negative, requiring Ethena's insurance fund to cover shortfalls.</w:t>
      </w:r>
    </w:p>
    <w:p>
      <w:r>
        <w:rPr>
          <w:b/>
        </w:rPr>
        <w:t>Competitive position.</w:t>
      </w:r>
      <w:r>
        <w:t xml:space="preserve"> Ethena competes in the on-chain stablecoin market against three classes of protocol: fiat-backed stablecoins (USDC, USDT), overcollateralised stablecoins (DAI/USDS from MakerDAO/Sky, crvUSD from Curve), and algorithmic stablecoins (FRAX, LUSD). Its differentiation is the native yield: unlike USDC, which offers no on-chain yield to holders, sUSDe provides a positive annual percentage yield (APY) derived from the basis trade, making it structurally attractive as a cash-equivalent in DeFi yield strategies. With $14.2 billion TVL, Ethena is one of the largest protocols in the dataset and the dominant synthetic dollar. Its risk is the "de-peg" scenario where a sustained negative funding environment exhausts the insurance fund — a structural weakness that the governance Risk Committee and insurance fund architecture are designed to contain. Multi-chain deployment (Ethereum mainnet with deployments on Arbitrum, Blast, and BNB Chain) positions sUSDe as a cross-chain yield-bearing stablecoin.</w:t>
      </w:r>
    </w:p>
    <w:p>
      <w:r>
        <w:rPr>
          <w:b/>
        </w:rPr>
        <w:t>Ecosystem illustration.</w:t>
      </w:r>
      <w:r>
        <w:t xml:space="preserve"> Ethena is the cleanest illustration of the liability-side TVL mechanism (§4.9.4, ANO-RWA-01). Its $14.2 billion TVL represents sUSDe depositor liabilities the protocol must service — not equity belonging to ENA tokenholders. The $1.8 billion ENA MCap prices the present value of fee capture on those liabilities, resolving the apparent 7.8× TVL/MCap anomaly: the protocol is correctly valued as a fee-extraction business operating at high leverage over its AUM. Ethena also confirms the RWA centralisation pattern (§4.6.4): the most commercially successful RWA-adjacent DApp is company-owned with hybrid governance, relying on Ethena Labs as the corporate entity managing custodial and regulatory obligations. The SEMI\_DECENTRALIZED coding reflects a protocol in transition rather than a stable decentralised endpoint.</w:t>
      </w:r>
    </w:p>
    <w:p>
      <w:pPr>
        <w:pStyle w:val="Heading2"/>
      </w:pPr>
      <w:r>
        <w:t>§4.16 Cross-Case Synthesis</w:t>
      </w:r>
    </w:p>
    <w:p>
      <w:r>
        <w:t>The five case studies span the full governance spectrum from on-chain DAO (Uniswap, Aave) to hybrid committee-token governance (Ethena) to formal on-chain governance without operational decentralisation (Virtuals Protocol) to team-controlled tokenless operation (Polymarket). Read together, they yield four cross-cutting findings.</w:t>
      </w:r>
    </w:p>
    <w:p>
      <w:r>
        <w:rPr>
          <w:b/>
        </w:rPr>
        <w:t>Finding 1: Governance architecture is sector-contingent, not universally aspired to.</w:t>
      </w:r>
      <w:r>
        <w:t xml:space="preserve"> The three-layer triangulation reveals that the same governance structure that constitutes a competitive disadvantage in one sector (team control in DeFi DEX = vulnerability to credible fork) constitutes a competitive requirement in another (team control in prediction markets = speed of market creation and resolution authority). Cross-sectional metrics that score all DApps on the same governance ladder will systematically mischaracterise protocols whose operational requirements are incompatible with on-chain governance timelines. This reinforces the sector-disaggregated analytical approach adopted throughout Chapter 4.</w:t>
      </w:r>
    </w:p>
    <w:p>
      <w:r>
        <w:rPr>
          <w:b/>
        </w:rPr>
        <w:t>Finding 2: TVL, MCap, and user count each index a distinct economic logic.</w:t>
      </w:r>
      <w:r>
        <w:t xml:space="preserve"> Uniswap's governance-market-cap alignment (r=0.38 consistent with its position), Aave's interest-margin TVL leadership, Ethena's liability-side TVL/MCap inversion, Virtuals Protocol's MCap-per-user optionality premium, and Polymarket's volume-per-user outlier all demonstrate that no single metric reliably ranks protocol quality across business models. The anomaly register in §4.9 catalogues these divergences quantitatively; the case studies locate them in the specific operational logics that produce them.</w:t>
      </w:r>
    </w:p>
    <w:p>
      <w:r>
        <w:rPr>
          <w:b/>
        </w:rPr>
        <w:t>Finding 3: The governance token is not a reliable proxy for community control.</w:t>
      </w:r>
      <w:r>
        <w:t xml:space="preserve"> Uniswap and Aave demonstrate cases where governance tokens map credibly to binding on-chain authority. Virtuals Protocol demonstrates a case where on-chain governance machinery exists but operational control (AI model management) remains with the team. The anomaly documented in §4.9.1 — governance tokens coexisting with team-controlled governance — generalises to the AI sector through the structural constraint identified in INS-AI-01: the AI inference layer cannot currently be placed under on-chain governance, so the formal governance token architecture in AI-native DApps is structurally incomplete regardless of its design intent.</w:t>
      </w:r>
    </w:p>
    <w:p>
      <w:r>
        <w:rPr>
          <w:b/>
        </w:rPr>
        <w:t>Finding 4: Market concentration and governance quality co-vary but causation is ambiguous.</w:t>
      </w:r>
      <w:r>
        <w:t xml:space="preserve"> Uniswap and Aave occupy top-tier market-cap positions with fully on-chain governance; Polymarket commands a 95.3 per cent sector volume share with team-controlled governance and no token. The cross-sectional positive correlation (r=0.38) is real but heterogeneous across sectors. The correct interpretation is not that governance causes scale, nor that scale is independent of governance, but that within competitive sectors where credible neutrality is a differentiator — primarily DeFi — governance formalisation correlates with the institutional trust and composability that sustain protocol-level value capture. In winner-take-most sectors where speed and operational authority are the primary competitive variables — prediction markets, AI agent platforms — this correlation does not hold.</w:t>
      </w:r>
    </w:p>
    <w:p>
      <w:r>
        <w:t>These four findings have direct implications for the discussion of research questions RQ1–RQ3 in Chapter 5, and for the evaluation frameworks proposed in §5.9. They are cited in the discussion where the interpretive implications of specific anomalies and sector-level findings are examined.</w:t>
      </w:r>
    </w:p>
    <w:p>
      <w:r>
        <w:br w:type="page"/>
      </w:r>
    </w:p>
    <w:p>
      <w:pPr>
        <w:pStyle w:val="Heading1"/>
      </w:pPr>
      <w:r>
        <w:t>Chapter 5: Discussion</w:t>
      </w:r>
    </w:p>
    <w:p>
      <w:pPr>
        <w:pStyle w:val="Heading2"/>
      </w:pPr>
      <w:r>
        <w:t>5.1 Overview</w:t>
      </w:r>
    </w:p>
    <w:p>
      <w:r>
        <w:t>The results in Chapter 4 reveal structural tensions that resist easy resolution. This chapter interprets those findings in light of Web3 and blockchain governance literature, examining seven interlocking paradoxes that emerge from the strict-eligible sample of 68 high-signal DApps. The discussion proceeds from governance structure to market concentration, from engagement asymmetry to capital efficiency, and concludes with the implications for theory and practice.</w:t>
      </w:r>
    </w:p>
    <w:p>
      <w:r>
        <w:t>The overarching argument: the blockchain layer is technically decentralised, but the application layer built on top of it is not. This disjunction reflects deliberate design choices, commercial incentives, and practical constraints of early-stage development — not incidental outcomes.</w:t>
      </w:r>
    </w:p>
    <w:p>
      <w:pPr>
        <w:pStyle w:val="Heading2"/>
      </w:pPr>
      <w:r>
        <w:t>5.2 The Decentralisation Paradox (DIS-01)</w:t>
      </w:r>
    </w:p>
    <w:p>
      <w:r>
        <w:t>The most arresting finding is the gap between Web3's infrastructure promise and the governance reality of DApps built on that infrastructure. As reported in §4.2, only a small minority of strict-eligible DApps carry a fully decentralised label; the majority are company-owned or team-controlled.</w:t>
      </w:r>
    </w:p>
    <w:p>
      <w:r>
        <w:rPr>
          <w:b/>
        </w:rPr>
        <w:t>Figure 5.1 — Governance type distribution (strict sample, N = 68)</w:t>
      </w:r>
    </w:p>
    <w:p>
      <w:pPr>
        <w:jc w:val="center"/>
      </w:pPr>
      <w:r>
        <w:rPr>
          <w:i/>
          <w:color w:val="808080"/>
        </w:rPr>
        <w:t>[Diagram — see VitePress version for interactive rendering]</w:t>
      </w:r>
    </w:p>
    <w:p>
      <w:r>
        <w:t xml:space="preserve">This is the decentralisation paradox at scale: the majority of high-signal DApps are </w:t>
      </w:r>
      <w:r>
        <w:rPr>
          <w:i/>
        </w:rPr>
        <w:t>not</w:t>
      </w:r>
      <w:r>
        <w:t xml:space="preserve"> fully decentralised, despite being deployed on permissionless blockchains. The Ethereum Virtual Machine, Solana's runtime, or BNB Chain's validator network may be technically decentralised, yet the contracts they execute and the interfaces users interact with remain under concentrated control.</w:t>
      </w:r>
    </w:p>
    <w:p>
      <w:r>
        <w:t>Three explanations are available. The first is developmental: nascent projects rationally retain control while iterating toward product–market fit, intending to transfer governance once the protocol matures. This "progressive decentralisation" pathway is explicitly articulated by practitioners (Dixon, 2021) and is not inherently dishonest.</w:t>
      </w:r>
    </w:p>
    <w:p>
      <w:r>
        <w:t>The second is commercial: governance retention allows founding teams to respond quickly to exploits, pivot product direction, and negotiate regulatory compliance — advantages pure on-chain governance cannot easily replicate.</w:t>
      </w:r>
    </w:p>
    <w:p>
      <w:r>
        <w:t>The third is less charitable: the decentralisation label functions as a marketing asset rather than a governance commitment. The co-occurrence patterns in DIS-02 below lend support to this interpretation.</w:t>
      </w:r>
    </w:p>
    <w:p>
      <w:r>
        <w:t>What the data establish is that the Web3 ecosystem, measured at the application layer, is structurally far more centralised than its public narrative acknowledges.</w:t>
      </w:r>
    </w:p>
    <w:p>
      <w:pPr>
        <w:pStyle w:val="Heading2"/>
      </w:pPr>
      <w:r>
        <w:t>5.3 Labelling Versus Mechanics (DIS-02)</w:t>
      </w:r>
    </w:p>
    <w:p>
      <w:r>
        <w:t>The decentralisation paradox is sharpened by a second observation: governance labels and governance mechanics frequently diverge. Two patterns stand out.</w:t>
      </w:r>
    </w:p>
    <w:p>
      <w:r>
        <w:t>First, some DApps issue governance tokens while the operational process remains team-controlled. The token design signals democratic intent, but the actual decision flow runs through a founding team or small committee. Token concentration, high quorum requirements, and team veto powers render formal voting rights effectively inactive.</w:t>
      </w:r>
    </w:p>
    <w:p>
      <w:r>
        <w:t>Second, certain DApps are labelled "decentralised" in their marketing while a company entity retains smart contract ownership — and can therefore upgrade contracts, pause the protocol, or redirect funds.</w:t>
      </w:r>
    </w:p>
    <w:p>
      <w:r>
        <w:t>These patterns suggest that token design, in a significant share of cases, serves capital formation more than community empowerment. Initial token offerings attract capital; the governance framing justifies the token's existence within regulatory grey zones. Once capital is secured and the protocol gains traction, the incentive to transfer genuine governance authority weakens.</w:t>
      </w:r>
    </w:p>
    <w:p>
      <w:r>
        <w:t>The analytical implication: governance labels alone are an unreliable proxy for governance reality. Future research and regulatory frameworks should focus on governance mechanics — upgrade key holders, multisig composition, timelock durations, token distribution among non-team addresses.</w:t>
      </w:r>
    </w:p>
    <w:p>
      <w:pPr>
        <w:pStyle w:val="Heading2"/>
      </w:pPr>
      <w:r>
        <w:t>5.4 Concentration Mirrors Traditional Technology (DIS-03)</w:t>
      </w:r>
    </w:p>
    <w:p>
      <w:r>
        <w:t>One of blockchain's foundational claims is that permissionless infrastructure prevents the monopolistic concentration defining Web2 platforms. The results challenge this claim.</w:t>
      </w:r>
    </w:p>
    <w:p>
      <w:r>
        <w:t>As reported in §4.3, the top ten DApps account for the vast majority of both market capitalisation and active wallets — concentration ratios broadly comparable to, and in the user dimension more severe than, those observed in traditional platform markets. The power law distribution estimated across the full dataset is consistent with winner-takes-most dynamics in social media and digital marketplaces (Clauset, Shalizi, and Newman, 2009).</w:t>
      </w:r>
    </w:p>
    <w:p>
      <w:r>
        <w:rPr>
          <w:b/>
        </w:rPr>
        <w:t>Figure 5.2 — Market cap and user base concentration (strict sample)</w:t>
      </w:r>
    </w:p>
    <w:p>
      <w:pPr>
        <w:jc w:val="center"/>
      </w:pPr>
      <w:r>
        <w:rPr>
          <w:i/>
          <w:color w:val="808080"/>
        </w:rPr>
        <w:t>[Diagram — see VitePress version for interactive rendering]</w:t>
      </w:r>
    </w:p>
    <w:p>
      <w:r>
        <w:rPr>
          <w:i/>
        </w:rPr>
        <w:t>Top 10 share (dark); remaining 58 DApps (light). Source: §4.3.</w:t>
      </w:r>
    </w:p>
    <w:p>
      <w:r>
        <w:t>Permissionless infrastructure relocates, rather than flattens, winner-takes-most dynamics. Network effects are as powerful in DeFi liquidity pools as in social networks: a DEX with deeper liquidity attracts more traders, which deepens liquidity further. Trust amplifies this further — in an environment of smart contract exploits and rug pulls, users concentrate on protocols with established track records and high TVL, since size functions as a credibility signal.</w:t>
      </w:r>
    </w:p>
    <w:p>
      <w:r>
        <w:t>Concentration measurement is further distorted by the TVL leverage phenomenon (§4.9.4, ANO-MKT-02): six strict-sample protocols exhibit TVL that materially exceeds token market capitalisation, driven by recursive collateral looping, staking economics, and liability-side TVL. These protocols are not undervalued — their capitalisation prices fee income, not managed assets. The inverse case, Maple's capital velocity (ANO-RWA-02), confirms that TVL leverage and TVL velocity are twin distortions requiring sector-aware interpretation: observed concentration ratios overstate infrastructure-protocol dominance when TVL is used as an unmodified proxy for economic weight.</w:t>
      </w:r>
    </w:p>
    <w:p>
      <w:r>
        <w:t>The implication: decentralised infrastructure is necessary but not sufficient for a decentralised application economy. Without active intervention — through protocol design, regulatory constraint, or shifts in user behaviour — the DApp economy reproduces the concentration patterns of the industries it set out to disrupt.</w:t>
      </w:r>
    </w:p>
    <w:p>
      <w:pPr>
        <w:pStyle w:val="Heading2"/>
      </w:pPr>
      <w:r>
        <w:t>5.5 The Engagement Gap (DIS-04)</w:t>
      </w:r>
    </w:p>
    <w:p>
      <w:r>
        <w:t>As detailed in §4.5, gaming DApps attract large user populations while generating modest financial throughput, whereas DeFi DApps process enormous transaction volume with smaller user bases. The value-per-user gap between these two verticals exceeds three orders of magnitude.</w:t>
      </w:r>
    </w:p>
    <w:p>
      <w:r>
        <w:rPr>
          <w:b/>
        </w:rPr>
        <w:t>Figure 5.3 — Engagement vs. economic value by vertical (conceptual)</w:t>
      </w:r>
    </w:p>
    <w:p>
      <w:pPr>
        <w:jc w:val="center"/>
      </w:pPr>
      <w:r>
        <w:rPr>
          <w:i/>
          <w:color w:val="808080"/>
        </w:rPr>
        <w:t>[Diagram — see VitePress version for interactive rendering]</w:t>
      </w:r>
    </w:p>
    <w:p>
      <w:r>
        <w:t>This disparity exposes the inadequacy of user count as a universal success metric. In gaming, active wallets often represent players engaged in play-to-earn mechanics with modest monetary value — a user earning fractional dollars per session. In DeFi, a single wallet might represent an institutional participant cycling tens of millions through liquidity positions.</w:t>
      </w:r>
    </w:p>
    <w:p>
      <w:r>
        <w:t>A defensible measurement framework would differentiate between engagement volume (wallet count), economic throughput (volume, TVL), and capital efficiency (volume per user, TVL per user). A DApp optimised for user count targets a fundamentally different objective than one optimised for capital deployment — conflating them produces misleading league tables and misallocated analytical attention.</w:t>
      </w:r>
    </w:p>
    <w:p>
      <w:pPr>
        <w:pStyle w:val="Heading2"/>
      </w:pPr>
      <w:r>
        <w:t>5.6 Governance Realism Under Concentration (DIS-05)</w:t>
      </w:r>
    </w:p>
    <w:p>
      <w:r>
        <w:t>Token-based governance is presented as a mechanism for aligning diverse stakeholders in decentralised protocols. In practice, the market concentration documented in §4.3 interacts with token distribution to produce outcomes resembling plutocracy more than democracy.</w:t>
      </w:r>
    </w:p>
    <w:p>
      <w:r>
        <w:t>If the top DApps hold the vast majority of ecosystem value, and if governance token distribution within those projects is similarly concentrated — as the literature consistently suggests (Fritsch, Fritsch, and Wattenhofer, 2022) — then effective voting control rests with a small number of large holders: founding teams, early investors, protocol treasuries, and a handful of large funds. Retail token holders, though formally enfranchised, face a coordination problem that renders their participation practically irrelevant on contested votes.</w:t>
      </w:r>
    </w:p>
    <w:p>
      <w:r>
        <w:t>On-chain voting records of major DeFi governance systems support this picture. Proposals frequently pass with participation below five per cent of eligible tokens, with decisive votes concentrated in three to five wallets (Barbereau et al., 2022). The governance mechanism is real; the democratic property it purports to deliver is largely fictive.</w:t>
      </w:r>
    </w:p>
    <w:p>
      <w:r>
        <w:t>A realistic governance model for current concentration realities would acknowledge large-holder dominance on contentious votes, design delegation mechanisms enabling liquid democracy, and invest in coordination infrastructure — forums, working groups, temperature checks — giving non-dominant holders meaningful input before formal votes.</w:t>
      </w:r>
    </w:p>
    <w:p>
      <w:pPr>
        <w:pStyle w:val="Heading2"/>
      </w:pPr>
      <w:r>
        <w:t>5.7 Funding Efficiency (DIS-06)</w:t>
      </w:r>
    </w:p>
    <w:p>
      <w:r>
        <w:t>Venture capital has been a defining feature of the Web3 ecosystem since at least 2017. The results challenge its efficacy.</w:t>
      </w:r>
    </w:p>
    <w:p>
      <w:r>
        <w:t>As reported in §4.9.2, only a small subset of strict-eligible DApps raised documented venture capital, and their median funding-to-valuation ratio is well below 1×. A substantial share of unfunded DApps exceed the market capitalisation of their venture-backed peers.</w:t>
      </w:r>
    </w:p>
    <w:p>
      <w:r>
        <w:t>Three interpretations are available. First, VC participation may be a lagging indicator of hype cycles: funding rounds in Web3 frequently follow token price appreciation rather than precede it, and the multiple is compressed as prices revert. Second, the operational characteristics of a successful DApp — open source codebase, permissionless access, community distribution — are less amenable to the value-appropriation mechanisms that make VC backing valuable in traditional startups. Third, funds may systematically favour compelling founders and high-profile ecosystems over genuine product–market fit, while the market independently identifies real utility.</w:t>
      </w:r>
    </w:p>
    <w:p>
      <w:r>
        <w:t>The implication: raising venture capital should not be treated as a prerequisite for success or confused with product validation. Capital is useful for hiring, security audits, and market access, but the data do not support the hypothesis that it reliably predicts long-term market performance.</w:t>
      </w:r>
    </w:p>
    <w:p>
      <w:pPr>
        <w:pStyle w:val="Heading2"/>
      </w:pPr>
      <w:r>
        <w:t>5.8 Multi-Chain Strategy: Correlation or Causation? (DIS-07)</w:t>
      </w:r>
    </w:p>
    <w:p>
      <w:r>
        <w:t>As reported in §4.4, a substantial majority of strict-eligible DApps deploy on multiple blockchains, and multi-chain DApps command a meaningful median market capitalisation premium over single-chain peers.</w:t>
      </w:r>
    </w:p>
    <w:p>
      <w:r>
        <w:rPr>
          <w:b/>
        </w:rPr>
        <w:t>Figure 5.4 — Multi-chain deployment and performance pathway</w:t>
      </w:r>
    </w:p>
    <w:p>
      <w:pPr>
        <w:jc w:val="center"/>
      </w:pPr>
      <w:r>
        <w:rPr>
          <w:i/>
          <w:color w:val="808080"/>
        </w:rPr>
        <w:t>[Diagram — see VitePress version for interactive rendering]</w:t>
      </w:r>
    </w:p>
    <w:p>
      <w:r>
        <w:t xml:space="preserve">The causal interpretation is unclear. Multi-chain deployment may </w:t>
      </w:r>
      <w:r>
        <w:rPr>
          <w:i/>
        </w:rPr>
        <w:t>cause</w:t>
      </w:r>
      <w:r>
        <w:t xml:space="preserve"> superior performance through expanded addressable market and chain-specific liquidity. Alternatively, it may be an </w:t>
      </w:r>
      <w:r>
        <w:rPr>
          <w:i/>
        </w:rPr>
        <w:t>effect</w:t>
      </w:r>
      <w:r>
        <w:t xml:space="preserve"> of prior success: deploying across chains requires security audits, bridge infrastructure, and ongoing maintenance overhead that only well-capitalised protocols can absorb. The observed premium may therefore reflect survivorship bias rather than a genuine value driver.</w:t>
      </w:r>
    </w:p>
    <w:p>
      <w:r>
        <w:t>The data cannot discriminate between these mechanisms. Practitioners should treat the multi-chain premium as a plausible growth lever while remaining alert to reverse-causality explanations. Longitudinal data tracking deployment timing relative to valuation milestones would be required to establish directionality.</w:t>
      </w:r>
    </w:p>
    <w:p>
      <w:r>
        <w:t>For small, single-chain teams, the pragmatic implication is clear: a well-executed single-chain product likely provides a better foundation for eventual multi-chain expansion than a prematurely distributed architecture that strains limited engineering capacity.</w:t>
      </w:r>
    </w:p>
    <w:p>
      <w:pPr>
        <w:pStyle w:val="Heading2"/>
      </w:pPr>
      <w:r>
        <w:t>5.9 Implications for Theory and Practice</w:t>
      </w:r>
    </w:p>
    <w:p>
      <w:pPr>
        <w:pStyle w:val="Heading3"/>
      </w:pPr>
      <w:r>
        <w:t>5.9.1 Blockchain Governance Literature</w:t>
      </w:r>
    </w:p>
    <w:p>
      <w:r>
        <w:t>This study contributes to empirical work challenging the conceptual frameworks inherited from cypherpunk philosophy, in which decentralisation is treated as both technically inevitable and normatively desirable. Neither property holds at the application layer.</w:t>
      </w:r>
    </w:p>
    <w:p>
      <w:r>
        <w:t>Decentralisation is not technically inevitable: the same permissionless infrastructure that enables censorship-resistant computation also enables centralised applications, and developers systematically choose the latter in commercially sensitive contexts. Governance scholars should shift their unit of analysis from the protocol layer — where decentralisation is structurally enforced — to the application layer, where it is a design choice.</w:t>
      </w:r>
    </w:p>
    <w:p>
      <w:r>
        <w:t>The normative question is equally complicated. Users concentrate on centralised DApps and high-volume, low-decentralisation protocols without apparent regard for governance structure (see §4.2, §4.5). If demand does not reward decentralisation, the governance literature must account for why it should be pursued as a design goal beyond its regulatory positioning value.</w:t>
      </w:r>
    </w:p>
    <w:p>
      <w:r>
        <w:t>The concentration findings align with network economics scholarship on platform markets (Rochet and Tirole, 2003; Parker, Van Alstyne, and Choudary, 2016) and suggest the DApp economy is better understood through the lens of two-sided markets than open-source software ecosystems. Liquidity, users, and developer attention exhibit the same tipping dynamics in DApp markets as in search, social media, and e-commerce.</w:t>
      </w:r>
    </w:p>
    <w:p>
      <w:pPr>
        <w:pStyle w:val="Heading3"/>
      </w:pPr>
      <w:r>
        <w:t>5.9.2 Practical Implications for DApp Builders</w:t>
      </w:r>
    </w:p>
    <w:p>
      <w:r>
        <w:t>Five actionable observations emerge.</w:t>
      </w:r>
    </w:p>
    <w:p>
      <w:r>
        <w:t>First, success cannot be measured by a single metric. User count, volume, TVL, market cap, and governance score capture different dimensions that trade off depending on vertical. Builders should define metrics appropriate to their economic model before seeking external validation.</w:t>
      </w:r>
    </w:p>
    <w:p>
      <w:r>
        <w:t>Second, governance design should precede token issuance. Retaining team control long after token distribution creates a credibility deficit that is difficult to recover. Projects intending to transfer governance should design the transfer pathway into the protocol from the outset.</w:t>
      </w:r>
    </w:p>
    <w:p>
      <w:r>
        <w:t>Third, capital efficiency matters more than capital raised. Unfunded DApps regularly outperform VC-backed peers. Builders should be sceptical of the narrative that a funding round constitutes validation or guarantees competitive advantage.</w:t>
      </w:r>
    </w:p>
    <w:p>
      <w:r>
        <w:t>Fourth, multi-chain expansion should be sequenced, not simultaneous. Given the cost structure of multi-chain deployment and the evidence that the premium may reflect selection rather than causation, early-stage teams should achieve protocol stability on a primary chain before incurring additional overhead.</w:t>
      </w:r>
    </w:p>
    <w:p>
      <w:r>
        <w:t>Fifth, on-chain governance is a long-term project, not a launch feature. Meaningful governance requires sustained investment in coordination infrastructure — grants, forums, working groups, delegation tooling — that most early-stage projects are not equipped to maintain. Treating governance as an operational commitment rather than a marketing claim would improve the credibility of the Web3 ecosystem overall.</w:t>
      </w:r>
    </w:p>
    <w:p>
      <w:pPr>
        <w:pStyle w:val="Heading2"/>
      </w:pPr>
      <w:r>
        <w:t>5.10 Limitations</w:t>
      </w:r>
    </w:p>
    <w:p>
      <w:r>
        <w:t>This study is subject to several limitations that constrain generalisability.</w:t>
      </w:r>
    </w:p>
    <w:p>
      <w:r>
        <w:rPr>
          <w:b/>
        </w:rPr>
        <w:t>Snapshot timing.</w:t>
      </w:r>
      <w:r>
        <w:t xml:space="preserve"> The dataset reflects a single cross-sectional export from November 2025. Market capitalisation, TVL, user counts, and governance scores are volatile and can shift substantially over weeks. Findings should be understood as characterising the ecosystem at one point in time. Longitudinal replication would be required to establish durability.</w:t>
      </w:r>
    </w:p>
    <w:p>
      <w:r>
        <w:rPr>
          <w:b/>
        </w:rPr>
        <w:t>Survivorship bias.</w:t>
      </w:r>
      <w:r>
        <w:t xml:space="preserve"> The strict eligibility criteria systematically exclude failed projects and early-stage DApps that never achieved measurable traction. The 68-DApp strict sample represents the observable, successful tail of a larger population. Concentration ratios and funding-to-valuation figures are calculated over a sample that has already survived a stringent selection process; the true ecosystem state is likely more concentrated and less capital-efficient.</w:t>
      </w:r>
    </w:p>
    <w:p>
      <w:r>
        <w:rPr>
          <w:b/>
        </w:rPr>
        <w:t>Raises data coverage.</w:t>
      </w:r>
      <w:r>
        <w:t xml:space="preserve"> As noted in §4.9.2, documented fundraising records cover only a small fraction of the full dataset; the remainder appear unfunded whether they genuinely raised nothing or simply did not publicise rounds. Caution is warranted when generalising the unfunded-outperformance finding beyond the documented sample.</w:t>
      </w:r>
    </w:p>
    <w:p>
      <w:r>
        <w:rPr>
          <w:b/>
        </w:rPr>
        <w:t>Manual coding subjectivity.</w:t>
      </w:r>
      <w:r>
        <w:t xml:space="preserve"> Governance labels and token type classifications were assigned through automated heuristics and manual review. These categories are not crisply defined in the industry, and the same DApp might be coded differently by two analysts. Sensitivity analysis on coding decisions was not conducted; future work should apply inter-rater reliability testing.</w:t>
      </w:r>
    </w:p>
    <w:p>
      <w:r>
        <w:rPr>
          <w:b/>
        </w:rPr>
        <w:t>Data source coverage.</w:t>
      </w:r>
      <w:r>
        <w:t xml:space="preserve"> The dataset integrates DappRadar, CoinGecko, and DeFiLlama, each with its own eligibility and measurement conventions. Protocols not indexed by these platforms — particularly those on newer or less-covered chains — are absent from the analysis.</w:t>
      </w:r>
    </w:p>
    <w:p>
      <w:r>
        <w:rPr>
          <w:b/>
        </w:rPr>
        <w:t>Reverse causality.</w:t>
      </w:r>
      <w:r>
        <w:t xml:space="preserve"> Several findings involve relationships where causal direction is ambiguous — most clearly the multi-chain deployment premium, but also the governance-score/market-cap correlation reported in §4.3.4. These associations are descriptive; causal inference would require instrumental variable approaches beyond the scope of this cross-sectional study.</w:t>
      </w:r>
    </w:p>
    <w:p>
      <w:pPr>
        <w:pStyle w:val="Heading2"/>
      </w:pPr>
      <w:r>
        <w:t>5.11 Summary</w:t>
      </w:r>
    </w:p>
    <w:p>
      <w:r>
        <w:t>The discussion has traced seven structural tensions through blockchain governance theory, market economics, and practitioner reality. The decentralisation paradox, the divergence of governance labels from governance mechanics, the reproduction of traditional tech concentration, the orders-of-magnitude engagement gap between verticals, the limits of on-chain democracy under concentrated token ownership, the failure of venture capital as a reliable performance predictor, and the ambiguous causal status of the multi-chain premium — each challenges a widely held assumption about how DApp markets work.</w:t>
      </w:r>
    </w:p>
    <w:p>
      <w:r>
        <w:t>Taken together, they suggest the DApp ecosystem is best understood not as a technological disruption of traditional market structures but as a reconfiguration of those structures under new institutional rules. Permissionless infrastructure lowers entry barriers without flattening winner-takes-most dynamics. Governance tokens distribute formal rights without redistributing effective power. Decentralisation is more frequently a design aspiration or regulatory posture than an operational reality.</w:t>
      </w:r>
    </w:p>
    <w:p>
      <w:r>
        <w:t>None of this denies that Web3 has distinctive innovations. Verifiable, composable, and non-custodial financial infrastructure is genuinely novel. But the application layer, as measured in this study, has not yet made good on its most ambitious governance and distribution claims. Whether it does so in future iterations is an empirical question that longitudinal research is better positioned to answer.</w:t>
      </w:r>
    </w:p>
    <w:p>
      <w:r>
        <w:br w:type="page"/>
      </w:r>
    </w:p>
    <w:p>
      <w:pPr>
        <w:pStyle w:val="Heading1"/>
      </w:pPr>
      <w:r>
        <w:t>Chapter 6 — Conclusions</w:t>
      </w:r>
    </w:p>
    <w:p>
      <w:pPr>
        <w:pStyle w:val="Heading2"/>
      </w:pPr>
      <w:r>
        <w:t>6.1 Summary of Contributions</w:t>
      </w:r>
    </w:p>
    <w:p>
      <w:r>
        <w:t>This thesis set out to examine whether governance and ownership labels in the DApp ecosystem correspond to observable economic and adoption realities. The motivating concern was the governance accountability gap: a structural asymmetry in which retail participants, regulators, and researchers rely on self-reported decentralisation claims while the empirical evidence base for evaluating those claims remains thin. By constructing and analysing a cross-sectional dataset of 855 decentralised applications spanning 77 blockchain networks and 48 variables — with manual governance coding and multi-source market enrichment — this study provides an empirical benchmark at a scale not previously attempted in the literature.</w:t>
      </w:r>
    </w:p>
    <w:p>
      <w:r>
        <w:t>Three principal contributions emerge from this work.</w:t>
      </w:r>
    </w:p>
    <w:p>
      <w:r>
        <w:rPr>
          <w:b/>
        </w:rPr>
        <w:t>An empirical governance benchmark.</w:t>
      </w:r>
      <w:r>
        <w:t xml:space="preserve"> The dataset, built from DappRadar activity rankings, DeFiLlama TVL records, CoinMarketCap pricing, and CoinGecko metadata, constitutes the most comprehensive cross-sectional governance census of the DApp ecosystem assembled to date. The dual analytic design — a loose universe of N = 834 and a strict high-signal universe of N = 68 — demonstrates that headline governance statistics are sensitive to data-quality thresholds, underscoring the importance of explicit eligibility criteria in ecosystem-level studies. In the strict sample, 86.8% of DApps are not fully decentralised under the applied coding criteria, 52.9% are company-owned, and the median governance score is 0.2833 on a 0–1 composite scale.</w:t>
      </w:r>
    </w:p>
    <w:p>
      <w:r>
        <w:rPr>
          <w:b/>
        </w:rPr>
        <w:t>Quantified observations about governance reality.</w:t>
      </w:r>
      <w:r>
        <w:t xml:space="preserve"> The study produces a set of precise, replicable observations that challenge the prevailing self-narrative of the Web3 sector. The top ten DApps in the strict sample account for 80.5% of total market capitalisation and 90.1% of unique active wallets — concentration ratios that match or exceed those documented in Web2 platform markets. The Gaming–DeFi engagement gap, where DeFi processes more than 100 times more economic value per user than Gaming despite comparable user counts, reveals that single-metric evaluation of DApp success is systematically misleading. The multi-chain deployment rate of 70.6% in the strict sample — versus 36.2% in the loose universe — demonstrates that data-quality gating materially changes the strategic picture of blockchain deployment choices.</w:t>
      </w:r>
    </w:p>
    <w:p>
      <w:r>
        <w:rPr>
          <w:b/>
        </w:rPr>
        <w:t>A reproducible measurement methodology.</w:t>
      </w:r>
      <w:r>
        <w:t xml:space="preserve"> The analytical pipeline — comprising seven Python scripts spanning data preparation, governance analysis, market structure, chain deployment, sector performance, conceptual synthesis, and thesis documentation — is fully documented and publicly available. The composite governance score constructed from governance type, ownership status, and decentralisation label provides a starting point for standardised measurement, and its positive correlation (r = 0.38) with log market capitalisation offers a first empirical signal, warranting further investigation, of whether governance design has competitive consequences.</w:t>
      </w:r>
    </w:p>
    <w:p>
      <w:pPr>
        <w:pStyle w:val="Heading2"/>
      </w:pPr>
      <w:r>
        <w:t>6.2 Answers to the Research Questions</w:t>
      </w:r>
    </w:p>
    <w:p>
      <w:r>
        <w:rPr>
          <w:b/>
        </w:rPr>
        <w:t>RQ1: How do governance models and ownership structures co-vary across DApp ecosystem sectors?</w:t>
      </w:r>
    </w:p>
    <w:p>
      <w:r>
        <w:t>The data reveal a strongly non-random distribution of governance archetypes across sectors. DeFi protocols — which constitute 57.4% of the strict sample by application count and 54.3% by active users — show systematically higher governance scores and a greater prevalence of on-chain token governance and DAO structures than any other sector. Gaming applications, which represent 26.5% of the strict sample, cluster toward team-controlled governance and low governance scores. The AI DApp segment, despite the highest token adoption rate (80%), recorded zero fully decentralised applications in the loose universe. These co-variation patterns suggest that governance design is not freely chosen at the application level but is shaped by sector-specific incentives: DeFi's reliance on user trust and composable capital flows creates structural pressure toward credible decentralisation, while Gaming's user-acquisition and entertainment imperatives favour centralised product control.</w:t>
      </w:r>
    </w:p>
    <w:p>
      <w:r>
        <w:rPr>
          <w:b/>
        </w:rPr>
        <w:t>RQ2: Does the decentralisation label match actual governance mechanics at the application layer?</w:t>
      </w:r>
    </w:p>
    <w:p>
      <w:r>
        <w:t>The answer is: only partially, and the gap is substantial. In the strict sample, 13.2% of applications carry the fully decentralised label — a figure three times higher than in the loose universe (4.7%), indicating that data-rich, actively used DApps are more likely to have invested in governance infrastructure. However, even among applications that issue governance tokens, 26.5% of the strict sample retains team-controlled governance processes. Governance token issuance and formal community control are weakly coupled: token design appears to serve fundraising and user-incentive objectives more often than it reflects real shifts in decision-making authority. The co-occurrence of decentralisation labels with company ownership, while rare in absolute terms, illustrates that the label is applied inconsistently. Self-reported decentralisation should be treated as a hypothesis requiring corroboration against on-chain evidence, rather than as a verifiable fact.</w:t>
      </w:r>
    </w:p>
    <w:p>
      <w:r>
        <w:rPr>
          <w:b/>
        </w:rPr>
        <w:t>RQ3: What structural patterns emerge in capital and user concentration across blockchain verticals?</w:t>
      </w:r>
    </w:p>
    <w:p>
      <w:r>
        <w:t>Capital and user concentration follows a power-law distribution consistent with winner-takes-most dynamics. In the strict sample, the top ten DApps by market capitalisation hold 80.5% of total value; the top ten by user count hold 90.1% of all unique active wallets. The market capitalisation distribution exhibits a power-law exponent of approximately α = 0.61, comparable to concentration measures in social media and e-commerce platforms. This pattern persists across sectors: within DeFi, within Gaming, and across the aggregate sample. Permissionless entry — a foundational claim of blockchain infrastructure — does not prevent concentration at the application layer. Network effects, liquidity depth, brand recognition, and composability advantages are sufficient to produce highly concentrated outcomes in an open market.</w:t>
      </w:r>
    </w:p>
    <w:p>
      <w:r>
        <w:rPr>
          <w:b/>
        </w:rPr>
        <w:t>RQ4: How does multi-chain deployment correlate with market performance and adoption?</w:t>
      </w:r>
    </w:p>
    <w:p>
      <w:r>
        <w:t>Multi-chain deployment is positively associated with market valuation. In the loose universe, applications deployed on more than one chain show an average market capitalisation 1.3 times higher than single-chain counterparts. In the strict sample, 70.6% of applications have deployed across multiple chains, compared to 36.2% in the looser data-quality threshold. The directional association is consistent, but causal interpretation requires caution: multi-chain expansion may reflect the success and resources of already-large DApps rather than constituting a growth driver in itself. The data cannot distinguish between multi-chain deployment as a cause of adoption and as a consequence of the funding and engineering capacity that successful DApps accumulate over time. The finding is best read as a correlation that motivates future causal analysis rather than as evidence for a prescription.</w:t>
      </w:r>
    </w:p>
    <w:p>
      <w:pPr>
        <w:pStyle w:val="Heading2"/>
      </w:pPr>
      <w:r>
        <w:t>6.3 Theoretical and Practical Implications</w:t>
      </w:r>
    </w:p>
    <w:p>
      <w:r>
        <w:rPr>
          <w:b/>
        </w:rPr>
        <w:t>Theoretical implications.</w:t>
      </w:r>
      <w:r>
        <w:t xml:space="preserve"> The findings contribute to two adjacent scholarly conversations. First, they extend the governance and institutional design literature on DAOs and token-based organisations (Barbereau et al., 2022; Tan et al., 2023) by providing cross-sectional evidence that community governance is an exception rather than a norm — one concentrated in high-activity, high-value DeFi protocols. The concept of progressive decentralisation (Aramonte et al., 2021) gains empirical texture: governance quality is positively correlated with market maturity, suggesting a lifecycle effect where established applications gradually develop governance infrastructure. Second, the market structure findings contribute to the platform economics literature on open and permissionless markets. Winner-takes-most concentration emerging in the absence of platform gatekeeping — documented here across 77 chains — challenges the intuition that open infrastructure is a sufficient condition for competitive market structure. The sources of concentration in DApp markets (liquidity depth, composability, reputation) are functionally analogous to network effects in traditional digital platform markets, even though the underlying infrastructure is fundamentally different.</w:t>
      </w:r>
    </w:p>
    <w:p>
      <w:r>
        <w:rPr>
          <w:b/>
        </w:rPr>
        <w:t>Practical implications for builders.</w:t>
      </w:r>
      <w:r>
        <w:t xml:space="preserve"> DApp development teams face a strategic trade-off between the credibility that genuine governance decentralisation provides and the operational agility that centralised control enables. The data suggest that governance token issuance without commensurate community control is a fragile strategy: it creates regulatory and reputational surface without delivering the trust premium that genuinely decentralised DeFi protocols appear to enjoy. Teams planning governance token launches should align token distribution, voting weight, and decision scope before launch rather than treating decentralisation as a deferred upgrade. Multi-chain deployment appears to be associated with higher valuations and should be evaluated as a growth lever early in the product roadmap, particularly for DeFi and marketplace applications where liquidity fragmentation is a primary competitive constraint.</w:t>
      </w:r>
    </w:p>
    <w:p>
      <w:r>
        <w:rPr>
          <w:b/>
        </w:rPr>
        <w:t>Practical implications for investors.</w:t>
      </w:r>
      <w:r>
        <w:t xml:space="preserve"> Unique active wallet counts, the most commonly cited DApp adoption metric, are an unreliable proxy for economic value at the ecosystem level. The Gaming–DeFi engagement gap — where Gaming attracts 12.67 million users in the strict sample generating low aggregate volume while DeFi processes $299.1 billion — demonstrates that per-sector benchmarks are essential. Investors should evaluate DApp traction using sector-adjusted metrics: volume per user and TVL efficiency for DeFi; retention and monetisation rates for Gaming; governance participation rates and proposal velocity for governance-facing applications. Funding history also proves to be a weak predictor of market performance: the median funded DApp carries a 0.11× funding-to-valuation ratio — trading at roughly one-tenth of the capital raised, while several of the highest-valued applications — including the largest by market capitalisation in the strict sample — raised no external capital.</w:t>
      </w:r>
    </w:p>
    <w:p>
      <w:r>
        <w:rPr>
          <w:b/>
        </w:rPr>
        <w:t>Practical implications for regulators.</w:t>
      </w:r>
      <w:r>
        <w:t xml:space="preserve"> The gap between decentralisation labels and operational reality has direct regulatory relevance. If governance tokens are issued by team-controlled DApps with no genuine pathway to community control, they function more like equity instruments or promotional assets than governance mechanisms — raising questions about investor protection disclosure requirements. Regulatory frameworks that distinguish between formal token-based governance and substantive community control would be better calibrated to the evidence presented here. Index-based monitoring of governance concentration — using composite scores analogous to the one developed in this thesis — could provide regulators with a lighter-touch, data-driven alternative to entity-by-entity assessment.</w:t>
      </w:r>
    </w:p>
    <w:p>
      <w:pPr>
        <w:pStyle w:val="Heading2"/>
      </w:pPr>
      <w:r>
        <w:t>6.4 Limitations</w:t>
      </w:r>
    </w:p>
    <w:p>
      <w:r>
        <w:t>Several limitations bound the conclusions of this study and should be borne in mind when interpreting the findings.</w:t>
      </w:r>
    </w:p>
    <w:p>
      <w:r>
        <w:rPr>
          <w:b/>
        </w:rPr>
        <w:t>Temporal snapshot.</w:t>
      </w:r>
      <w:r>
        <w:t xml:space="preserve"> The dataset represents a point-in-time cross-section collected in November 2025. DApp governance structures evolve, token distributions shift, and protocol upgrades alter on-chain voting powers continuously. The observed governance distribution reflects a moment in an ongoing process rather than a steady state. The finding that 86.8% of DApps are not fully decentralised does not imply that this proportion is stable or increasing; without longitudinal data it is not possible to determine whether the ecosystem is converging toward or diverging from decentralisation ideals.</w:t>
      </w:r>
    </w:p>
    <w:p>
      <w:r>
        <w:rPr>
          <w:b/>
        </w:rPr>
        <w:t>Survivorship and selection bias.</w:t>
      </w:r>
      <w:r>
        <w:t xml:space="preserve"> The base sample is drawn from DappRadar's top-500 UAW rankings, augmented by manual additions. DApps that failed, were delisted, or fell below activity thresholds before November 2025 are not represented. The strict universe compounds this by requiring positive market capitalisation and high activity signals, meaning that the N = 68 applications analysed in detail are those that have already demonstrated market success. Findings about governance-performance associations in this sample cannot be generalised to the full population of launched DApps.</w:t>
      </w:r>
    </w:p>
    <w:p>
      <w:r>
        <w:rPr>
          <w:b/>
        </w:rPr>
        <w:t>Manual governance coding.</w:t>
      </w:r>
      <w:r>
        <w:t xml:space="preserve"> The governance type, ownership status, and level of decentralisation variables are manually coded from publicly available documentation, DAO forum records, and smart contract inspection. This process is subject to coder interpretation, documentation incompleteness, and project self-disclosure. On-chain smart contract analysis — not conducted here — would provide a more objective measure of actual administrative key permissions and upgrade authority.</w:t>
      </w:r>
    </w:p>
    <w:p>
      <w:pPr>
        <w:pStyle w:val="Heading2"/>
      </w:pPr>
      <w:r>
        <w:t>6.5 Future Research Directions</w:t>
      </w:r>
    </w:p>
    <w:p>
      <w:r>
        <w:t>The empirical foundation constructed in this thesis opens several productive research directions.</w:t>
      </w:r>
    </w:p>
    <w:p>
      <w:r>
        <w:rPr>
          <w:b/>
        </w:rPr>
        <w:t>Longitudinal governance tracking.</w:t>
      </w:r>
      <w:r>
        <w:t xml:space="preserve"> The most significant gap left open is the temporal dimension. A panel dataset tracking the same DApps across multiple quarters would allow direct testing of the progressive decentralisation hypothesis: whether team-controlled applications transition toward community governance as they mature, and whether governance maturity correlates with improved economic performance over time. Repeated coding of governance state at six-month intervals would be feasible given the pipeline developed here.</w:t>
      </w:r>
    </w:p>
    <w:p>
      <w:r>
        <w:rPr>
          <w:b/>
        </w:rPr>
        <w:t>On-chain governance participation analysis.</w:t>
      </w:r>
      <w:r>
        <w:t xml:space="preserve"> The current study codes governance structure from documentation and metadata. A complementary analysis using on-chain vote records — available for all DAO-governed protocols deploying Governor Bravo or comparable frameworks — would quantify actual participation rates, voting concentration, and proposal throughput. This would allow direct measurement of the gap between formal governance rights and exercised governance power: an important second-order dimension of the decentralisation question.</w:t>
      </w:r>
    </w:p>
    <w:p>
      <w:r>
        <w:rPr>
          <w:b/>
        </w:rPr>
        <w:t>User behaviour and retention analysis.</w:t>
      </w:r>
      <w:r>
        <w:t xml:space="preserve"> The 100× gap in economic value per user between Gaming and DeFi applications suggests radically different user motivation profiles. Wallet-level analysis tracing user retention, switching behaviour, and cross-application engagement across sectors would enrich the adoption picture considerably and shed light on whether high user counts in Gaming translate to durable economic activity.</w:t>
      </w:r>
    </w:p>
    <w:p>
      <w:r>
        <w:rPr>
          <w:b/>
        </w:rPr>
        <w:t>Cross-chain interoperability effects.</w:t>
      </w:r>
      <w:r>
        <w:t xml:space="preserve"> The multi-chain deployment correlation identified in RQ4 raises a causal question that this dataset cannot resolve. As cross-chain bridging and interoperability infrastructure matures — through protocols such as LayerZero, Wormhole, and native chain abstraction layers — a quasi-experimental analysis exploiting variation in the timing and depth of multichain launches could provide more credible estimates of the causal effect of chain expansion on user growth and market capitalisation.</w:t>
      </w:r>
    </w:p>
    <w:p>
      <w:r>
        <w:rPr>
          <w:b/>
        </w:rPr>
        <w:t>Governance design experiments and natural experiments.</w:t>
      </w:r>
      <w:r>
        <w:t xml:space="preserve"> Several DApps have undergone governance transitions — from team-controlled to DAO, from off-chain Snapshot voting to on-chain governance, from single-sig to multisig administration — in ways that approximate natural experiments. Event-study methods applied to market capitalisation and user activity around these transitions would provide some of the most direct evidence available on whether governance quality has causal market consequences.</w:t>
      </w:r>
    </w:p>
    <w:p>
      <w:r>
        <w:br w:type="page"/>
      </w:r>
    </w:p>
    <w:p>
      <w:pPr>
        <w:pStyle w:val="Heading1"/>
      </w:pPr>
      <w:r>
        <w:t>Bibliography</w:t>
      </w:r>
    </w:p>
    <w:p>
      <w:pPr>
        <w:ind w:left="720" w:hanging="720"/>
      </w:pPr>
      <w:r>
        <w:rPr>
          <w:sz w:val="22"/>
        </w:rPr>
        <w:t>Agresti, A. (2002). Categorical data analysis (2nd ed.). Wiley.</w:t>
      </w:r>
    </w:p>
    <w:p>
      <w:pPr>
        <w:ind w:left="720" w:hanging="720"/>
      </w:pPr>
      <w:r>
        <w:rPr>
          <w:sz w:val="22"/>
        </w:rPr>
        <w:t>Aramonte, S., Huang, W., &amp; Schrimpf, A. (2021). DeFi risks and the decentralisation illusion. BIS Quarterly Review, December 2021.</w:t>
      </w:r>
    </w:p>
    <w:p>
      <w:pPr>
        <w:ind w:left="720" w:hanging="720"/>
      </w:pPr>
      <w:r>
        <w:rPr>
          <w:sz w:val="22"/>
        </w:rPr>
        <w:t>Barbereau, T., Smethurst, R., Papageorgiou, O., Rieger, A., &amp; Fridgen, G. (2022). DeFi, not so decentralized: The measured distribution of voting rights. In Proceedings of the 55th Hawaii International Conference on System Sciences.</w:t>
      </w:r>
    </w:p>
    <w:p>
      <w:pPr>
        <w:ind w:left="720" w:hanging="720"/>
      </w:pPr>
      <w:r>
        <w:rPr>
          <w:sz w:val="22"/>
        </w:rPr>
        <w:t>Buterin, V. (2014). A next-generation smart contract and decentralised application platform. Ethereum Foundation White Paper.</w:t>
      </w:r>
    </w:p>
    <w:p>
      <w:pPr>
        <w:ind w:left="720" w:hanging="720"/>
      </w:pPr>
      <w:r>
        <w:rPr>
          <w:sz w:val="22"/>
        </w:rPr>
        <w:t>Chen, W., Zheng, Z., Ngai, E. C.-H., Zheng, P., &amp; Zhou, Y. (2020). Exploiting blockchain data to detect smart Ponzi schemes on Ethereum. IEEE Access, 8, 37575–37586.</w:t>
      </w:r>
    </w:p>
    <w:p>
      <w:pPr>
        <w:ind w:left="720" w:hanging="720"/>
      </w:pPr>
      <w:r>
        <w:rPr>
          <w:sz w:val="22"/>
        </w:rPr>
        <w:t>Everitt, B. S., Landau, S., Leese, M., &amp; Stahl, D. (2011). Cluster analysis (5th ed.). Wiley.</w:t>
      </w:r>
    </w:p>
    <w:p>
      <w:pPr>
        <w:ind w:left="720" w:hanging="720"/>
      </w:pPr>
      <w:r>
        <w:rPr>
          <w:sz w:val="22"/>
        </w:rPr>
        <w:t>Field, A. (2018). Discovering statistics using IBM SPSS statistics (5th ed.). SAGE Publications.</w:t>
      </w:r>
    </w:p>
    <w:p>
      <w:pPr>
        <w:ind w:left="720" w:hanging="720"/>
      </w:pPr>
      <w:r>
        <w:rPr>
          <w:sz w:val="22"/>
        </w:rPr>
        <w:t>Freni, P., Ferro, E., &amp; Moncada, R. (2022). Tokenomics and blockchain tokens: A design-oriented morphological framework. Blockchain: Research and Applications, 3(1), 100069.</w:t>
      </w:r>
    </w:p>
    <w:p>
      <w:pPr>
        <w:ind w:left="720" w:hanging="720"/>
      </w:pPr>
      <w:r>
        <w:rPr>
          <w:sz w:val="22"/>
        </w:rPr>
        <w:t>Jolliffe, I. T. (2002). Principal component analysis (2nd ed.). Springer.</w:t>
      </w:r>
    </w:p>
    <w:p>
      <w:pPr>
        <w:ind w:left="720" w:hanging="720"/>
      </w:pPr>
      <w:r>
        <w:rPr>
          <w:sz w:val="22"/>
        </w:rPr>
        <w:t>Lommers, K., de Ville de Goyet, O., &amp; van Liebergen, B. (2021). Bridging the gap in DeFi: Empirical evidence on governance participation in decentralised protocols. SSRN Working Paper.</w:t>
      </w:r>
    </w:p>
    <w:p>
      <w:pPr>
        <w:ind w:left="720" w:hanging="720"/>
      </w:pPr>
      <w:r>
        <w:rPr>
          <w:sz w:val="22"/>
        </w:rPr>
        <w:t>MacQueen, J. (1967). Some methods for classification and analysis of multivariate observations. Proceedings of the Fifth Berkeley Symposium on Mathematical Statistics and Probability, 1, 281–297.</w:t>
      </w:r>
    </w:p>
    <w:p>
      <w:pPr>
        <w:ind w:left="720" w:hanging="720"/>
      </w:pPr>
      <w:r>
        <w:rPr>
          <w:sz w:val="22"/>
        </w:rPr>
        <w:t>Nakamoto, S. (2008). Bitcoin: A peer-to-peer electronic cash system. Bitcoin.org White Paper.</w:t>
      </w:r>
    </w:p>
    <w:p>
      <w:pPr>
        <w:ind w:left="720" w:hanging="720"/>
      </w:pPr>
      <w:r>
        <w:rPr>
          <w:sz w:val="22"/>
        </w:rPr>
        <w:t>Pearson, K. (1901). On lines and planes of closest fit to systems of points in space. Philosophical Magazine, 2(11), 559–572.</w:t>
      </w:r>
    </w:p>
    <w:p>
      <w:pPr>
        <w:ind w:left="720" w:hanging="720"/>
      </w:pPr>
      <w:r>
        <w:rPr>
          <w:sz w:val="22"/>
        </w:rPr>
        <w:t>Schär, F. (2021). Decentralized finance: On blockchain- and smart contract-based financial markets. Federal Reserve Bank of St. Louis Review, 103(2), 153–174.</w:t>
      </w:r>
    </w:p>
    <w:p>
      <w:pPr>
        <w:ind w:left="720" w:hanging="720"/>
      </w:pPr>
      <w:r>
        <w:rPr>
          <w:sz w:val="22"/>
        </w:rPr>
        <w:t>Spearman, C. (1904). The proof and measurement of association between two things. American Journal of Psychology, 15(1), 72–101.</w:t>
      </w:r>
    </w:p>
    <w:p>
      <w:pPr>
        <w:ind w:left="720" w:hanging="720"/>
      </w:pPr>
      <w:r>
        <w:rPr>
          <w:sz w:val="22"/>
        </w:rPr>
        <w:t>Tan, J., Allen, D., Berg, C., Lane, A., &amp; Potter, T. (2023). The DAO that launched a thousand DAOs: An empirical study of the MakerDAO governance structure. Journal of Financial Regulation, 9(1), 52–78.</w:t>
      </w:r>
    </w:p>
    <w:p>
      <w:pPr>
        <w:ind w:left="720" w:hanging="720"/>
      </w:pPr>
      <w:r>
        <w:rPr>
          <w:sz w:val="22"/>
        </w:rPr>
        <w:t>Tan, J., Shrestha, Y. R., &amp; Schäfer, L. (2023). The governance of decentralized autonomous organizations: A study of voting patterns. Journal of Strategic Information Systems, 32(3), 101774.</w:t>
      </w:r>
    </w:p>
    <w:p>
      <w:pPr>
        <w:ind w:left="720" w:hanging="720"/>
      </w:pPr>
      <w:r>
        <w:rPr>
          <w:sz w:val="22"/>
        </w:rPr>
        <w:t>Wood, G. (2014). Ethereum: A secure decentralised generalised transaction ledger. Ethereum Project Yellow Paper.</w:t>
      </w:r>
    </w:p>
    <w:p>
      <w:r>
        <w:br w:type="page"/>
      </w:r>
    </w:p>
    <w:p>
      <w:pPr>
        <w:pStyle w:val="Heading1"/>
      </w:pPr>
      <w:r>
        <w:t>Appendices</w:t>
      </w:r>
    </w:p>
    <w:p/>
    <w:p>
      <w:pPr>
        <w:pStyle w:val="Heading1"/>
      </w:pPr>
      <w:r>
        <w:t>Database Schema Documentation</w:t>
      </w:r>
    </w:p>
    <w:p>
      <w:pPr>
        <w:pStyle w:val="Heading2"/>
      </w:pPr>
      <w:r>
        <w:t>DApps Table Columns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20"/>
              </w:rPr>
              <w:t>Column</w:t>
            </w:r>
          </w:p>
        </w:tc>
        <w:tc>
          <w:tcPr>
            <w:tcW w:type="dxa" w:w="1758"/>
          </w:tcPr>
          <w:p>
            <w:r>
              <w:rPr>
                <w:rFonts w:ascii="Times New Roman" w:hAnsi="Times New Roman"/>
                <w:b/>
                <w:sz w:val="20"/>
              </w:rPr>
              <w:t>Type</w:t>
            </w:r>
          </w:p>
        </w:tc>
        <w:tc>
          <w:tcPr>
            <w:tcW w:type="dxa" w:w="1758"/>
          </w:tcPr>
          <w:p>
            <w:r>
              <w:rPr>
                <w:rFonts w:ascii="Times New Roman" w:hAnsi="Times New Roman"/>
                <w:b/>
                <w:sz w:val="20"/>
              </w:rPr>
              <w:t>Constraints</w:t>
            </w:r>
          </w:p>
        </w:tc>
        <w:tc>
          <w:tcPr>
            <w:tcW w:type="dxa" w:w="1758"/>
          </w:tcPr>
          <w:p>
            <w:r>
              <w:rPr>
                <w:rFonts w:ascii="Times New Roman" w:hAnsi="Times New Roman"/>
                <w:b/>
                <w:sz w:val="20"/>
              </w:rPr>
              <w:t>Description</w:t>
            </w:r>
          </w:p>
        </w:tc>
        <w:tc>
          <w:tcPr>
            <w:tcW w:type="dxa" w:w="1758"/>
          </w:tcPr>
          <w:p>
            <w:r>
              <w:rPr>
                <w:rFonts w:ascii="Times New Roman" w:hAnsi="Times New Roman"/>
                <w:b/>
                <w:sz w:val="20"/>
              </w:rPr>
              <w:t>Source</w:t>
            </w:r>
          </w:p>
        </w:tc>
      </w:tr>
      <w:tr>
        <w:tc>
          <w:tcPr>
            <w:tcW w:type="dxa" w:w="1758"/>
          </w:tcPr>
          <w:p>
            <w:r>
              <w:rPr>
                <w:rFonts w:ascii="Times New Roman" w:hAnsi="Times New Roman"/>
                <w:sz w:val="20"/>
              </w:rPr>
              <w:t>**Core Identifiers**</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`id`</w:t>
            </w:r>
          </w:p>
        </w:tc>
        <w:tc>
          <w:tcPr>
            <w:tcW w:type="dxa" w:w="1758"/>
          </w:tcPr>
          <w:p>
            <w:r>
              <w:rPr>
                <w:rFonts w:ascii="Times New Roman" w:hAnsi="Times New Roman"/>
                <w:sz w:val="20"/>
              </w:rPr>
              <w:t>SERIAL</w:t>
            </w:r>
          </w:p>
        </w:tc>
        <w:tc>
          <w:tcPr>
            <w:tcW w:type="dxa" w:w="1758"/>
          </w:tcPr>
          <w:p>
            <w:r>
              <w:rPr>
                <w:rFonts w:ascii="Times New Roman" w:hAnsi="Times New Roman"/>
                <w:sz w:val="20"/>
              </w:rPr>
              <w:t>PRIMARY KEY</w:t>
            </w:r>
          </w:p>
        </w:tc>
        <w:tc>
          <w:tcPr>
            <w:tcW w:type="dxa" w:w="1758"/>
          </w:tcPr>
          <w:p>
            <w:r>
              <w:rPr>
                <w:rFonts w:ascii="Times New Roman" w:hAnsi="Times New Roman"/>
                <w:sz w:val="20"/>
              </w:rPr>
              <w:t>Unique identifier for DApp</w:t>
            </w:r>
          </w:p>
        </w:tc>
        <w:tc>
          <w:tcPr>
            <w:tcW w:type="dxa" w:w="1758"/>
          </w:tcPr>
          <w:p>
            <w:r>
              <w:rPr>
                <w:rFonts w:ascii="Times New Roman" w:hAnsi="Times New Roman"/>
                <w:sz w:val="20"/>
              </w:rPr>
              <w:t>Auto-generated</w:t>
            </w:r>
          </w:p>
        </w:tc>
      </w:tr>
      <w:tr>
        <w:tc>
          <w:tcPr>
            <w:tcW w:type="dxa" w:w="1758"/>
          </w:tcPr>
          <w:p>
            <w:r>
              <w:rPr>
                <w:rFonts w:ascii="Times New Roman" w:hAnsi="Times New Roman"/>
                <w:sz w:val="20"/>
              </w:rPr>
              <w:t>`name`</w:t>
            </w:r>
          </w:p>
        </w:tc>
        <w:tc>
          <w:tcPr>
            <w:tcW w:type="dxa" w:w="1758"/>
          </w:tcPr>
          <w:p>
            <w:r>
              <w:rPr>
                <w:rFonts w:ascii="Times New Roman" w:hAnsi="Times New Roman"/>
                <w:sz w:val="20"/>
              </w:rPr>
              <w:t>VARCHAR(255)</w:t>
            </w:r>
          </w:p>
        </w:tc>
        <w:tc>
          <w:tcPr>
            <w:tcW w:type="dxa" w:w="1758"/>
          </w:tcPr>
          <w:p>
            <w:r>
              <w:rPr>
                <w:rFonts w:ascii="Times New Roman" w:hAnsi="Times New Roman"/>
                <w:sz w:val="20"/>
              </w:rPr>
              <w:t>NOT NULL</w:t>
            </w:r>
          </w:p>
        </w:tc>
        <w:tc>
          <w:tcPr>
            <w:tcW w:type="dxa" w:w="1758"/>
          </w:tcPr>
          <w:p>
            <w:r>
              <w:rPr>
                <w:rFonts w:ascii="Times New Roman" w:hAnsi="Times New Roman"/>
                <w:sz w:val="20"/>
              </w:rPr>
              <w:t>DApp name</w:t>
            </w:r>
          </w:p>
        </w:tc>
        <w:tc>
          <w:tcPr>
            <w:tcW w:type="dxa" w:w="1758"/>
          </w:tcPr>
          <w:p>
            <w:r>
              <w:rPr>
                <w:rFonts w:ascii="Times New Roman" w:hAnsi="Times New Roman"/>
                <w:sz w:val="20"/>
              </w:rPr>
              <w:t>DappRadar</w:t>
            </w:r>
          </w:p>
        </w:tc>
      </w:tr>
      <w:tr>
        <w:tc>
          <w:tcPr>
            <w:tcW w:type="dxa" w:w="1758"/>
          </w:tcPr>
          <w:p>
            <w:r>
              <w:rPr>
                <w:rFonts w:ascii="Times New Roman" w:hAnsi="Times New Roman"/>
                <w:sz w:val="20"/>
              </w:rPr>
              <w:t>`slug`</w:t>
            </w:r>
          </w:p>
        </w:tc>
        <w:tc>
          <w:tcPr>
            <w:tcW w:type="dxa" w:w="1758"/>
          </w:tcPr>
          <w:p>
            <w:r>
              <w:rPr>
                <w:rFonts w:ascii="Times New Roman" w:hAnsi="Times New Roman"/>
                <w:sz w:val="20"/>
              </w:rPr>
              <w:t>VARCHAR(255)</w:t>
            </w:r>
          </w:p>
        </w:tc>
        <w:tc>
          <w:tcPr>
            <w:tcW w:type="dxa" w:w="1758"/>
          </w:tcPr>
          <w:p>
            <w:r>
              <w:rPr>
                <w:rFonts w:ascii="Times New Roman" w:hAnsi="Times New Roman"/>
                <w:sz w:val="20"/>
              </w:rPr>
              <w:t>UNIQUE NOT NULL</w:t>
            </w:r>
          </w:p>
        </w:tc>
        <w:tc>
          <w:tcPr>
            <w:tcW w:type="dxa" w:w="1758"/>
          </w:tcPr>
          <w:p>
            <w:r>
              <w:rPr>
                <w:rFonts w:ascii="Times New Roman" w:hAnsi="Times New Roman"/>
                <w:sz w:val="20"/>
              </w:rPr>
              <w:t>URL-friendly identifier</w:t>
            </w:r>
          </w:p>
        </w:tc>
        <w:tc>
          <w:tcPr>
            <w:tcW w:type="dxa" w:w="1758"/>
          </w:tcPr>
          <w:p>
            <w:r>
              <w:rPr>
                <w:rFonts w:ascii="Times New Roman" w:hAnsi="Times New Roman"/>
                <w:sz w:val="20"/>
              </w:rPr>
              <w:t>DappRadar</w:t>
            </w:r>
          </w:p>
        </w:tc>
      </w:tr>
      <w:tr>
        <w:tc>
          <w:tcPr>
            <w:tcW w:type="dxa" w:w="1758"/>
          </w:tcPr>
          <w:p>
            <w:r>
              <w:rPr>
                <w:rFonts w:ascii="Times New Roman" w:hAnsi="Times New Roman"/>
                <w:sz w:val="20"/>
              </w:rPr>
              <w:t>`category_id`</w:t>
            </w:r>
          </w:p>
        </w:tc>
        <w:tc>
          <w:tcPr>
            <w:tcW w:type="dxa" w:w="1758"/>
          </w:tcPr>
          <w:p>
            <w:r>
              <w:rPr>
                <w:rFonts w:ascii="Times New Roman" w:hAnsi="Times New Roman"/>
                <w:sz w:val="20"/>
              </w:rPr>
              <w:t>INTEGER</w:t>
            </w:r>
          </w:p>
        </w:tc>
        <w:tc>
          <w:tcPr>
            <w:tcW w:type="dxa" w:w="1758"/>
          </w:tcPr>
          <w:p>
            <w:r>
              <w:rPr>
                <w:rFonts w:ascii="Times New Roman" w:hAnsi="Times New Roman"/>
                <w:sz w:val="20"/>
              </w:rPr>
              <w:t>REFERENCES categories(id)</w:t>
            </w:r>
          </w:p>
        </w:tc>
        <w:tc>
          <w:tcPr>
            <w:tcW w:type="dxa" w:w="1758"/>
          </w:tcPr>
          <w:p>
            <w:r>
              <w:rPr>
                <w:rFonts w:ascii="Times New Roman" w:hAnsi="Times New Roman"/>
                <w:sz w:val="20"/>
              </w:rPr>
              <w:t>Link to category table</w:t>
            </w:r>
          </w:p>
        </w:tc>
        <w:tc>
          <w:tcPr>
            <w:tcW w:type="dxa" w:w="1758"/>
          </w:tcPr>
          <w:p>
            <w:r>
              <w:rPr>
                <w:rFonts w:ascii="Times New Roman" w:hAnsi="Times New Roman"/>
                <w:sz w:val="20"/>
              </w:rPr>
              <w:t>DappRadar</w:t>
            </w:r>
          </w:p>
        </w:tc>
      </w:tr>
      <w:tr>
        <w:tc>
          <w:tcPr>
            <w:tcW w:type="dxa" w:w="1758"/>
          </w:tcPr>
          <w:p>
            <w:r>
              <w:rPr>
                <w:rFonts w:ascii="Times New Roman" w:hAnsi="Times New Roman"/>
                <w:sz w:val="20"/>
              </w:rPr>
              <w:t>**External IDs**</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`gecko_id`</w:t>
            </w:r>
          </w:p>
        </w:tc>
        <w:tc>
          <w:tcPr>
            <w:tcW w:type="dxa" w:w="1758"/>
          </w:tcPr>
          <w:p>
            <w:r>
              <w:rPr>
                <w:rFonts w:ascii="Times New Roman" w:hAnsi="Times New Roman"/>
                <w:sz w:val="20"/>
              </w:rPr>
              <w:t>VARCHAR(100)</w:t>
            </w:r>
          </w:p>
        </w:tc>
        <w:tc>
          <w:tcPr>
            <w:tcW w:type="dxa" w:w="1758"/>
          </w:tcPr>
          <w:p>
            <w:r>
              <w:rPr>
                <w:rFonts w:ascii="Times New Roman" w:hAnsi="Times New Roman"/>
                <w:sz w:val="20"/>
              </w:rPr>
            </w:r>
          </w:p>
        </w:tc>
        <w:tc>
          <w:tcPr>
            <w:tcW w:type="dxa" w:w="1758"/>
          </w:tcPr>
          <w:p>
            <w:r>
              <w:rPr>
                <w:rFonts w:ascii="Times New Roman" w:hAnsi="Times New Roman"/>
                <w:sz w:val="20"/>
              </w:rPr>
              <w:t>CoinGecko API identifier</w:t>
            </w:r>
          </w:p>
        </w:tc>
        <w:tc>
          <w:tcPr>
            <w:tcW w:type="dxa" w:w="1758"/>
          </w:tcPr>
          <w:p>
            <w:r>
              <w:rPr>
                <w:rFonts w:ascii="Times New Roman" w:hAnsi="Times New Roman"/>
                <w:sz w:val="20"/>
              </w:rPr>
              <w:t>CoinGecko</w:t>
            </w:r>
          </w:p>
        </w:tc>
      </w:tr>
      <w:tr>
        <w:tc>
          <w:tcPr>
            <w:tcW w:type="dxa" w:w="1758"/>
          </w:tcPr>
          <w:p>
            <w:r>
              <w:rPr>
                <w:rFonts w:ascii="Times New Roman" w:hAnsi="Times New Roman"/>
                <w:sz w:val="20"/>
              </w:rPr>
              <w:t>`cmc_id`</w:t>
            </w:r>
          </w:p>
        </w:tc>
        <w:tc>
          <w:tcPr>
            <w:tcW w:type="dxa" w:w="1758"/>
          </w:tcPr>
          <w:p>
            <w:r>
              <w:rPr>
                <w:rFonts w:ascii="Times New Roman" w:hAnsi="Times New Roman"/>
                <w:sz w:val="20"/>
              </w:rPr>
              <w:t>VARCHAR(100) / VARCHAR(20)</w:t>
            </w:r>
          </w:p>
        </w:tc>
        <w:tc>
          <w:tcPr>
            <w:tcW w:type="dxa" w:w="1758"/>
          </w:tcPr>
          <w:p>
            <w:r>
              <w:rPr>
                <w:rFonts w:ascii="Times New Roman" w:hAnsi="Times New Roman"/>
                <w:sz w:val="20"/>
              </w:rPr>
            </w:r>
          </w:p>
        </w:tc>
        <w:tc>
          <w:tcPr>
            <w:tcW w:type="dxa" w:w="1758"/>
          </w:tcPr>
          <w:p>
            <w:r>
              <w:rPr>
                <w:rFonts w:ascii="Times New Roman" w:hAnsi="Times New Roman"/>
                <w:sz w:val="20"/>
              </w:rPr>
              <w:t>CoinMarketCap identifier</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**Basic Information**</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`is_active`</w:t>
            </w:r>
          </w:p>
        </w:tc>
        <w:tc>
          <w:tcPr>
            <w:tcW w:type="dxa" w:w="1758"/>
          </w:tcPr>
          <w:p>
            <w:r>
              <w:rPr>
                <w:rFonts w:ascii="Times New Roman" w:hAnsi="Times New Roman"/>
                <w:sz w:val="20"/>
              </w:rPr>
              <w:t>BOOLEAN</w:t>
            </w:r>
          </w:p>
        </w:tc>
        <w:tc>
          <w:tcPr>
            <w:tcW w:type="dxa" w:w="1758"/>
          </w:tcPr>
          <w:p>
            <w:r>
              <w:rPr>
                <w:rFonts w:ascii="Times New Roman" w:hAnsi="Times New Roman"/>
                <w:sz w:val="20"/>
              </w:rPr>
              <w:t>DEFAULT TRUE</w:t>
            </w:r>
          </w:p>
        </w:tc>
        <w:tc>
          <w:tcPr>
            <w:tcW w:type="dxa" w:w="1758"/>
          </w:tcPr>
          <w:p>
            <w:r>
              <w:rPr>
                <w:rFonts w:ascii="Times New Roman" w:hAnsi="Times New Roman"/>
                <w:sz w:val="20"/>
              </w:rPr>
              <w:t>Whether DApp is currently active</w:t>
            </w:r>
          </w:p>
        </w:tc>
        <w:tc>
          <w:tcPr>
            <w:tcW w:type="dxa" w:w="1758"/>
          </w:tcPr>
          <w:p>
            <w:r>
              <w:rPr>
                <w:rFonts w:ascii="Times New Roman" w:hAnsi="Times New Roman"/>
                <w:sz w:val="20"/>
              </w:rPr>
              <w:t>DappRadar</w:t>
            </w:r>
          </w:p>
        </w:tc>
      </w:tr>
      <w:tr>
        <w:tc>
          <w:tcPr>
            <w:tcW w:type="dxa" w:w="1758"/>
          </w:tcPr>
          <w:p>
            <w:r>
              <w:rPr>
                <w:rFonts w:ascii="Times New Roman" w:hAnsi="Times New Roman"/>
                <w:sz w:val="20"/>
              </w:rPr>
              <w:t>`description`</w:t>
            </w:r>
          </w:p>
        </w:tc>
        <w:tc>
          <w:tcPr>
            <w:tcW w:type="dxa" w:w="1758"/>
          </w:tcPr>
          <w:p>
            <w:r>
              <w:rPr>
                <w:rFonts w:ascii="Times New Roman" w:hAnsi="Times New Roman"/>
                <w:sz w:val="20"/>
              </w:rPr>
              <w:t>TEXT</w:t>
            </w:r>
          </w:p>
        </w:tc>
        <w:tc>
          <w:tcPr>
            <w:tcW w:type="dxa" w:w="1758"/>
          </w:tcPr>
          <w:p>
            <w:r>
              <w:rPr>
                <w:rFonts w:ascii="Times New Roman" w:hAnsi="Times New Roman"/>
                <w:sz w:val="20"/>
              </w:rPr>
            </w:r>
          </w:p>
        </w:tc>
        <w:tc>
          <w:tcPr>
            <w:tcW w:type="dxa" w:w="1758"/>
          </w:tcPr>
          <w:p>
            <w:r>
              <w:rPr>
                <w:rFonts w:ascii="Times New Roman" w:hAnsi="Times New Roman"/>
                <w:sz w:val="20"/>
              </w:rPr>
              <w:t>Detailed description of the DApp</w:t>
            </w:r>
          </w:p>
        </w:tc>
        <w:tc>
          <w:tcPr>
            <w:tcW w:type="dxa" w:w="1758"/>
          </w:tcPr>
          <w:p>
            <w:r>
              <w:rPr>
                <w:rFonts w:ascii="Times New Roman" w:hAnsi="Times New Roman"/>
                <w:sz w:val="20"/>
              </w:rPr>
              <w:t>DappRadar</w:t>
            </w:r>
          </w:p>
        </w:tc>
      </w:tr>
      <w:tr>
        <w:tc>
          <w:tcPr>
            <w:tcW w:type="dxa" w:w="1758"/>
          </w:tcPr>
          <w:p>
            <w:r>
              <w:rPr>
                <w:rFonts w:ascii="Times New Roman" w:hAnsi="Times New Roman"/>
                <w:sz w:val="20"/>
              </w:rPr>
              <w:t>`website`</w:t>
            </w:r>
          </w:p>
        </w:tc>
        <w:tc>
          <w:tcPr>
            <w:tcW w:type="dxa" w:w="1758"/>
          </w:tcPr>
          <w:p>
            <w:r>
              <w:rPr>
                <w:rFonts w:ascii="Times New Roman" w:hAnsi="Times New Roman"/>
                <w:sz w:val="20"/>
              </w:rPr>
              <w:t>VARCHAR(500)</w:t>
            </w:r>
          </w:p>
        </w:tc>
        <w:tc>
          <w:tcPr>
            <w:tcW w:type="dxa" w:w="1758"/>
          </w:tcPr>
          <w:p>
            <w:r>
              <w:rPr>
                <w:rFonts w:ascii="Times New Roman" w:hAnsi="Times New Roman"/>
                <w:sz w:val="20"/>
              </w:rPr>
            </w:r>
          </w:p>
        </w:tc>
        <w:tc>
          <w:tcPr>
            <w:tcW w:type="dxa" w:w="1758"/>
          </w:tcPr>
          <w:p>
            <w:r>
              <w:rPr>
                <w:rFonts w:ascii="Times New Roman" w:hAnsi="Times New Roman"/>
                <w:sz w:val="20"/>
              </w:rPr>
              <w:t>Official website URL</w:t>
            </w:r>
          </w:p>
        </w:tc>
        <w:tc>
          <w:tcPr>
            <w:tcW w:type="dxa" w:w="1758"/>
          </w:tcPr>
          <w:p>
            <w:r>
              <w:rPr>
                <w:rFonts w:ascii="Times New Roman" w:hAnsi="Times New Roman"/>
                <w:sz w:val="20"/>
              </w:rPr>
              <w:t>DappRadar</w:t>
            </w:r>
          </w:p>
        </w:tc>
      </w:tr>
      <w:tr>
        <w:tc>
          <w:tcPr>
            <w:tcW w:type="dxa" w:w="1758"/>
          </w:tcPr>
          <w:p>
            <w:r>
              <w:rPr>
                <w:rFonts w:ascii="Times New Roman" w:hAnsi="Times New Roman"/>
                <w:sz w:val="20"/>
              </w:rPr>
              <w:t>`tags`</w:t>
            </w:r>
          </w:p>
        </w:tc>
        <w:tc>
          <w:tcPr>
            <w:tcW w:type="dxa" w:w="1758"/>
          </w:tcPr>
          <w:p>
            <w:r>
              <w:rPr>
                <w:rFonts w:ascii="Times New Roman" w:hAnsi="Times New Roman"/>
                <w:sz w:val="20"/>
              </w:rPr>
              <w:t>TEXT</w:t>
            </w:r>
          </w:p>
        </w:tc>
        <w:tc>
          <w:tcPr>
            <w:tcW w:type="dxa" w:w="1758"/>
          </w:tcPr>
          <w:p>
            <w:r>
              <w:rPr>
                <w:rFonts w:ascii="Times New Roman" w:hAnsi="Times New Roman"/>
                <w:sz w:val="20"/>
              </w:rPr>
            </w:r>
          </w:p>
        </w:tc>
        <w:tc>
          <w:tcPr>
            <w:tcW w:type="dxa" w:w="1758"/>
          </w:tcPr>
          <w:p>
            <w:r>
              <w:rPr>
                <w:rFonts w:ascii="Times New Roman" w:hAnsi="Times New Roman"/>
                <w:sz w:val="20"/>
              </w:rPr>
              <w:t>**Combined tags from all sources**</w:t>
            </w:r>
          </w:p>
        </w:tc>
        <w:tc>
          <w:tcPr>
            <w:tcW w:type="dxa" w:w="1758"/>
          </w:tcPr>
          <w:p>
            <w:r>
              <w:rPr>
                <w:rFonts w:ascii="Times New Roman" w:hAnsi="Times New Roman"/>
                <w:sz w:val="20"/>
              </w:rPr>
              <w:t>**DappRadar/CMC/CoinGecko/DeFiLlama**</w:t>
            </w:r>
          </w:p>
        </w:tc>
      </w:tr>
      <w:tr>
        <w:tc>
          <w:tcPr>
            <w:tcW w:type="dxa" w:w="1758"/>
          </w:tcPr>
          <w:p>
            <w:r>
              <w:rPr>
                <w:rFonts w:ascii="Times New Roman" w:hAnsi="Times New Roman"/>
                <w:sz w:val="20"/>
              </w:rPr>
              <w:t>`sub_category`</w:t>
            </w:r>
          </w:p>
        </w:tc>
        <w:tc>
          <w:tcPr>
            <w:tcW w:type="dxa" w:w="1758"/>
          </w:tcPr>
          <w:p>
            <w:r>
              <w:rPr>
                <w:rFonts w:ascii="Times New Roman" w:hAnsi="Times New Roman"/>
                <w:sz w:val="20"/>
              </w:rPr>
              <w:t>TEXT</w:t>
            </w:r>
          </w:p>
        </w:tc>
        <w:tc>
          <w:tcPr>
            <w:tcW w:type="dxa" w:w="1758"/>
          </w:tcPr>
          <w:p>
            <w:r>
              <w:rPr>
                <w:rFonts w:ascii="Times New Roman" w:hAnsi="Times New Roman"/>
                <w:sz w:val="20"/>
              </w:rPr>
            </w:r>
          </w:p>
        </w:tc>
        <w:tc>
          <w:tcPr>
            <w:tcW w:type="dxa" w:w="1758"/>
          </w:tcPr>
          <w:p>
            <w:r>
              <w:rPr>
                <w:rFonts w:ascii="Times New Roman" w:hAnsi="Times New Roman"/>
                <w:sz w:val="20"/>
              </w:rPr>
              <w:t>Sub-category for more granular classification</w:t>
            </w:r>
          </w:p>
        </w:tc>
        <w:tc>
          <w:tcPr>
            <w:tcW w:type="dxa" w:w="1758"/>
          </w:tcPr>
          <w:p>
            <w:r>
              <w:rPr>
                <w:rFonts w:ascii="Times New Roman" w:hAnsi="Times New Roman"/>
                <w:sz w:val="20"/>
              </w:rPr>
              <w:t>Manual/Research</w:t>
            </w:r>
          </w:p>
        </w:tc>
      </w:tr>
      <w:tr>
        <w:tc>
          <w:tcPr>
            <w:tcW w:type="dxa" w:w="1758"/>
          </w:tcPr>
          <w:p>
            <w:r>
              <w:rPr>
                <w:rFonts w:ascii="Times New Roman" w:hAnsi="Times New Roman"/>
                <w:sz w:val="20"/>
              </w:rPr>
              <w:t>**Blockchain Information**</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`chains`</w:t>
            </w:r>
          </w:p>
        </w:tc>
        <w:tc>
          <w:tcPr>
            <w:tcW w:type="dxa" w:w="1758"/>
          </w:tcPr>
          <w:p>
            <w:r>
              <w:rPr>
                <w:rFonts w:ascii="Times New Roman" w:hAnsi="Times New Roman"/>
                <w:sz w:val="20"/>
              </w:rPr>
              <w:t>TEXT</w:t>
            </w:r>
          </w:p>
        </w:tc>
        <w:tc>
          <w:tcPr>
            <w:tcW w:type="dxa" w:w="1758"/>
          </w:tcPr>
          <w:p>
            <w:r>
              <w:rPr>
                <w:rFonts w:ascii="Times New Roman" w:hAnsi="Times New Roman"/>
                <w:sz w:val="20"/>
              </w:rPr>
            </w:r>
          </w:p>
        </w:tc>
        <w:tc>
          <w:tcPr>
            <w:tcW w:type="dxa" w:w="1758"/>
          </w:tcPr>
          <w:p>
            <w:r>
              <w:rPr>
                <w:rFonts w:ascii="Times New Roman" w:hAnsi="Times New Roman"/>
                <w:sz w:val="20"/>
              </w:rPr>
              <w:t>Blockchain networks (comma-separated)</w:t>
            </w:r>
          </w:p>
        </w:tc>
        <w:tc>
          <w:tcPr>
            <w:tcW w:type="dxa" w:w="1758"/>
          </w:tcPr>
          <w:p>
            <w:r>
              <w:rPr>
                <w:rFonts w:ascii="Times New Roman" w:hAnsi="Times New Roman"/>
                <w:sz w:val="20"/>
              </w:rPr>
              <w:t>DappRadar</w:t>
            </w:r>
          </w:p>
        </w:tc>
      </w:tr>
      <w:tr>
        <w:tc>
          <w:tcPr>
            <w:tcW w:type="dxa" w:w="1758"/>
          </w:tcPr>
          <w:p>
            <w:r>
              <w:rPr>
                <w:rFonts w:ascii="Times New Roman" w:hAnsi="Times New Roman"/>
                <w:sz w:val="20"/>
              </w:rPr>
              <w:t>`multi_chain`</w:t>
            </w:r>
          </w:p>
        </w:tc>
        <w:tc>
          <w:tcPr>
            <w:tcW w:type="dxa" w:w="1758"/>
          </w:tcPr>
          <w:p>
            <w:r>
              <w:rPr>
                <w:rFonts w:ascii="Times New Roman" w:hAnsi="Times New Roman"/>
                <w:sz w:val="20"/>
              </w:rPr>
              <w:t>BOOLEAN</w:t>
            </w:r>
          </w:p>
        </w:tc>
        <w:tc>
          <w:tcPr>
            <w:tcW w:type="dxa" w:w="1758"/>
          </w:tcPr>
          <w:p>
            <w:r>
              <w:rPr>
                <w:rFonts w:ascii="Times New Roman" w:hAnsi="Times New Roman"/>
                <w:sz w:val="20"/>
              </w:rPr>
              <w:t>DEFAULT FALSE</w:t>
            </w:r>
          </w:p>
        </w:tc>
        <w:tc>
          <w:tcPr>
            <w:tcW w:type="dxa" w:w="1758"/>
          </w:tcPr>
          <w:p>
            <w:r>
              <w:rPr>
                <w:rFonts w:ascii="Times New Roman" w:hAnsi="Times New Roman"/>
                <w:sz w:val="20"/>
              </w:rPr>
              <w:t>Whether DApp operates on multiple chains</w:t>
            </w:r>
          </w:p>
        </w:tc>
        <w:tc>
          <w:tcPr>
            <w:tcW w:type="dxa" w:w="1758"/>
          </w:tcPr>
          <w:p>
            <w:r>
              <w:rPr>
                <w:rFonts w:ascii="Times New Roman" w:hAnsi="Times New Roman"/>
                <w:sz w:val="20"/>
              </w:rPr>
              <w:t>Calculated</w:t>
            </w:r>
          </w:p>
        </w:tc>
      </w:tr>
      <w:tr>
        <w:tc>
          <w:tcPr>
            <w:tcW w:type="dxa" w:w="1758"/>
          </w:tcPr>
          <w:p>
            <w:r>
              <w:rPr>
                <w:rFonts w:ascii="Times New Roman" w:hAnsi="Times New Roman"/>
                <w:sz w:val="20"/>
              </w:rPr>
              <w:t>**Dates and Ownership**</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`birth_date`</w:t>
            </w:r>
          </w:p>
        </w:tc>
        <w:tc>
          <w:tcPr>
            <w:tcW w:type="dxa" w:w="1758"/>
          </w:tcPr>
          <w:p>
            <w:r>
              <w:rPr>
                <w:rFonts w:ascii="Times New Roman" w:hAnsi="Times New Roman"/>
                <w:sz w:val="20"/>
              </w:rPr>
              <w:t>DATE</w:t>
            </w:r>
          </w:p>
        </w:tc>
        <w:tc>
          <w:tcPr>
            <w:tcW w:type="dxa" w:w="1758"/>
          </w:tcPr>
          <w:p>
            <w:r>
              <w:rPr>
                <w:rFonts w:ascii="Times New Roman" w:hAnsi="Times New Roman"/>
                <w:sz w:val="20"/>
              </w:rPr>
            </w:r>
          </w:p>
        </w:tc>
        <w:tc>
          <w:tcPr>
            <w:tcW w:type="dxa" w:w="1758"/>
          </w:tcPr>
          <w:p>
            <w:r>
              <w:rPr>
                <w:rFonts w:ascii="Times New Roman" w:hAnsi="Times New Roman"/>
                <w:sz w:val="20"/>
              </w:rPr>
              <w:t>Launch date of the DApp</w:t>
            </w:r>
          </w:p>
        </w:tc>
        <w:tc>
          <w:tcPr>
            <w:tcW w:type="dxa" w:w="1758"/>
          </w:tcPr>
          <w:p>
            <w:r>
              <w:rPr>
                <w:rFonts w:ascii="Times New Roman" w:hAnsi="Times New Roman"/>
                <w:sz w:val="20"/>
              </w:rPr>
              <w:t>DappRadar</w:t>
            </w:r>
          </w:p>
        </w:tc>
      </w:tr>
      <w:tr>
        <w:tc>
          <w:tcPr>
            <w:tcW w:type="dxa" w:w="1758"/>
          </w:tcPr>
          <w:p>
            <w:r>
              <w:rPr>
                <w:rFonts w:ascii="Times New Roman" w:hAnsi="Times New Roman"/>
                <w:sz w:val="20"/>
              </w:rPr>
              <w:t>**Financial Data**</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`capital_raised`</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Amount of capital raised</w:t>
            </w:r>
          </w:p>
        </w:tc>
        <w:tc>
          <w:tcPr>
            <w:tcW w:type="dxa" w:w="1758"/>
          </w:tcPr>
          <w:p>
            <w:r>
              <w:rPr>
                <w:rFonts w:ascii="Times New Roman" w:hAnsi="Times New Roman"/>
                <w:sz w:val="20"/>
              </w:rPr>
              <w:t>DeFiLlama</w:t>
            </w:r>
          </w:p>
        </w:tc>
      </w:tr>
      <w:tr>
        <w:tc>
          <w:tcPr>
            <w:tcW w:type="dxa" w:w="1758"/>
          </w:tcPr>
          <w:p>
            <w:r>
              <w:rPr>
                <w:rFonts w:ascii="Times New Roman" w:hAnsi="Times New Roman"/>
                <w:sz w:val="20"/>
              </w:rPr>
              <w:t>**Token Information**</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`token_name`</w:t>
            </w:r>
          </w:p>
        </w:tc>
        <w:tc>
          <w:tcPr>
            <w:tcW w:type="dxa" w:w="1758"/>
          </w:tcPr>
          <w:p>
            <w:r>
              <w:rPr>
                <w:rFonts w:ascii="Times New Roman" w:hAnsi="Times New Roman"/>
                <w:sz w:val="20"/>
              </w:rPr>
              <w:t>VARCHAR(100)</w:t>
            </w:r>
          </w:p>
        </w:tc>
        <w:tc>
          <w:tcPr>
            <w:tcW w:type="dxa" w:w="1758"/>
          </w:tcPr>
          <w:p>
            <w:r>
              <w:rPr>
                <w:rFonts w:ascii="Times New Roman" w:hAnsi="Times New Roman"/>
                <w:sz w:val="20"/>
              </w:rPr>
            </w:r>
          </w:p>
        </w:tc>
        <w:tc>
          <w:tcPr>
            <w:tcW w:type="dxa" w:w="1758"/>
          </w:tcPr>
          <w:p>
            <w:r>
              <w:rPr>
                <w:rFonts w:ascii="Times New Roman" w:hAnsi="Times New Roman"/>
                <w:sz w:val="20"/>
              </w:rPr>
              <w:t>Primary token name</w:t>
            </w:r>
          </w:p>
        </w:tc>
        <w:tc>
          <w:tcPr>
            <w:tcW w:type="dxa" w:w="1758"/>
          </w:tcPr>
          <w:p>
            <w:r>
              <w:rPr>
                <w:rFonts w:ascii="Times New Roman" w:hAnsi="Times New Roman"/>
                <w:sz w:val="20"/>
              </w:rPr>
              <w:t>DappRadar</w:t>
            </w:r>
          </w:p>
        </w:tc>
      </w:tr>
      <w:tr>
        <w:tc>
          <w:tcPr>
            <w:tcW w:type="dxa" w:w="1758"/>
          </w:tcPr>
          <w:p>
            <w:r>
              <w:rPr>
                <w:rFonts w:ascii="Times New Roman" w:hAnsi="Times New Roman"/>
                <w:sz w:val="20"/>
              </w:rPr>
              <w:t>`token_symbol`</w:t>
            </w:r>
          </w:p>
        </w:tc>
        <w:tc>
          <w:tcPr>
            <w:tcW w:type="dxa" w:w="1758"/>
          </w:tcPr>
          <w:p>
            <w:r>
              <w:rPr>
                <w:rFonts w:ascii="Times New Roman" w:hAnsi="Times New Roman"/>
                <w:sz w:val="20"/>
              </w:rPr>
              <w:t>VARCHAR(20)</w:t>
            </w:r>
          </w:p>
        </w:tc>
        <w:tc>
          <w:tcPr>
            <w:tcW w:type="dxa" w:w="1758"/>
          </w:tcPr>
          <w:p>
            <w:r>
              <w:rPr>
                <w:rFonts w:ascii="Times New Roman" w:hAnsi="Times New Roman"/>
                <w:sz w:val="20"/>
              </w:rPr>
            </w:r>
          </w:p>
        </w:tc>
        <w:tc>
          <w:tcPr>
            <w:tcW w:type="dxa" w:w="1758"/>
          </w:tcPr>
          <w:p>
            <w:r>
              <w:rPr>
                <w:rFonts w:ascii="Times New Roman" w:hAnsi="Times New Roman"/>
                <w:sz w:val="20"/>
              </w:rPr>
              <w:t>Primary token symbol</w:t>
            </w:r>
          </w:p>
        </w:tc>
        <w:tc>
          <w:tcPr>
            <w:tcW w:type="dxa" w:w="1758"/>
          </w:tcPr>
          <w:p>
            <w:r>
              <w:rPr>
                <w:rFonts w:ascii="Times New Roman" w:hAnsi="Times New Roman"/>
                <w:sz w:val="20"/>
              </w:rPr>
              <w:t>DappRadar</w:t>
            </w:r>
          </w:p>
        </w:tc>
      </w:tr>
      <w:tr>
        <w:tc>
          <w:tcPr>
            <w:tcW w:type="dxa" w:w="1758"/>
          </w:tcPr>
          <w:p>
            <w:r>
              <w:rPr>
                <w:rFonts w:ascii="Times New Roman" w:hAnsi="Times New Roman"/>
                <w:sz w:val="20"/>
              </w:rPr>
              <w:t>`token_format`</w:t>
            </w:r>
          </w:p>
        </w:tc>
        <w:tc>
          <w:tcPr>
            <w:tcW w:type="dxa" w:w="1758"/>
          </w:tcPr>
          <w:p>
            <w:r>
              <w:rPr>
                <w:rFonts w:ascii="Times New Roman" w:hAnsi="Times New Roman"/>
                <w:sz w:val="20"/>
              </w:rPr>
              <w:t>VARCHAR(50)</w:t>
            </w:r>
          </w:p>
        </w:tc>
        <w:tc>
          <w:tcPr>
            <w:tcW w:type="dxa" w:w="1758"/>
          </w:tcPr>
          <w:p>
            <w:r>
              <w:rPr>
                <w:rFonts w:ascii="Times New Roman" w:hAnsi="Times New Roman"/>
                <w:sz w:val="20"/>
              </w:rPr>
            </w:r>
          </w:p>
        </w:tc>
        <w:tc>
          <w:tcPr>
            <w:tcW w:type="dxa" w:w="1758"/>
          </w:tcPr>
          <w:p>
            <w:r>
              <w:rPr>
                <w:rFonts w:ascii="Times New Roman" w:hAnsi="Times New Roman"/>
                <w:sz w:val="20"/>
              </w:rPr>
              <w:t>Token format (ERC-20, BEP-20, etc.)</w:t>
            </w:r>
          </w:p>
        </w:tc>
        <w:tc>
          <w:tcPr>
            <w:tcW w:type="dxa" w:w="1758"/>
          </w:tcPr>
          <w:p>
            <w:r>
              <w:rPr>
                <w:rFonts w:ascii="Times New Roman" w:hAnsi="Times New Roman"/>
                <w:sz w:val="20"/>
              </w:rPr>
              <w:t>DappRadar</w:t>
            </w:r>
          </w:p>
        </w:tc>
      </w:tr>
      <w:tr>
        <w:tc>
          <w:tcPr>
            <w:tcW w:type="dxa" w:w="1758"/>
          </w:tcPr>
          <w:p>
            <w:r>
              <w:rPr>
                <w:rFonts w:ascii="Times New Roman" w:hAnsi="Times New Roman"/>
                <w:sz w:val="20"/>
              </w:rPr>
              <w:t>**🏛️ Governance &amp; Ownership (ENUM Types)**</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`governance_type`</w:t>
            </w:r>
          </w:p>
        </w:tc>
        <w:tc>
          <w:tcPr>
            <w:tcW w:type="dxa" w:w="1758"/>
          </w:tcPr>
          <w:p>
            <w:r>
              <w:rPr>
                <w:rFonts w:ascii="Times New Roman" w:hAnsi="Times New Roman"/>
                <w:sz w:val="20"/>
              </w:rPr>
              <w:t>governance_type_enum</w:t>
            </w:r>
          </w:p>
        </w:tc>
        <w:tc>
          <w:tcPr>
            <w:tcW w:type="dxa" w:w="1758"/>
          </w:tcPr>
          <w:p>
            <w:r>
              <w:rPr>
                <w:rFonts w:ascii="Times New Roman" w:hAnsi="Times New Roman"/>
                <w:sz w:val="20"/>
              </w:rPr>
            </w:r>
          </w:p>
        </w:tc>
        <w:tc>
          <w:tcPr>
            <w:tcW w:type="dxa" w:w="1758"/>
          </w:tcPr>
          <w:p>
            <w:r>
              <w:rPr>
                <w:rFonts w:ascii="Times New Roman" w:hAnsi="Times New Roman"/>
                <w:sz w:val="20"/>
              </w:rPr>
              <w:t>**Governance model** (see values below)</w:t>
            </w:r>
          </w:p>
        </w:tc>
        <w:tc>
          <w:tcPr>
            <w:tcW w:type="dxa" w:w="1758"/>
          </w:tcPr>
          <w:p>
            <w:r>
              <w:rPr>
                <w:rFonts w:ascii="Times New Roman" w:hAnsi="Times New Roman"/>
                <w:sz w:val="20"/>
              </w:rPr>
              <w:t>Manual/Research</w:t>
            </w:r>
          </w:p>
        </w:tc>
      </w:tr>
      <w:tr>
        <w:tc>
          <w:tcPr>
            <w:tcW w:type="dxa" w:w="1758"/>
          </w:tcPr>
          <w:p>
            <w:r>
              <w:rPr>
                <w:rFonts w:ascii="Times New Roman" w:hAnsi="Times New Roman"/>
                <w:sz w:val="20"/>
              </w:rPr>
              <w:t>`ownership_status`</w:t>
            </w:r>
          </w:p>
        </w:tc>
        <w:tc>
          <w:tcPr>
            <w:tcW w:type="dxa" w:w="1758"/>
          </w:tcPr>
          <w:p>
            <w:r>
              <w:rPr>
                <w:rFonts w:ascii="Times New Roman" w:hAnsi="Times New Roman"/>
                <w:sz w:val="20"/>
              </w:rPr>
              <w:t>ownership_status_enum</w:t>
            </w:r>
          </w:p>
        </w:tc>
        <w:tc>
          <w:tcPr>
            <w:tcW w:type="dxa" w:w="1758"/>
          </w:tcPr>
          <w:p>
            <w:r>
              <w:rPr>
                <w:rFonts w:ascii="Times New Roman" w:hAnsi="Times New Roman"/>
                <w:sz w:val="20"/>
              </w:rPr>
            </w:r>
          </w:p>
        </w:tc>
        <w:tc>
          <w:tcPr>
            <w:tcW w:type="dxa" w:w="1758"/>
          </w:tcPr>
          <w:p>
            <w:r>
              <w:rPr>
                <w:rFonts w:ascii="Times New Roman" w:hAnsi="Times New Roman"/>
                <w:sz w:val="20"/>
              </w:rPr>
              <w:t>**Ownership structure** (see values below)</w:t>
            </w:r>
          </w:p>
        </w:tc>
        <w:tc>
          <w:tcPr>
            <w:tcW w:type="dxa" w:w="1758"/>
          </w:tcPr>
          <w:p>
            <w:r>
              <w:rPr>
                <w:rFonts w:ascii="Times New Roman" w:hAnsi="Times New Roman"/>
                <w:sz w:val="20"/>
              </w:rPr>
              <w:t>Manual/Research</w:t>
            </w:r>
          </w:p>
        </w:tc>
      </w:tr>
      <w:tr>
        <w:tc>
          <w:tcPr>
            <w:tcW w:type="dxa" w:w="1758"/>
          </w:tcPr>
          <w:p>
            <w:r>
              <w:rPr>
                <w:rFonts w:ascii="Times New Roman" w:hAnsi="Times New Roman"/>
                <w:sz w:val="20"/>
              </w:rPr>
              <w:t>`level_of_decentralisation`</w:t>
            </w:r>
          </w:p>
        </w:tc>
        <w:tc>
          <w:tcPr>
            <w:tcW w:type="dxa" w:w="1758"/>
          </w:tcPr>
          <w:p>
            <w:r>
              <w:rPr>
                <w:rFonts w:ascii="Times New Roman" w:hAnsi="Times New Roman"/>
                <w:sz w:val="20"/>
              </w:rPr>
              <w:t>decentralisation_level_enum</w:t>
            </w:r>
          </w:p>
        </w:tc>
        <w:tc>
          <w:tcPr>
            <w:tcW w:type="dxa" w:w="1758"/>
          </w:tcPr>
          <w:p>
            <w:r>
              <w:rPr>
                <w:rFonts w:ascii="Times New Roman" w:hAnsi="Times New Roman"/>
                <w:sz w:val="20"/>
              </w:rPr>
            </w:r>
          </w:p>
        </w:tc>
        <w:tc>
          <w:tcPr>
            <w:tcW w:type="dxa" w:w="1758"/>
          </w:tcPr>
          <w:p>
            <w:r>
              <w:rPr>
                <w:rFonts w:ascii="Times New Roman" w:hAnsi="Times New Roman"/>
                <w:sz w:val="20"/>
              </w:rPr>
              <w:t>**Decentralization level** (see values below)</w:t>
            </w:r>
          </w:p>
        </w:tc>
        <w:tc>
          <w:tcPr>
            <w:tcW w:type="dxa" w:w="1758"/>
          </w:tcPr>
          <w:p>
            <w:r>
              <w:rPr>
                <w:rFonts w:ascii="Times New Roman" w:hAnsi="Times New Roman"/>
                <w:sz w:val="20"/>
              </w:rPr>
              <w:t>Manual/Research</w:t>
            </w:r>
          </w:p>
        </w:tc>
      </w:tr>
      <w:tr>
        <w:tc>
          <w:tcPr>
            <w:tcW w:type="dxa" w:w="1758"/>
          </w:tcPr>
          <w:p>
            <w:r>
              <w:rPr>
                <w:rFonts w:ascii="Times New Roman" w:hAnsi="Times New Roman"/>
                <w:sz w:val="20"/>
              </w:rPr>
              <w:t>`research_comments`</w:t>
            </w:r>
          </w:p>
        </w:tc>
        <w:tc>
          <w:tcPr>
            <w:tcW w:type="dxa" w:w="1758"/>
          </w:tcPr>
          <w:p>
            <w:r>
              <w:rPr>
                <w:rFonts w:ascii="Times New Roman" w:hAnsi="Times New Roman"/>
                <w:sz w:val="20"/>
              </w:rPr>
              <w:t>TEXT</w:t>
            </w:r>
          </w:p>
        </w:tc>
        <w:tc>
          <w:tcPr>
            <w:tcW w:type="dxa" w:w="1758"/>
          </w:tcPr>
          <w:p>
            <w:r>
              <w:rPr>
                <w:rFonts w:ascii="Times New Roman" w:hAnsi="Times New Roman"/>
                <w:sz w:val="20"/>
              </w:rPr>
            </w:r>
          </w:p>
        </w:tc>
        <w:tc>
          <w:tcPr>
            <w:tcW w:type="dxa" w:w="1758"/>
          </w:tcPr>
          <w:p>
            <w:r>
              <w:rPr>
                <w:rFonts w:ascii="Times New Roman" w:hAnsi="Times New Roman"/>
                <w:sz w:val="20"/>
              </w:rPr>
              <w:t>Research notes and comments about the DApp</w:t>
            </w:r>
          </w:p>
        </w:tc>
        <w:tc>
          <w:tcPr>
            <w:tcW w:type="dxa" w:w="1758"/>
          </w:tcPr>
          <w:p>
            <w:r>
              <w:rPr>
                <w:rFonts w:ascii="Times New Roman" w:hAnsi="Times New Roman"/>
                <w:sz w:val="20"/>
              </w:rPr>
              <w:t>Manual/Research</w:t>
            </w:r>
          </w:p>
        </w:tc>
      </w:tr>
      <w:tr>
        <w:tc>
          <w:tcPr>
            <w:tcW w:type="dxa" w:w="1758"/>
          </w:tcPr>
          <w:p>
            <w:r>
              <w:rPr>
                <w:rFonts w:ascii="Times New Roman" w:hAnsi="Times New Roman"/>
                <w:sz w:val="20"/>
              </w:rPr>
              <w:t>**DApp Metrics**</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`tvl`</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Total Value Locked in USD</w:t>
            </w:r>
          </w:p>
        </w:tc>
        <w:tc>
          <w:tcPr>
            <w:tcW w:type="dxa" w:w="1758"/>
          </w:tcPr>
          <w:p>
            <w:r>
              <w:rPr>
                <w:rFonts w:ascii="Times New Roman" w:hAnsi="Times New Roman"/>
                <w:sz w:val="20"/>
              </w:rPr>
              <w:t>DeFiLlama</w:t>
            </w:r>
          </w:p>
        </w:tc>
      </w:tr>
      <w:tr>
        <w:tc>
          <w:tcPr>
            <w:tcW w:type="dxa" w:w="1758"/>
          </w:tcPr>
          <w:p>
            <w:r>
              <w:rPr>
                <w:rFonts w:ascii="Times New Roman" w:hAnsi="Times New Roman"/>
                <w:sz w:val="20"/>
              </w:rPr>
              <w:t>`tvl_ratio`</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TVL ratio metric</w:t>
            </w:r>
          </w:p>
        </w:tc>
        <w:tc>
          <w:tcPr>
            <w:tcW w:type="dxa" w:w="1758"/>
          </w:tcPr>
          <w:p>
            <w:r>
              <w:rPr>
                <w:rFonts w:ascii="Times New Roman" w:hAnsi="Times New Roman"/>
                <w:sz w:val="20"/>
              </w:rPr>
              <w:t>Calculated</w:t>
            </w:r>
          </w:p>
        </w:tc>
      </w:tr>
      <w:tr>
        <w:tc>
          <w:tcPr>
            <w:tcW w:type="dxa" w:w="1758"/>
          </w:tcPr>
          <w:p>
            <w:r>
              <w:rPr>
                <w:rFonts w:ascii="Times New Roman" w:hAnsi="Times New Roman"/>
                <w:sz w:val="20"/>
              </w:rPr>
              <w:t>`users`</w:t>
            </w:r>
          </w:p>
        </w:tc>
        <w:tc>
          <w:tcPr>
            <w:tcW w:type="dxa" w:w="1758"/>
          </w:tcPr>
          <w:p>
            <w:r>
              <w:rPr>
                <w:rFonts w:ascii="Times New Roman" w:hAnsi="Times New Roman"/>
                <w:sz w:val="20"/>
              </w:rPr>
              <w:t>BIGINT</w:t>
            </w:r>
          </w:p>
        </w:tc>
        <w:tc>
          <w:tcPr>
            <w:tcW w:type="dxa" w:w="1758"/>
          </w:tcPr>
          <w:p>
            <w:r>
              <w:rPr>
                <w:rFonts w:ascii="Times New Roman" w:hAnsi="Times New Roman"/>
                <w:sz w:val="20"/>
              </w:rPr>
              <w:t>DEFAULT 0</w:t>
            </w:r>
          </w:p>
        </w:tc>
        <w:tc>
          <w:tcPr>
            <w:tcW w:type="dxa" w:w="1758"/>
          </w:tcPr>
          <w:p>
            <w:r>
              <w:rPr>
                <w:rFonts w:ascii="Times New Roman" w:hAnsi="Times New Roman"/>
                <w:sz w:val="20"/>
              </w:rPr>
              <w:t>Unique active wallets</w:t>
            </w:r>
          </w:p>
        </w:tc>
        <w:tc>
          <w:tcPr>
            <w:tcW w:type="dxa" w:w="1758"/>
          </w:tcPr>
          <w:p>
            <w:r>
              <w:rPr>
                <w:rFonts w:ascii="Times New Roman" w:hAnsi="Times New Roman"/>
                <w:sz w:val="20"/>
              </w:rPr>
              <w:t>DappRadar</w:t>
            </w:r>
          </w:p>
        </w:tc>
      </w:tr>
      <w:tr>
        <w:tc>
          <w:tcPr>
            <w:tcW w:type="dxa" w:w="1758"/>
          </w:tcPr>
          <w:p>
            <w:r>
              <w:rPr>
                <w:rFonts w:ascii="Times New Roman" w:hAnsi="Times New Roman"/>
                <w:sz w:val="20"/>
              </w:rPr>
              <w:t>`volume`</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Trading/transaction volume in USD</w:t>
            </w:r>
          </w:p>
        </w:tc>
        <w:tc>
          <w:tcPr>
            <w:tcW w:type="dxa" w:w="1758"/>
          </w:tcPr>
          <w:p>
            <w:r>
              <w:rPr>
                <w:rFonts w:ascii="Times New Roman" w:hAnsi="Times New Roman"/>
                <w:sz w:val="20"/>
              </w:rPr>
              <w:t>DappRadar</w:t>
            </w:r>
          </w:p>
        </w:tc>
      </w:tr>
      <w:tr>
        <w:tc>
          <w:tcPr>
            <w:tcW w:type="dxa" w:w="1758"/>
          </w:tcPr>
          <w:p>
            <w:r>
              <w:rPr>
                <w:rFonts w:ascii="Times New Roman" w:hAnsi="Times New Roman"/>
                <w:sz w:val="20"/>
              </w:rPr>
              <w:t>`transactions`</w:t>
            </w:r>
          </w:p>
        </w:tc>
        <w:tc>
          <w:tcPr>
            <w:tcW w:type="dxa" w:w="1758"/>
          </w:tcPr>
          <w:p>
            <w:r>
              <w:rPr>
                <w:rFonts w:ascii="Times New Roman" w:hAnsi="Times New Roman"/>
                <w:sz w:val="20"/>
              </w:rPr>
              <w:t>BIGINT</w:t>
            </w:r>
          </w:p>
        </w:tc>
        <w:tc>
          <w:tcPr>
            <w:tcW w:type="dxa" w:w="1758"/>
          </w:tcPr>
          <w:p>
            <w:r>
              <w:rPr>
                <w:rFonts w:ascii="Times New Roman" w:hAnsi="Times New Roman"/>
                <w:sz w:val="20"/>
              </w:rPr>
              <w:t>DEFAULT 0</w:t>
            </w:r>
          </w:p>
        </w:tc>
        <w:tc>
          <w:tcPr>
            <w:tcW w:type="dxa" w:w="1758"/>
          </w:tcPr>
          <w:p>
            <w:r>
              <w:rPr>
                <w:rFonts w:ascii="Times New Roman" w:hAnsi="Times New Roman"/>
                <w:sz w:val="20"/>
              </w:rPr>
              <w:t>Total transaction count</w:t>
            </w:r>
          </w:p>
        </w:tc>
        <w:tc>
          <w:tcPr>
            <w:tcW w:type="dxa" w:w="1758"/>
          </w:tcPr>
          <w:p>
            <w:r>
              <w:rPr>
                <w:rFonts w:ascii="Times New Roman" w:hAnsi="Times New Roman"/>
                <w:sz w:val="20"/>
              </w:rPr>
              <w:t>DappRadar</w:t>
            </w:r>
          </w:p>
        </w:tc>
      </w:tr>
      <w:tr>
        <w:tc>
          <w:tcPr>
            <w:tcW w:type="dxa" w:w="1758"/>
          </w:tcPr>
          <w:p>
            <w:r>
              <w:rPr>
                <w:rFonts w:ascii="Times New Roman" w:hAnsi="Times New Roman"/>
                <w:sz w:val="20"/>
              </w:rPr>
              <w:t>`market_cap`</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Market capitalization</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`mcap`</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Market cap (alternative field)</w:t>
            </w:r>
          </w:p>
        </w:tc>
        <w:tc>
          <w:tcPr>
            <w:tcW w:type="dxa" w:w="1758"/>
          </w:tcPr>
          <w:p>
            <w:r>
              <w:rPr>
                <w:rFonts w:ascii="Times New Roman" w:hAnsi="Times New Roman"/>
                <w:sz w:val="20"/>
              </w:rPr>
              <w:t>CoinGecko</w:t>
            </w:r>
          </w:p>
        </w:tc>
      </w:tr>
      <w:tr>
        <w:tc>
          <w:tcPr>
            <w:tcW w:type="dxa" w:w="1758"/>
          </w:tcPr>
          <w:p>
            <w:r>
              <w:rPr>
                <w:rFonts w:ascii="Times New Roman" w:hAnsi="Times New Roman"/>
                <w:sz w:val="20"/>
              </w:rPr>
              <w:t>**Token Supply &amp; Market Data**</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`circulating_supply`</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Circulating token supply</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`total_supply`</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Total token supply</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`max_supply`</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Maximum token supply</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**Price and Market Data**</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`price`</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Current token price in USD</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`volume_24h`</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24-hour trading volume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`volume_change_24h`</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24-hour volume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`percent_change_1h`</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1-hour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`percent_change_24h`</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24-hour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`percent_change_7d`</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7-day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`percent_change_30d`</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30-day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`percent_change_60d`</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60-day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`percent_change_90d`</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90-day price change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`cmc_rank`</w:t>
            </w:r>
          </w:p>
        </w:tc>
        <w:tc>
          <w:tcPr>
            <w:tcW w:type="dxa" w:w="1758"/>
          </w:tcPr>
          <w:p>
            <w:r>
              <w:rPr>
                <w:rFonts w:ascii="Times New Roman" w:hAnsi="Times New Roman"/>
                <w:sz w:val="20"/>
              </w:rPr>
              <w:t>INTEGER</w:t>
            </w:r>
          </w:p>
        </w:tc>
        <w:tc>
          <w:tcPr>
            <w:tcW w:type="dxa" w:w="1758"/>
          </w:tcPr>
          <w:p>
            <w:r>
              <w:rPr>
                <w:rFonts w:ascii="Times New Roman" w:hAnsi="Times New Roman"/>
                <w:sz w:val="20"/>
              </w:rPr>
              <w:t>DEFAULT 0</w:t>
            </w:r>
          </w:p>
        </w:tc>
        <w:tc>
          <w:tcPr>
            <w:tcW w:type="dxa" w:w="1758"/>
          </w:tcPr>
          <w:p>
            <w:r>
              <w:rPr>
                <w:rFonts w:ascii="Times New Roman" w:hAnsi="Times New Roman"/>
                <w:sz w:val="20"/>
              </w:rPr>
              <w:t>CoinMarketCap ranking</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`market_cap_dominance`</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Market cap dominance percentage</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`fully_diluted_market_cap`</w:t>
            </w:r>
          </w:p>
        </w:tc>
        <w:tc>
          <w:tcPr>
            <w:tcW w:type="dxa" w:w="1758"/>
          </w:tcPr>
          <w:p>
            <w:r>
              <w:rPr>
                <w:rFonts w:ascii="Times New Roman" w:hAnsi="Times New Roman"/>
                <w:sz w:val="20"/>
              </w:rPr>
              <w:t>NUMERIC</w:t>
            </w:r>
          </w:p>
        </w:tc>
        <w:tc>
          <w:tcPr>
            <w:tcW w:type="dxa" w:w="1758"/>
          </w:tcPr>
          <w:p>
            <w:r>
              <w:rPr>
                <w:rFonts w:ascii="Times New Roman" w:hAnsi="Times New Roman"/>
                <w:sz w:val="20"/>
              </w:rPr>
              <w:t>DEFAULT 0</w:t>
            </w:r>
          </w:p>
        </w:tc>
        <w:tc>
          <w:tcPr>
            <w:tcW w:type="dxa" w:w="1758"/>
          </w:tcPr>
          <w:p>
            <w:r>
              <w:rPr>
                <w:rFonts w:ascii="Times New Roman" w:hAnsi="Times New Roman"/>
                <w:sz w:val="20"/>
              </w:rPr>
              <w:t>Fully diluted market capitalization</w:t>
            </w:r>
          </w:p>
        </w:tc>
        <w:tc>
          <w:tcPr>
            <w:tcW w:type="dxa" w:w="1758"/>
          </w:tcPr>
          <w:p>
            <w:r>
              <w:rPr>
                <w:rFonts w:ascii="Times New Roman" w:hAnsi="Times New Roman"/>
                <w:sz w:val="20"/>
              </w:rPr>
              <w:t>CoinMarketCap</w:t>
            </w:r>
          </w:p>
        </w:tc>
      </w:tr>
      <w:tr>
        <w:tc>
          <w:tcPr>
            <w:tcW w:type="dxa" w:w="1758"/>
          </w:tcPr>
          <w:p>
            <w:r>
              <w:rPr>
                <w:rFonts w:ascii="Times New Roman" w:hAnsi="Times New Roman"/>
                <w:sz w:val="20"/>
              </w:rPr>
              <w:t>**Timestamps**</w:t>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c>
          <w:tcPr>
            <w:tcW w:type="dxa" w:w="1758"/>
          </w:tcPr>
          <w:p>
            <w:r>
              <w:rPr>
                <w:rFonts w:ascii="Times New Roman" w:hAnsi="Times New Roman"/>
                <w:sz w:val="20"/>
              </w:rPr>
            </w:r>
          </w:p>
        </w:tc>
      </w:tr>
      <w:tr>
        <w:tc>
          <w:tcPr>
            <w:tcW w:type="dxa" w:w="1758"/>
          </w:tcPr>
          <w:p>
            <w:r>
              <w:rPr>
                <w:rFonts w:ascii="Times New Roman" w:hAnsi="Times New Roman"/>
                <w:sz w:val="20"/>
              </w:rPr>
              <w:t>`created_at`</w:t>
            </w:r>
          </w:p>
        </w:tc>
        <w:tc>
          <w:tcPr>
            <w:tcW w:type="dxa" w:w="1758"/>
          </w:tcPr>
          <w:p>
            <w:r>
              <w:rPr>
                <w:rFonts w:ascii="Times New Roman" w:hAnsi="Times New Roman"/>
                <w:sz w:val="20"/>
              </w:rPr>
              <w:t>TIMESTAMP</w:t>
            </w:r>
          </w:p>
        </w:tc>
        <w:tc>
          <w:tcPr>
            <w:tcW w:type="dxa" w:w="1758"/>
          </w:tcPr>
          <w:p>
            <w:r>
              <w:rPr>
                <w:rFonts w:ascii="Times New Roman" w:hAnsi="Times New Roman"/>
                <w:sz w:val="20"/>
              </w:rPr>
              <w:t>DEFAULT CURRENT_TIMESTAMP</w:t>
            </w:r>
          </w:p>
        </w:tc>
        <w:tc>
          <w:tcPr>
            <w:tcW w:type="dxa" w:w="1758"/>
          </w:tcPr>
          <w:p>
            <w:r>
              <w:rPr>
                <w:rFonts w:ascii="Times New Roman" w:hAnsi="Times New Roman"/>
                <w:sz w:val="20"/>
              </w:rPr>
              <w:t>Record creation timestamp</w:t>
            </w:r>
          </w:p>
        </w:tc>
        <w:tc>
          <w:tcPr>
            <w:tcW w:type="dxa" w:w="1758"/>
          </w:tcPr>
          <w:p>
            <w:r>
              <w:rPr>
                <w:rFonts w:ascii="Times New Roman" w:hAnsi="Times New Roman"/>
                <w:sz w:val="20"/>
              </w:rPr>
              <w:t>Auto-generated</w:t>
            </w:r>
          </w:p>
        </w:tc>
      </w:tr>
      <w:tr>
        <w:tc>
          <w:tcPr>
            <w:tcW w:type="dxa" w:w="1758"/>
          </w:tcPr>
          <w:p>
            <w:r>
              <w:rPr>
                <w:rFonts w:ascii="Times New Roman" w:hAnsi="Times New Roman"/>
                <w:sz w:val="20"/>
              </w:rPr>
              <w:t>`updated_at`</w:t>
            </w:r>
          </w:p>
        </w:tc>
        <w:tc>
          <w:tcPr>
            <w:tcW w:type="dxa" w:w="1758"/>
          </w:tcPr>
          <w:p>
            <w:r>
              <w:rPr>
                <w:rFonts w:ascii="Times New Roman" w:hAnsi="Times New Roman"/>
                <w:sz w:val="20"/>
              </w:rPr>
              <w:t>TIMESTAMP</w:t>
            </w:r>
          </w:p>
        </w:tc>
        <w:tc>
          <w:tcPr>
            <w:tcW w:type="dxa" w:w="1758"/>
          </w:tcPr>
          <w:p>
            <w:r>
              <w:rPr>
                <w:rFonts w:ascii="Times New Roman" w:hAnsi="Times New Roman"/>
                <w:sz w:val="20"/>
              </w:rPr>
              <w:t>DEFAULT CURRENT_TIMESTAMP</w:t>
            </w:r>
          </w:p>
        </w:tc>
        <w:tc>
          <w:tcPr>
            <w:tcW w:type="dxa" w:w="1758"/>
          </w:tcPr>
          <w:p>
            <w:r>
              <w:rPr>
                <w:rFonts w:ascii="Times New Roman" w:hAnsi="Times New Roman"/>
                <w:sz w:val="20"/>
              </w:rPr>
              <w:t>Last update timestamp</w:t>
            </w:r>
          </w:p>
        </w:tc>
        <w:tc>
          <w:tcPr>
            <w:tcW w:type="dxa" w:w="1758"/>
          </w:tcPr>
          <w:p>
            <w:r>
              <w:rPr>
                <w:rFonts w:ascii="Times New Roman" w:hAnsi="Times New Roman"/>
                <w:sz w:val="20"/>
              </w:rPr>
              <w:t>Auto-generated</w:t>
            </w:r>
          </w:p>
        </w:tc>
      </w:tr>
    </w:tbl>
    <w:p/>
    <w:p>
      <w:pPr>
        <w:pStyle w:val="Heading2"/>
      </w:pPr>
      <w:r>
        <w:t>🏛️ ENUM Type Values Explained</w:t>
      </w:r>
    </w:p>
    <w:p>
      <w:r>
        <w:t>The database uses PostgreSQL ENUM types to enforce data integrity for governance-related fields:</w:t>
      </w:r>
    </w:p>
    <w:p>
      <w:pPr>
        <w:pStyle w:val="Heading3"/>
      </w:pPr>
      <w:r>
        <w:t>ownership_status_enum</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Description</w:t>
            </w:r>
          </w:p>
        </w:tc>
      </w:tr>
      <w:tr>
        <w:tc>
          <w:tcPr>
            <w:tcW w:type="dxa" w:w="4394"/>
          </w:tcPr>
          <w:p>
            <w:r>
              <w:rPr>
                <w:rFonts w:ascii="Times New Roman" w:hAnsi="Times New Roman"/>
                <w:sz w:val="20"/>
              </w:rPr>
              <w:t>`COMPANY_OWNED`</w:t>
            </w:r>
          </w:p>
        </w:tc>
        <w:tc>
          <w:tcPr>
            <w:tcW w:type="dxa" w:w="4394"/>
          </w:tcPr>
          <w:p>
            <w:r>
              <w:rPr>
                <w:rFonts w:ascii="Times New Roman" w:hAnsi="Times New Roman"/>
                <w:sz w:val="20"/>
              </w:rPr>
              <w:t>Contracts/treasury controlled by a private company</w:t>
            </w:r>
          </w:p>
        </w:tc>
      </w:tr>
      <w:tr>
        <w:tc>
          <w:tcPr>
            <w:tcW w:type="dxa" w:w="4394"/>
          </w:tcPr>
          <w:p>
            <w:r>
              <w:rPr>
                <w:rFonts w:ascii="Times New Roman" w:hAnsi="Times New Roman"/>
                <w:sz w:val="20"/>
              </w:rPr>
              <w:t>`FOUNDATION_OWNED`</w:t>
            </w:r>
          </w:p>
        </w:tc>
        <w:tc>
          <w:tcPr>
            <w:tcW w:type="dxa" w:w="4394"/>
          </w:tcPr>
          <w:p>
            <w:r>
              <w:rPr>
                <w:rFonts w:ascii="Times New Roman" w:hAnsi="Times New Roman"/>
                <w:sz w:val="20"/>
              </w:rPr>
              <w:t>Primary control via non-profit foundation</w:t>
            </w:r>
          </w:p>
        </w:tc>
      </w:tr>
      <w:tr>
        <w:tc>
          <w:tcPr>
            <w:tcW w:type="dxa" w:w="4394"/>
          </w:tcPr>
          <w:p>
            <w:r>
              <w:rPr>
                <w:rFonts w:ascii="Times New Roman" w:hAnsi="Times New Roman"/>
                <w:sz w:val="20"/>
              </w:rPr>
              <w:t>`DAO_OWNED`</w:t>
            </w:r>
          </w:p>
        </w:tc>
        <w:tc>
          <w:tcPr>
            <w:tcW w:type="dxa" w:w="4394"/>
          </w:tcPr>
          <w:p>
            <w:r>
              <w:rPr>
                <w:rFonts w:ascii="Times New Roman" w:hAnsi="Times New Roman"/>
                <w:sz w:val="20"/>
              </w:rPr>
              <w:t>Admin + treasury controlled by on-chain DAO</w:t>
            </w:r>
          </w:p>
        </w:tc>
      </w:tr>
      <w:tr>
        <w:tc>
          <w:tcPr>
            <w:tcW w:type="dxa" w:w="4394"/>
          </w:tcPr>
          <w:p>
            <w:r>
              <w:rPr>
                <w:rFonts w:ascii="Times New Roman" w:hAnsi="Times New Roman"/>
                <w:sz w:val="20"/>
              </w:rPr>
              <w:t>`UNKNOWN`</w:t>
            </w:r>
          </w:p>
        </w:tc>
        <w:tc>
          <w:tcPr>
            <w:tcW w:type="dxa" w:w="4394"/>
          </w:tcPr>
          <w:p>
            <w:r>
              <w:rPr>
                <w:rFonts w:ascii="Times New Roman" w:hAnsi="Times New Roman"/>
                <w:sz w:val="20"/>
              </w:rPr>
              <w:t>Insufficient evidence to determine ownership</w:t>
            </w:r>
          </w:p>
        </w:tc>
      </w:tr>
      <w:tr>
        <w:tc>
          <w:tcPr>
            <w:tcW w:type="dxa" w:w="4394"/>
          </w:tcPr>
          <w:p>
            <w:r>
              <w:rPr>
                <w:rFonts w:ascii="Times New Roman" w:hAnsi="Times New Roman"/>
                <w:sz w:val="20"/>
              </w:rPr>
              <w:t>`MIXED`</w:t>
            </w:r>
          </w:p>
        </w:tc>
        <w:tc>
          <w:tcPr>
            <w:tcW w:type="dxa" w:w="4394"/>
          </w:tcPr>
          <w:p>
            <w:r>
              <w:rPr>
                <w:rFonts w:ascii="Times New Roman" w:hAnsi="Times New Roman"/>
                <w:sz w:val="20"/>
              </w:rPr>
              <w:t>Mixed ownership structure with multiple parties</w:t>
            </w:r>
          </w:p>
        </w:tc>
      </w:tr>
      <w:tr>
        <w:tc>
          <w:tcPr>
            <w:tcW w:type="dxa" w:w="4394"/>
          </w:tcPr>
          <w:p>
            <w:r>
              <w:rPr>
                <w:rFonts w:ascii="Times New Roman" w:hAnsi="Times New Roman"/>
                <w:sz w:val="20"/>
              </w:rPr>
              <w:t>`ORPHANED`</w:t>
            </w:r>
          </w:p>
        </w:tc>
        <w:tc>
          <w:tcPr>
            <w:tcW w:type="dxa" w:w="4394"/>
          </w:tcPr>
          <w:p>
            <w:r>
              <w:rPr>
                <w:rFonts w:ascii="Times New Roman" w:hAnsi="Times New Roman"/>
                <w:sz w:val="20"/>
              </w:rPr>
              <w:t>Abandoned or no clear maintainer</w:t>
            </w:r>
          </w:p>
        </w:tc>
      </w:tr>
    </w:tbl>
    <w:p/>
    <w:p>
      <w:pPr>
        <w:pStyle w:val="Heading3"/>
      </w:pPr>
      <w:r>
        <w:t>governance_type_enum</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Description</w:t>
            </w:r>
          </w:p>
        </w:tc>
      </w:tr>
      <w:tr>
        <w:tc>
          <w:tcPr>
            <w:tcW w:type="dxa" w:w="4394"/>
          </w:tcPr>
          <w:p>
            <w:r>
              <w:rPr>
                <w:rFonts w:ascii="Times New Roman" w:hAnsi="Times New Roman"/>
                <w:sz w:val="20"/>
              </w:rPr>
              <w:t>`NONE`</w:t>
            </w:r>
          </w:p>
        </w:tc>
        <w:tc>
          <w:tcPr>
            <w:tcW w:type="dxa" w:w="4394"/>
          </w:tcPr>
          <w:p>
            <w:r>
              <w:rPr>
                <w:rFonts w:ascii="Times New Roman" w:hAnsi="Times New Roman"/>
                <w:sz w:val="20"/>
              </w:rPr>
              <w:t>No formal governance structure</w:t>
            </w:r>
          </w:p>
        </w:tc>
      </w:tr>
      <w:tr>
        <w:tc>
          <w:tcPr>
            <w:tcW w:type="dxa" w:w="4394"/>
          </w:tcPr>
          <w:p>
            <w:r>
              <w:rPr>
                <w:rFonts w:ascii="Times New Roman" w:hAnsi="Times New Roman"/>
                <w:sz w:val="20"/>
              </w:rPr>
              <w:t>`TEAM_CONTROLLED`</w:t>
            </w:r>
          </w:p>
        </w:tc>
        <w:tc>
          <w:tcPr>
            <w:tcW w:type="dxa" w:w="4394"/>
          </w:tcPr>
          <w:p>
            <w:r>
              <w:rPr>
                <w:rFonts w:ascii="Times New Roman" w:hAnsi="Times New Roman"/>
                <w:sz w:val="20"/>
              </w:rPr>
              <w:t>Core team decides without external input</w:t>
            </w:r>
          </w:p>
        </w:tc>
      </w:tr>
      <w:tr>
        <w:tc>
          <w:tcPr>
            <w:tcW w:type="dxa" w:w="4394"/>
          </w:tcPr>
          <w:p>
            <w:r>
              <w:rPr>
                <w:rFonts w:ascii="Times New Roman" w:hAnsi="Times New Roman"/>
                <w:sz w:val="20"/>
              </w:rPr>
              <w:t>`SNAPSHOT_OFFCHAIN`</w:t>
            </w:r>
          </w:p>
        </w:tc>
        <w:tc>
          <w:tcPr>
            <w:tcW w:type="dxa" w:w="4394"/>
          </w:tcPr>
          <w:p>
            <w:r>
              <w:rPr>
                <w:rFonts w:ascii="Times New Roman" w:hAnsi="Times New Roman"/>
                <w:sz w:val="20"/>
              </w:rPr>
              <w:t>Off-chain snapshot voting for governance</w:t>
            </w:r>
          </w:p>
        </w:tc>
      </w:tr>
      <w:tr>
        <w:tc>
          <w:tcPr>
            <w:tcW w:type="dxa" w:w="4394"/>
          </w:tcPr>
          <w:p>
            <w:r>
              <w:rPr>
                <w:rFonts w:ascii="Times New Roman" w:hAnsi="Times New Roman"/>
                <w:sz w:val="20"/>
              </w:rPr>
              <w:t>`ONCHAIN_TOKEN_GOVERNANCE`</w:t>
            </w:r>
          </w:p>
        </w:tc>
        <w:tc>
          <w:tcPr>
            <w:tcW w:type="dxa" w:w="4394"/>
          </w:tcPr>
          <w:p>
            <w:r>
              <w:rPr>
                <w:rFonts w:ascii="Times New Roman" w:hAnsi="Times New Roman"/>
                <w:sz w:val="20"/>
              </w:rPr>
              <w:t>On-chain token-based governance</w:t>
            </w:r>
          </w:p>
        </w:tc>
      </w:tr>
      <w:tr>
        <w:tc>
          <w:tcPr>
            <w:tcW w:type="dxa" w:w="4394"/>
          </w:tcPr>
          <w:p>
            <w:r>
              <w:rPr>
                <w:rFonts w:ascii="Times New Roman" w:hAnsi="Times New Roman"/>
                <w:sz w:val="20"/>
              </w:rPr>
              <w:t>`HYBRID`</w:t>
            </w:r>
          </w:p>
        </w:tc>
        <w:tc>
          <w:tcPr>
            <w:tcW w:type="dxa" w:w="4394"/>
          </w:tcPr>
          <w:p>
            <w:r>
              <w:rPr>
                <w:rFonts w:ascii="Times New Roman" w:hAnsi="Times New Roman"/>
                <w:sz w:val="20"/>
              </w:rPr>
              <w:t>Hybrid governance combining multiple mechanisms</w:t>
            </w:r>
          </w:p>
        </w:tc>
      </w:tr>
      <w:tr>
        <w:tc>
          <w:tcPr>
            <w:tcW w:type="dxa" w:w="4394"/>
          </w:tcPr>
          <w:p>
            <w:r>
              <w:rPr>
                <w:rFonts w:ascii="Times New Roman" w:hAnsi="Times New Roman"/>
                <w:sz w:val="20"/>
              </w:rPr>
              <w:t>`MULTISIG_WITH_COMMUNITY_INPUT`</w:t>
            </w:r>
          </w:p>
        </w:tc>
        <w:tc>
          <w:tcPr>
            <w:tcW w:type="dxa" w:w="4394"/>
          </w:tcPr>
          <w:p>
            <w:r>
              <w:rPr>
                <w:rFonts w:ascii="Times New Roman" w:hAnsi="Times New Roman"/>
                <w:sz w:val="20"/>
              </w:rPr>
              <w:t>Multisig execution with community input</w:t>
            </w:r>
          </w:p>
        </w:tc>
      </w:tr>
      <w:tr>
        <w:tc>
          <w:tcPr>
            <w:tcW w:type="dxa" w:w="4394"/>
          </w:tcPr>
          <w:p>
            <w:r>
              <w:rPr>
                <w:rFonts w:ascii="Times New Roman" w:hAnsi="Times New Roman"/>
                <w:sz w:val="20"/>
              </w:rPr>
              <w:t>`DAO_WITH_TIMELOCK`</w:t>
            </w:r>
          </w:p>
        </w:tc>
        <w:tc>
          <w:tcPr>
            <w:tcW w:type="dxa" w:w="4394"/>
          </w:tcPr>
          <w:p>
            <w:r>
              <w:rPr>
                <w:rFonts w:ascii="Times New Roman" w:hAnsi="Times New Roman"/>
                <w:sz w:val="20"/>
              </w:rPr>
              <w:t>DAO governance with timelock protection</w:t>
            </w:r>
          </w:p>
        </w:tc>
      </w:tr>
    </w:tbl>
    <w:p/>
    <w:p>
      <w:pPr>
        <w:pStyle w:val="Heading3"/>
      </w:pPr>
      <w:r>
        <w:t>decentralisation_level_enum</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Value</w:t>
            </w:r>
          </w:p>
        </w:tc>
        <w:tc>
          <w:tcPr>
            <w:tcW w:type="dxa" w:w="4394"/>
          </w:tcPr>
          <w:p>
            <w:r>
              <w:rPr>
                <w:rFonts w:ascii="Times New Roman" w:hAnsi="Times New Roman"/>
                <w:b/>
                <w:sz w:val="20"/>
              </w:rPr>
              <w:t>Description</w:t>
            </w:r>
          </w:p>
        </w:tc>
      </w:tr>
      <w:tr>
        <w:tc>
          <w:tcPr>
            <w:tcW w:type="dxa" w:w="4394"/>
          </w:tcPr>
          <w:p>
            <w:r>
              <w:rPr>
                <w:rFonts w:ascii="Times New Roman" w:hAnsi="Times New Roman"/>
                <w:sz w:val="20"/>
              </w:rPr>
              <w:t>`CENTRALIZED`</w:t>
            </w:r>
          </w:p>
        </w:tc>
        <w:tc>
          <w:tcPr>
            <w:tcW w:type="dxa" w:w="4394"/>
          </w:tcPr>
          <w:p>
            <w:r>
              <w:rPr>
                <w:rFonts w:ascii="Times New Roman" w:hAnsi="Times New Roman"/>
                <w:sz w:val="20"/>
              </w:rPr>
              <w:t>Centralized control and decision-making</w:t>
            </w:r>
          </w:p>
        </w:tc>
      </w:tr>
      <w:tr>
        <w:tc>
          <w:tcPr>
            <w:tcW w:type="dxa" w:w="4394"/>
          </w:tcPr>
          <w:p>
            <w:r>
              <w:rPr>
                <w:rFonts w:ascii="Times New Roman" w:hAnsi="Times New Roman"/>
                <w:sz w:val="20"/>
              </w:rPr>
              <w:t>`SEMI_DECENTRALIZED`</w:t>
            </w:r>
          </w:p>
        </w:tc>
        <w:tc>
          <w:tcPr>
            <w:tcW w:type="dxa" w:w="4394"/>
          </w:tcPr>
          <w:p>
            <w:r>
              <w:rPr>
                <w:rFonts w:ascii="Times New Roman" w:hAnsi="Times New Roman"/>
                <w:sz w:val="20"/>
              </w:rPr>
              <w:t>Mixed centralized and decentralized elements</w:t>
            </w:r>
          </w:p>
        </w:tc>
      </w:tr>
      <w:tr>
        <w:tc>
          <w:tcPr>
            <w:tcW w:type="dxa" w:w="4394"/>
          </w:tcPr>
          <w:p>
            <w:r>
              <w:rPr>
                <w:rFonts w:ascii="Times New Roman" w:hAnsi="Times New Roman"/>
                <w:sz w:val="20"/>
              </w:rPr>
              <w:t>`DECENTRALIZED`</w:t>
            </w:r>
          </w:p>
        </w:tc>
        <w:tc>
          <w:tcPr>
            <w:tcW w:type="dxa" w:w="4394"/>
          </w:tcPr>
          <w:p>
            <w:r>
              <w:rPr>
                <w:rFonts w:ascii="Times New Roman" w:hAnsi="Times New Roman"/>
                <w:sz w:val="20"/>
              </w:rPr>
              <w:t>Fully decentralized governance and control</w:t>
            </w:r>
          </w:p>
        </w:tc>
      </w:tr>
    </w:tbl>
    <w:p/>
    <w:p>
      <w:pPr>
        <w:pStyle w:val="Heading2"/>
      </w:pPr>
      <w:r>
        <w:t>Other Database Tables</w:t>
      </w:r>
    </w:p>
    <w:p>
      <w:pPr>
        <w:pStyle w:val="Heading3"/>
      </w:pPr>
      <w:r>
        <w:t>Categories Table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Column</w:t>
            </w:r>
          </w:p>
        </w:tc>
        <w:tc>
          <w:tcPr>
            <w:tcW w:type="dxa" w:w="2197"/>
          </w:tcPr>
          <w:p>
            <w:r>
              <w:rPr>
                <w:rFonts w:ascii="Times New Roman" w:hAnsi="Times New Roman"/>
                <w:b/>
                <w:sz w:val="20"/>
              </w:rPr>
              <w:t>Type</w:t>
            </w:r>
          </w:p>
        </w:tc>
        <w:tc>
          <w:tcPr>
            <w:tcW w:type="dxa" w:w="2197"/>
          </w:tcPr>
          <w:p>
            <w:r>
              <w:rPr>
                <w:rFonts w:ascii="Times New Roman" w:hAnsi="Times New Roman"/>
                <w:b/>
                <w:sz w:val="20"/>
              </w:rPr>
              <w:t>Constraints</w:t>
            </w:r>
          </w:p>
        </w:tc>
        <w:tc>
          <w:tcPr>
            <w:tcW w:type="dxa" w:w="2197"/>
          </w:tcPr>
          <w:p>
            <w:r>
              <w:rPr>
                <w:rFonts w:ascii="Times New Roman" w:hAnsi="Times New Roman"/>
                <w:b/>
                <w:sz w:val="20"/>
              </w:rPr>
              <w:t>Description</w:t>
            </w:r>
          </w:p>
        </w:tc>
      </w:tr>
      <w:tr>
        <w:tc>
          <w:tcPr>
            <w:tcW w:type="dxa" w:w="2197"/>
          </w:tcPr>
          <w:p>
            <w:r>
              <w:rPr>
                <w:rFonts w:ascii="Times New Roman" w:hAnsi="Times New Roman"/>
                <w:sz w:val="20"/>
              </w:rPr>
              <w:t>`id`</w:t>
            </w:r>
          </w:p>
        </w:tc>
        <w:tc>
          <w:tcPr>
            <w:tcW w:type="dxa" w:w="2197"/>
          </w:tcPr>
          <w:p>
            <w:r>
              <w:rPr>
                <w:rFonts w:ascii="Times New Roman" w:hAnsi="Times New Roman"/>
                <w:sz w:val="20"/>
              </w:rPr>
              <w:t>SERIAL</w:t>
            </w:r>
          </w:p>
        </w:tc>
        <w:tc>
          <w:tcPr>
            <w:tcW w:type="dxa" w:w="2197"/>
          </w:tcPr>
          <w:p>
            <w:r>
              <w:rPr>
                <w:rFonts w:ascii="Times New Roman" w:hAnsi="Times New Roman"/>
                <w:sz w:val="20"/>
              </w:rPr>
              <w:t>PRIMARY KEY</w:t>
            </w:r>
          </w:p>
        </w:tc>
        <w:tc>
          <w:tcPr>
            <w:tcW w:type="dxa" w:w="2197"/>
          </w:tcPr>
          <w:p>
            <w:r>
              <w:rPr>
                <w:rFonts w:ascii="Times New Roman" w:hAnsi="Times New Roman"/>
                <w:sz w:val="20"/>
              </w:rPr>
              <w:t>Unique category identifier</w:t>
            </w:r>
          </w:p>
        </w:tc>
      </w:tr>
      <w:tr>
        <w:tc>
          <w:tcPr>
            <w:tcW w:type="dxa" w:w="2197"/>
          </w:tcPr>
          <w:p>
            <w:r>
              <w:rPr>
                <w:rFonts w:ascii="Times New Roman" w:hAnsi="Times New Roman"/>
                <w:sz w:val="20"/>
              </w:rPr>
              <w:t>`name`</w:t>
            </w:r>
          </w:p>
        </w:tc>
        <w:tc>
          <w:tcPr>
            <w:tcW w:type="dxa" w:w="2197"/>
          </w:tcPr>
          <w:p>
            <w:r>
              <w:rPr>
                <w:rFonts w:ascii="Times New Roman" w:hAnsi="Times New Roman"/>
                <w:sz w:val="20"/>
              </w:rPr>
              <w:t>VARCHAR(100)</w:t>
            </w:r>
          </w:p>
        </w:tc>
        <w:tc>
          <w:tcPr>
            <w:tcW w:type="dxa" w:w="2197"/>
          </w:tcPr>
          <w:p>
            <w:r>
              <w:rPr>
                <w:rFonts w:ascii="Times New Roman" w:hAnsi="Times New Roman"/>
                <w:sz w:val="20"/>
              </w:rPr>
              <w:t>UNIQUE NOT NULL</w:t>
            </w:r>
          </w:p>
        </w:tc>
        <w:tc>
          <w:tcPr>
            <w:tcW w:type="dxa" w:w="2197"/>
          </w:tcPr>
          <w:p>
            <w:r>
              <w:rPr>
                <w:rFonts w:ascii="Times New Roman" w:hAnsi="Times New Roman"/>
                <w:sz w:val="20"/>
              </w:rPr>
              <w:t>Category name (e.g., "DeFi", "Gaming", "NFT")</w:t>
            </w:r>
          </w:p>
        </w:tc>
      </w:tr>
    </w:tbl>
    <w:p/>
    <w:p>
      <w:pPr>
        <w:pStyle w:val="Heading3"/>
      </w:pPr>
      <w:r>
        <w:t>TVL Historical Table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Column</w:t>
            </w:r>
          </w:p>
        </w:tc>
        <w:tc>
          <w:tcPr>
            <w:tcW w:type="dxa" w:w="2197"/>
          </w:tcPr>
          <w:p>
            <w:r>
              <w:rPr>
                <w:rFonts w:ascii="Times New Roman" w:hAnsi="Times New Roman"/>
                <w:b/>
                <w:sz w:val="20"/>
              </w:rPr>
              <w:t>Type</w:t>
            </w:r>
          </w:p>
        </w:tc>
        <w:tc>
          <w:tcPr>
            <w:tcW w:type="dxa" w:w="2197"/>
          </w:tcPr>
          <w:p>
            <w:r>
              <w:rPr>
                <w:rFonts w:ascii="Times New Roman" w:hAnsi="Times New Roman"/>
                <w:b/>
                <w:sz w:val="20"/>
              </w:rPr>
              <w:t>Constraints</w:t>
            </w:r>
          </w:p>
        </w:tc>
        <w:tc>
          <w:tcPr>
            <w:tcW w:type="dxa" w:w="2197"/>
          </w:tcPr>
          <w:p>
            <w:r>
              <w:rPr>
                <w:rFonts w:ascii="Times New Roman" w:hAnsi="Times New Roman"/>
                <w:b/>
                <w:sz w:val="20"/>
              </w:rPr>
              <w:t>Description</w:t>
            </w:r>
          </w:p>
        </w:tc>
      </w:tr>
      <w:tr>
        <w:tc>
          <w:tcPr>
            <w:tcW w:type="dxa" w:w="2197"/>
          </w:tcPr>
          <w:p>
            <w:r>
              <w:rPr>
                <w:rFonts w:ascii="Times New Roman" w:hAnsi="Times New Roman"/>
                <w:sz w:val="20"/>
              </w:rPr>
              <w:t>`id`</w:t>
            </w:r>
          </w:p>
        </w:tc>
        <w:tc>
          <w:tcPr>
            <w:tcW w:type="dxa" w:w="2197"/>
          </w:tcPr>
          <w:p>
            <w:r>
              <w:rPr>
                <w:rFonts w:ascii="Times New Roman" w:hAnsi="Times New Roman"/>
                <w:sz w:val="20"/>
              </w:rPr>
              <w:t>SERIAL</w:t>
            </w:r>
          </w:p>
        </w:tc>
        <w:tc>
          <w:tcPr>
            <w:tcW w:type="dxa" w:w="2197"/>
          </w:tcPr>
          <w:p>
            <w:r>
              <w:rPr>
                <w:rFonts w:ascii="Times New Roman" w:hAnsi="Times New Roman"/>
                <w:sz w:val="20"/>
              </w:rPr>
              <w:t>PRIMARY KEY</w:t>
            </w:r>
          </w:p>
        </w:tc>
        <w:tc>
          <w:tcPr>
            <w:tcW w:type="dxa" w:w="2197"/>
          </w:tcPr>
          <w:p>
            <w:r>
              <w:rPr>
                <w:rFonts w:ascii="Times New Roman" w:hAnsi="Times New Roman"/>
                <w:sz w:val="20"/>
              </w:rPr>
              <w:t>Unique record identifier</w:t>
            </w:r>
          </w:p>
        </w:tc>
      </w:tr>
      <w:tr>
        <w:tc>
          <w:tcPr>
            <w:tcW w:type="dxa" w:w="2197"/>
          </w:tcPr>
          <w:p>
            <w:r>
              <w:rPr>
                <w:rFonts w:ascii="Times New Roman" w:hAnsi="Times New Roman"/>
                <w:sz w:val="20"/>
              </w:rPr>
              <w:t>`dapp_id`</w:t>
            </w:r>
          </w:p>
        </w:tc>
        <w:tc>
          <w:tcPr>
            <w:tcW w:type="dxa" w:w="2197"/>
          </w:tcPr>
          <w:p>
            <w:r>
              <w:rPr>
                <w:rFonts w:ascii="Times New Roman" w:hAnsi="Times New Roman"/>
                <w:sz w:val="20"/>
              </w:rPr>
              <w:t>INTEGER</w:t>
            </w:r>
          </w:p>
        </w:tc>
        <w:tc>
          <w:tcPr>
            <w:tcW w:type="dxa" w:w="2197"/>
          </w:tcPr>
          <w:p>
            <w:r>
              <w:rPr>
                <w:rFonts w:ascii="Times New Roman" w:hAnsi="Times New Roman"/>
                <w:sz w:val="20"/>
              </w:rPr>
              <w:t>REFERENCES dapps(id) ON DELETE CASCADE</w:t>
            </w:r>
          </w:p>
        </w:tc>
        <w:tc>
          <w:tcPr>
            <w:tcW w:type="dxa" w:w="2197"/>
          </w:tcPr>
          <w:p>
            <w:r>
              <w:rPr>
                <w:rFonts w:ascii="Times New Roman" w:hAnsi="Times New Roman"/>
                <w:sz w:val="20"/>
              </w:rPr>
              <w:t>Link to DApp</w:t>
            </w:r>
          </w:p>
        </w:tc>
      </w:tr>
      <w:tr>
        <w:tc>
          <w:tcPr>
            <w:tcW w:type="dxa" w:w="2197"/>
          </w:tcPr>
          <w:p>
            <w:r>
              <w:rPr>
                <w:rFonts w:ascii="Times New Roman" w:hAnsi="Times New Roman"/>
                <w:sz w:val="20"/>
              </w:rPr>
              <w:t>`date`</w:t>
            </w:r>
          </w:p>
        </w:tc>
        <w:tc>
          <w:tcPr>
            <w:tcW w:type="dxa" w:w="2197"/>
          </w:tcPr>
          <w:p>
            <w:r>
              <w:rPr>
                <w:rFonts w:ascii="Times New Roman" w:hAnsi="Times New Roman"/>
                <w:sz w:val="20"/>
              </w:rPr>
              <w:t>DATE</w:t>
            </w:r>
          </w:p>
        </w:tc>
        <w:tc>
          <w:tcPr>
            <w:tcW w:type="dxa" w:w="2197"/>
          </w:tcPr>
          <w:p>
            <w:r>
              <w:rPr>
                <w:rFonts w:ascii="Times New Roman" w:hAnsi="Times New Roman"/>
                <w:sz w:val="20"/>
              </w:rPr>
              <w:t>NOT NULL</w:t>
            </w:r>
          </w:p>
        </w:tc>
        <w:tc>
          <w:tcPr>
            <w:tcW w:type="dxa" w:w="2197"/>
          </w:tcPr>
          <w:p>
            <w:r>
              <w:rPr>
                <w:rFonts w:ascii="Times New Roman" w:hAnsi="Times New Roman"/>
                <w:sz w:val="20"/>
              </w:rPr>
              <w:t>Date of TVL measurement</w:t>
            </w:r>
          </w:p>
        </w:tc>
      </w:tr>
      <w:tr>
        <w:tc>
          <w:tcPr>
            <w:tcW w:type="dxa" w:w="2197"/>
          </w:tcPr>
          <w:p>
            <w:r>
              <w:rPr>
                <w:rFonts w:ascii="Times New Roman" w:hAnsi="Times New Roman"/>
                <w:sz w:val="20"/>
              </w:rPr>
              <w:t>`total_liquidity_usd`</w:t>
            </w:r>
          </w:p>
        </w:tc>
        <w:tc>
          <w:tcPr>
            <w:tcW w:type="dxa" w:w="2197"/>
          </w:tcPr>
          <w:p>
            <w:r>
              <w:rPr>
                <w:rFonts w:ascii="Times New Roman" w:hAnsi="Times New Roman"/>
                <w:sz w:val="20"/>
              </w:rPr>
              <w:t>NUMERIC</w:t>
            </w:r>
          </w:p>
        </w:tc>
        <w:tc>
          <w:tcPr>
            <w:tcW w:type="dxa" w:w="2197"/>
          </w:tcPr>
          <w:p>
            <w:r>
              <w:rPr>
                <w:rFonts w:ascii="Times New Roman" w:hAnsi="Times New Roman"/>
                <w:sz w:val="20"/>
              </w:rPr>
              <w:t>NOT NULL</w:t>
            </w:r>
          </w:p>
        </w:tc>
        <w:tc>
          <w:tcPr>
            <w:tcW w:type="dxa" w:w="2197"/>
          </w:tcPr>
          <w:p>
            <w:r>
              <w:rPr>
                <w:rFonts w:ascii="Times New Roman" w:hAnsi="Times New Roman"/>
                <w:sz w:val="20"/>
              </w:rPr>
              <w:t>TVL in USD on that date</w:t>
            </w:r>
          </w:p>
        </w:tc>
      </w:tr>
      <w:tr>
        <w:tc>
          <w:tcPr>
            <w:tcW w:type="dxa" w:w="2197"/>
          </w:tcPr>
          <w:p>
            <w:r>
              <w:rPr>
                <w:rFonts w:ascii="Times New Roman" w:hAnsi="Times New Roman"/>
                <w:sz w:val="20"/>
              </w:rPr>
              <w:t>`created_at`</w:t>
            </w:r>
          </w:p>
        </w:tc>
        <w:tc>
          <w:tcPr>
            <w:tcW w:type="dxa" w:w="2197"/>
          </w:tcPr>
          <w:p>
            <w:r>
              <w:rPr>
                <w:rFonts w:ascii="Times New Roman" w:hAnsi="Times New Roman"/>
                <w:sz w:val="20"/>
              </w:rPr>
              <w:t>TIMESTAMP</w:t>
            </w:r>
          </w:p>
        </w:tc>
        <w:tc>
          <w:tcPr>
            <w:tcW w:type="dxa" w:w="2197"/>
          </w:tcPr>
          <w:p>
            <w:r>
              <w:rPr>
                <w:rFonts w:ascii="Times New Roman" w:hAnsi="Times New Roman"/>
                <w:sz w:val="20"/>
              </w:rPr>
              <w:t>DEFAULT CURRENT_TIMESTAMP</w:t>
            </w:r>
          </w:p>
        </w:tc>
        <w:tc>
          <w:tcPr>
            <w:tcW w:type="dxa" w:w="2197"/>
          </w:tcPr>
          <w:p>
            <w:r>
              <w:rPr>
                <w:rFonts w:ascii="Times New Roman" w:hAnsi="Times New Roman"/>
                <w:sz w:val="20"/>
              </w:rPr>
              <w:t>Record creation timestamp</w:t>
            </w:r>
          </w:p>
        </w:tc>
      </w:tr>
    </w:tbl>
    <w:p/>
    <w:p>
      <w:pPr>
        <w:pStyle w:val="Heading3"/>
      </w:pPr>
      <w:r>
        <w:t>Raises/Funding Table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Column</w:t>
            </w:r>
          </w:p>
        </w:tc>
        <w:tc>
          <w:tcPr>
            <w:tcW w:type="dxa" w:w="2197"/>
          </w:tcPr>
          <w:p>
            <w:r>
              <w:rPr>
                <w:rFonts w:ascii="Times New Roman" w:hAnsi="Times New Roman"/>
                <w:b/>
                <w:sz w:val="20"/>
              </w:rPr>
              <w:t>Type</w:t>
            </w:r>
          </w:p>
        </w:tc>
        <w:tc>
          <w:tcPr>
            <w:tcW w:type="dxa" w:w="2197"/>
          </w:tcPr>
          <w:p>
            <w:r>
              <w:rPr>
                <w:rFonts w:ascii="Times New Roman" w:hAnsi="Times New Roman"/>
                <w:b/>
                <w:sz w:val="20"/>
              </w:rPr>
              <w:t>Constraints</w:t>
            </w:r>
          </w:p>
        </w:tc>
        <w:tc>
          <w:tcPr>
            <w:tcW w:type="dxa" w:w="2197"/>
          </w:tcPr>
          <w:p>
            <w:r>
              <w:rPr>
                <w:rFonts w:ascii="Times New Roman" w:hAnsi="Times New Roman"/>
                <w:b/>
                <w:sz w:val="20"/>
              </w:rPr>
              <w:t>Description</w:t>
            </w:r>
          </w:p>
        </w:tc>
      </w:tr>
      <w:tr>
        <w:tc>
          <w:tcPr>
            <w:tcW w:type="dxa" w:w="2197"/>
          </w:tcPr>
          <w:p>
            <w:r>
              <w:rPr>
                <w:rFonts w:ascii="Times New Roman" w:hAnsi="Times New Roman"/>
                <w:sz w:val="20"/>
              </w:rPr>
              <w:t>`id`</w:t>
            </w:r>
          </w:p>
        </w:tc>
        <w:tc>
          <w:tcPr>
            <w:tcW w:type="dxa" w:w="2197"/>
          </w:tcPr>
          <w:p>
            <w:r>
              <w:rPr>
                <w:rFonts w:ascii="Times New Roman" w:hAnsi="Times New Roman"/>
                <w:sz w:val="20"/>
              </w:rPr>
              <w:t>SERIAL</w:t>
            </w:r>
          </w:p>
        </w:tc>
        <w:tc>
          <w:tcPr>
            <w:tcW w:type="dxa" w:w="2197"/>
          </w:tcPr>
          <w:p>
            <w:r>
              <w:rPr>
                <w:rFonts w:ascii="Times New Roman" w:hAnsi="Times New Roman"/>
                <w:sz w:val="20"/>
              </w:rPr>
              <w:t>PRIMARY KEY</w:t>
            </w:r>
          </w:p>
        </w:tc>
        <w:tc>
          <w:tcPr>
            <w:tcW w:type="dxa" w:w="2197"/>
          </w:tcPr>
          <w:p>
            <w:r>
              <w:rPr>
                <w:rFonts w:ascii="Times New Roman" w:hAnsi="Times New Roman"/>
                <w:sz w:val="20"/>
              </w:rPr>
              <w:t>Unique funding record identifier</w:t>
            </w:r>
          </w:p>
        </w:tc>
      </w:tr>
      <w:tr>
        <w:tc>
          <w:tcPr>
            <w:tcW w:type="dxa" w:w="2197"/>
          </w:tcPr>
          <w:p>
            <w:r>
              <w:rPr>
                <w:rFonts w:ascii="Times New Roman" w:hAnsi="Times New Roman"/>
                <w:sz w:val="20"/>
              </w:rPr>
              <w:t>`dapp_id`</w:t>
            </w:r>
          </w:p>
        </w:tc>
        <w:tc>
          <w:tcPr>
            <w:tcW w:type="dxa" w:w="2197"/>
          </w:tcPr>
          <w:p>
            <w:r>
              <w:rPr>
                <w:rFonts w:ascii="Times New Roman" w:hAnsi="Times New Roman"/>
                <w:sz w:val="20"/>
              </w:rPr>
              <w:t>INTEGER</w:t>
            </w:r>
          </w:p>
        </w:tc>
        <w:tc>
          <w:tcPr>
            <w:tcW w:type="dxa" w:w="2197"/>
          </w:tcPr>
          <w:p>
            <w:r>
              <w:rPr>
                <w:rFonts w:ascii="Times New Roman" w:hAnsi="Times New Roman"/>
                <w:sz w:val="20"/>
              </w:rPr>
              <w:t>REFERENCES dapps(id) ON DELETE CASCADE</w:t>
            </w:r>
          </w:p>
        </w:tc>
        <w:tc>
          <w:tcPr>
            <w:tcW w:type="dxa" w:w="2197"/>
          </w:tcPr>
          <w:p>
            <w:r>
              <w:rPr>
                <w:rFonts w:ascii="Times New Roman" w:hAnsi="Times New Roman"/>
                <w:sz w:val="20"/>
              </w:rPr>
              <w:t>Link to DApp</w:t>
            </w:r>
          </w:p>
        </w:tc>
      </w:tr>
      <w:tr>
        <w:tc>
          <w:tcPr>
            <w:tcW w:type="dxa" w:w="2197"/>
          </w:tcPr>
          <w:p>
            <w:r>
              <w:rPr>
                <w:rFonts w:ascii="Times New Roman" w:hAnsi="Times New Roman"/>
                <w:sz w:val="20"/>
              </w:rPr>
              <w:t>`date`</w:t>
            </w:r>
          </w:p>
        </w:tc>
        <w:tc>
          <w:tcPr>
            <w:tcW w:type="dxa" w:w="2197"/>
          </w:tcPr>
          <w:p>
            <w:r>
              <w:rPr>
                <w:rFonts w:ascii="Times New Roman" w:hAnsi="Times New Roman"/>
                <w:sz w:val="20"/>
              </w:rPr>
              <w:t>DATE</w:t>
            </w:r>
          </w:p>
        </w:tc>
        <w:tc>
          <w:tcPr>
            <w:tcW w:type="dxa" w:w="2197"/>
          </w:tcPr>
          <w:p>
            <w:r>
              <w:rPr>
                <w:rFonts w:ascii="Times New Roman" w:hAnsi="Times New Roman"/>
                <w:sz w:val="20"/>
              </w:rPr>
              <w:t>NOT NULL</w:t>
            </w:r>
          </w:p>
        </w:tc>
        <w:tc>
          <w:tcPr>
            <w:tcW w:type="dxa" w:w="2197"/>
          </w:tcPr>
          <w:p>
            <w:r>
              <w:rPr>
                <w:rFonts w:ascii="Times New Roman" w:hAnsi="Times New Roman"/>
                <w:sz w:val="20"/>
              </w:rPr>
              <w:t>Date of funding round</w:t>
            </w:r>
          </w:p>
        </w:tc>
      </w:tr>
      <w:tr>
        <w:tc>
          <w:tcPr>
            <w:tcW w:type="dxa" w:w="2197"/>
          </w:tcPr>
          <w:p>
            <w:r>
              <w:rPr>
                <w:rFonts w:ascii="Times New Roman" w:hAnsi="Times New Roman"/>
                <w:sz w:val="20"/>
              </w:rPr>
              <w:t>`name`</w:t>
            </w:r>
          </w:p>
        </w:tc>
        <w:tc>
          <w:tcPr>
            <w:tcW w:type="dxa" w:w="2197"/>
          </w:tcPr>
          <w:p>
            <w:r>
              <w:rPr>
                <w:rFonts w:ascii="Times New Roman" w:hAnsi="Times New Roman"/>
                <w:sz w:val="20"/>
              </w:rPr>
              <w:t>VARCHAR(255)</w:t>
            </w:r>
          </w:p>
        </w:tc>
        <w:tc>
          <w:tcPr>
            <w:tcW w:type="dxa" w:w="2197"/>
          </w:tcPr>
          <w:p>
            <w:r>
              <w:rPr>
                <w:rFonts w:ascii="Times New Roman" w:hAnsi="Times New Roman"/>
                <w:sz w:val="20"/>
              </w:rPr>
            </w:r>
          </w:p>
        </w:tc>
        <w:tc>
          <w:tcPr>
            <w:tcW w:type="dxa" w:w="2197"/>
          </w:tcPr>
          <w:p>
            <w:r>
              <w:rPr>
                <w:rFonts w:ascii="Times New Roman" w:hAnsi="Times New Roman"/>
                <w:sz w:val="20"/>
              </w:rPr>
              <w:t>Name of the funding round</w:t>
            </w:r>
          </w:p>
        </w:tc>
      </w:tr>
      <w:tr>
        <w:tc>
          <w:tcPr>
            <w:tcW w:type="dxa" w:w="2197"/>
          </w:tcPr>
          <w:p>
            <w:r>
              <w:rPr>
                <w:rFonts w:ascii="Times New Roman" w:hAnsi="Times New Roman"/>
                <w:sz w:val="20"/>
              </w:rPr>
              <w:t>`round`</w:t>
            </w:r>
          </w:p>
        </w:tc>
        <w:tc>
          <w:tcPr>
            <w:tcW w:type="dxa" w:w="2197"/>
          </w:tcPr>
          <w:p>
            <w:r>
              <w:rPr>
                <w:rFonts w:ascii="Times New Roman" w:hAnsi="Times New Roman"/>
                <w:sz w:val="20"/>
              </w:rPr>
              <w:t>VARCHAR(100)</w:t>
            </w:r>
          </w:p>
        </w:tc>
        <w:tc>
          <w:tcPr>
            <w:tcW w:type="dxa" w:w="2197"/>
          </w:tcPr>
          <w:p>
            <w:r>
              <w:rPr>
                <w:rFonts w:ascii="Times New Roman" w:hAnsi="Times New Roman"/>
                <w:sz w:val="20"/>
              </w:rPr>
            </w:r>
          </w:p>
        </w:tc>
        <w:tc>
          <w:tcPr>
            <w:tcW w:type="dxa" w:w="2197"/>
          </w:tcPr>
          <w:p>
            <w:r>
              <w:rPr>
                <w:rFonts w:ascii="Times New Roman" w:hAnsi="Times New Roman"/>
                <w:sz w:val="20"/>
              </w:rPr>
              <w:t>Funding round type (Seed, Series A, etc.)</w:t>
            </w:r>
          </w:p>
        </w:tc>
      </w:tr>
      <w:tr>
        <w:tc>
          <w:tcPr>
            <w:tcW w:type="dxa" w:w="2197"/>
          </w:tcPr>
          <w:p>
            <w:r>
              <w:rPr>
                <w:rFonts w:ascii="Times New Roman" w:hAnsi="Times New Roman"/>
                <w:sz w:val="20"/>
              </w:rPr>
              <w:t>`amount`</w:t>
            </w:r>
          </w:p>
        </w:tc>
        <w:tc>
          <w:tcPr>
            <w:tcW w:type="dxa" w:w="2197"/>
          </w:tcPr>
          <w:p>
            <w:r>
              <w:rPr>
                <w:rFonts w:ascii="Times New Roman" w:hAnsi="Times New Roman"/>
                <w:sz w:val="20"/>
              </w:rPr>
              <w:t>NUMERIC</w:t>
            </w:r>
          </w:p>
        </w:tc>
        <w:tc>
          <w:tcPr>
            <w:tcW w:type="dxa" w:w="2197"/>
          </w:tcPr>
          <w:p>
            <w:r>
              <w:rPr>
                <w:rFonts w:ascii="Times New Roman" w:hAnsi="Times New Roman"/>
                <w:sz w:val="20"/>
              </w:rPr>
            </w:r>
          </w:p>
        </w:tc>
        <w:tc>
          <w:tcPr>
            <w:tcW w:type="dxa" w:w="2197"/>
          </w:tcPr>
          <w:p>
            <w:r>
              <w:rPr>
                <w:rFonts w:ascii="Times New Roman" w:hAnsi="Times New Roman"/>
                <w:sz w:val="20"/>
              </w:rPr>
              <w:t>Amount raised in USD</w:t>
            </w:r>
          </w:p>
        </w:tc>
      </w:tr>
      <w:tr>
        <w:tc>
          <w:tcPr>
            <w:tcW w:type="dxa" w:w="2197"/>
          </w:tcPr>
          <w:p>
            <w:r>
              <w:rPr>
                <w:rFonts w:ascii="Times New Roman" w:hAnsi="Times New Roman"/>
                <w:sz w:val="20"/>
              </w:rPr>
              <w:t>`chains`</w:t>
            </w:r>
          </w:p>
        </w:tc>
        <w:tc>
          <w:tcPr>
            <w:tcW w:type="dxa" w:w="2197"/>
          </w:tcPr>
          <w:p>
            <w:r>
              <w:rPr>
                <w:rFonts w:ascii="Times New Roman" w:hAnsi="Times New Roman"/>
                <w:sz w:val="20"/>
              </w:rPr>
              <w:t>TEXT</w:t>
            </w:r>
          </w:p>
        </w:tc>
        <w:tc>
          <w:tcPr>
            <w:tcW w:type="dxa" w:w="2197"/>
          </w:tcPr>
          <w:p>
            <w:r>
              <w:rPr>
                <w:rFonts w:ascii="Times New Roman" w:hAnsi="Times New Roman"/>
                <w:sz w:val="20"/>
              </w:rPr>
            </w:r>
          </w:p>
        </w:tc>
        <w:tc>
          <w:tcPr>
            <w:tcW w:type="dxa" w:w="2197"/>
          </w:tcPr>
          <w:p>
            <w:r>
              <w:rPr>
                <w:rFonts w:ascii="Times New Roman" w:hAnsi="Times New Roman"/>
                <w:sz w:val="20"/>
              </w:rPr>
              <w:t>Blockchain networks</w:t>
            </w:r>
          </w:p>
        </w:tc>
      </w:tr>
      <w:tr>
        <w:tc>
          <w:tcPr>
            <w:tcW w:type="dxa" w:w="2197"/>
          </w:tcPr>
          <w:p>
            <w:r>
              <w:rPr>
                <w:rFonts w:ascii="Times New Roman" w:hAnsi="Times New Roman"/>
                <w:sz w:val="20"/>
              </w:rPr>
              <w:t>`sector`</w:t>
            </w:r>
          </w:p>
        </w:tc>
        <w:tc>
          <w:tcPr>
            <w:tcW w:type="dxa" w:w="2197"/>
          </w:tcPr>
          <w:p>
            <w:r>
              <w:rPr>
                <w:rFonts w:ascii="Times New Roman" w:hAnsi="Times New Roman"/>
                <w:sz w:val="20"/>
              </w:rPr>
              <w:t>TEXT</w:t>
            </w:r>
          </w:p>
        </w:tc>
        <w:tc>
          <w:tcPr>
            <w:tcW w:type="dxa" w:w="2197"/>
          </w:tcPr>
          <w:p>
            <w:r>
              <w:rPr>
                <w:rFonts w:ascii="Times New Roman" w:hAnsi="Times New Roman"/>
                <w:sz w:val="20"/>
              </w:rPr>
            </w:r>
          </w:p>
        </w:tc>
        <w:tc>
          <w:tcPr>
            <w:tcW w:type="dxa" w:w="2197"/>
          </w:tcPr>
          <w:p>
            <w:r>
              <w:rPr>
                <w:rFonts w:ascii="Times New Roman" w:hAnsi="Times New Roman"/>
                <w:sz w:val="20"/>
              </w:rPr>
              <w:t>Industry sector</w:t>
            </w:r>
          </w:p>
        </w:tc>
      </w:tr>
      <w:tr>
        <w:tc>
          <w:tcPr>
            <w:tcW w:type="dxa" w:w="2197"/>
          </w:tcPr>
          <w:p>
            <w:r>
              <w:rPr>
                <w:rFonts w:ascii="Times New Roman" w:hAnsi="Times New Roman"/>
                <w:sz w:val="20"/>
              </w:rPr>
              <w:t>`category`</w:t>
            </w:r>
          </w:p>
        </w:tc>
        <w:tc>
          <w:tcPr>
            <w:tcW w:type="dxa" w:w="2197"/>
          </w:tcPr>
          <w:p>
            <w:r>
              <w:rPr>
                <w:rFonts w:ascii="Times New Roman" w:hAnsi="Times New Roman"/>
                <w:sz w:val="20"/>
              </w:rPr>
              <w:t>VARCHAR(100)</w:t>
            </w:r>
          </w:p>
        </w:tc>
        <w:tc>
          <w:tcPr>
            <w:tcW w:type="dxa" w:w="2197"/>
          </w:tcPr>
          <w:p>
            <w:r>
              <w:rPr>
                <w:rFonts w:ascii="Times New Roman" w:hAnsi="Times New Roman"/>
                <w:sz w:val="20"/>
              </w:rPr>
            </w:r>
          </w:p>
        </w:tc>
        <w:tc>
          <w:tcPr>
            <w:tcW w:type="dxa" w:w="2197"/>
          </w:tcPr>
          <w:p>
            <w:r>
              <w:rPr>
                <w:rFonts w:ascii="Times New Roman" w:hAnsi="Times New Roman"/>
                <w:sz w:val="20"/>
              </w:rPr>
              <w:t>DeFiLlama category</w:t>
            </w:r>
          </w:p>
        </w:tc>
      </w:tr>
      <w:tr>
        <w:tc>
          <w:tcPr>
            <w:tcW w:type="dxa" w:w="2197"/>
          </w:tcPr>
          <w:p>
            <w:r>
              <w:rPr>
                <w:rFonts w:ascii="Times New Roman" w:hAnsi="Times New Roman"/>
                <w:sz w:val="20"/>
              </w:rPr>
              <w:t>`category_group`</w:t>
            </w:r>
          </w:p>
        </w:tc>
        <w:tc>
          <w:tcPr>
            <w:tcW w:type="dxa" w:w="2197"/>
          </w:tcPr>
          <w:p>
            <w:r>
              <w:rPr>
                <w:rFonts w:ascii="Times New Roman" w:hAnsi="Times New Roman"/>
                <w:sz w:val="20"/>
              </w:rPr>
              <w:t>VARCHAR(100)</w:t>
            </w:r>
          </w:p>
        </w:tc>
        <w:tc>
          <w:tcPr>
            <w:tcW w:type="dxa" w:w="2197"/>
          </w:tcPr>
          <w:p>
            <w:r>
              <w:rPr>
                <w:rFonts w:ascii="Times New Roman" w:hAnsi="Times New Roman"/>
                <w:sz w:val="20"/>
              </w:rPr>
            </w:r>
          </w:p>
        </w:tc>
        <w:tc>
          <w:tcPr>
            <w:tcW w:type="dxa" w:w="2197"/>
          </w:tcPr>
          <w:p>
            <w:r>
              <w:rPr>
                <w:rFonts w:ascii="Times New Roman" w:hAnsi="Times New Roman"/>
                <w:sz w:val="20"/>
              </w:rPr>
              <w:t>DeFiLlama category group</w:t>
            </w:r>
          </w:p>
        </w:tc>
      </w:tr>
      <w:tr>
        <w:tc>
          <w:tcPr>
            <w:tcW w:type="dxa" w:w="2197"/>
          </w:tcPr>
          <w:p>
            <w:r>
              <w:rPr>
                <w:rFonts w:ascii="Times New Roman" w:hAnsi="Times New Roman"/>
                <w:sz w:val="20"/>
              </w:rPr>
              <w:t>`source`</w:t>
            </w:r>
          </w:p>
        </w:tc>
        <w:tc>
          <w:tcPr>
            <w:tcW w:type="dxa" w:w="2197"/>
          </w:tcPr>
          <w:p>
            <w:r>
              <w:rPr>
                <w:rFonts w:ascii="Times New Roman" w:hAnsi="Times New Roman"/>
                <w:sz w:val="20"/>
              </w:rPr>
              <w:t>VARCHAR(500)</w:t>
            </w:r>
          </w:p>
        </w:tc>
        <w:tc>
          <w:tcPr>
            <w:tcW w:type="dxa" w:w="2197"/>
          </w:tcPr>
          <w:p>
            <w:r>
              <w:rPr>
                <w:rFonts w:ascii="Times New Roman" w:hAnsi="Times New Roman"/>
                <w:sz w:val="20"/>
              </w:rPr>
            </w:r>
          </w:p>
        </w:tc>
        <w:tc>
          <w:tcPr>
            <w:tcW w:type="dxa" w:w="2197"/>
          </w:tcPr>
          <w:p>
            <w:r>
              <w:rPr>
                <w:rFonts w:ascii="Times New Roman" w:hAnsi="Times New Roman"/>
                <w:sz w:val="20"/>
              </w:rPr>
              <w:t>Data source URL</w:t>
            </w:r>
          </w:p>
        </w:tc>
      </w:tr>
      <w:tr>
        <w:tc>
          <w:tcPr>
            <w:tcW w:type="dxa" w:w="2197"/>
          </w:tcPr>
          <w:p>
            <w:r>
              <w:rPr>
                <w:rFonts w:ascii="Times New Roman" w:hAnsi="Times New Roman"/>
                <w:sz w:val="20"/>
              </w:rPr>
              <w:t>`lead_investors`</w:t>
            </w:r>
          </w:p>
        </w:tc>
        <w:tc>
          <w:tcPr>
            <w:tcW w:type="dxa" w:w="2197"/>
          </w:tcPr>
          <w:p>
            <w:r>
              <w:rPr>
                <w:rFonts w:ascii="Times New Roman" w:hAnsi="Times New Roman"/>
                <w:sz w:val="20"/>
              </w:rPr>
              <w:t>TEXT</w:t>
            </w:r>
          </w:p>
        </w:tc>
        <w:tc>
          <w:tcPr>
            <w:tcW w:type="dxa" w:w="2197"/>
          </w:tcPr>
          <w:p>
            <w:r>
              <w:rPr>
                <w:rFonts w:ascii="Times New Roman" w:hAnsi="Times New Roman"/>
                <w:sz w:val="20"/>
              </w:rPr>
            </w:r>
          </w:p>
        </w:tc>
        <w:tc>
          <w:tcPr>
            <w:tcW w:type="dxa" w:w="2197"/>
          </w:tcPr>
          <w:p>
            <w:r>
              <w:rPr>
                <w:rFonts w:ascii="Times New Roman" w:hAnsi="Times New Roman"/>
                <w:sz w:val="20"/>
              </w:rPr>
              <w:t>Lead investors (comma-separated)</w:t>
            </w:r>
          </w:p>
        </w:tc>
      </w:tr>
      <w:tr>
        <w:tc>
          <w:tcPr>
            <w:tcW w:type="dxa" w:w="2197"/>
          </w:tcPr>
          <w:p>
            <w:r>
              <w:rPr>
                <w:rFonts w:ascii="Times New Roman" w:hAnsi="Times New Roman"/>
                <w:sz w:val="20"/>
              </w:rPr>
              <w:t>`other_investors`</w:t>
            </w:r>
          </w:p>
        </w:tc>
        <w:tc>
          <w:tcPr>
            <w:tcW w:type="dxa" w:w="2197"/>
          </w:tcPr>
          <w:p>
            <w:r>
              <w:rPr>
                <w:rFonts w:ascii="Times New Roman" w:hAnsi="Times New Roman"/>
                <w:sz w:val="20"/>
              </w:rPr>
              <w:t>TEXT</w:t>
            </w:r>
          </w:p>
        </w:tc>
        <w:tc>
          <w:tcPr>
            <w:tcW w:type="dxa" w:w="2197"/>
          </w:tcPr>
          <w:p>
            <w:r>
              <w:rPr>
                <w:rFonts w:ascii="Times New Roman" w:hAnsi="Times New Roman"/>
                <w:sz w:val="20"/>
              </w:rPr>
            </w:r>
          </w:p>
        </w:tc>
        <w:tc>
          <w:tcPr>
            <w:tcW w:type="dxa" w:w="2197"/>
          </w:tcPr>
          <w:p>
            <w:r>
              <w:rPr>
                <w:rFonts w:ascii="Times New Roman" w:hAnsi="Times New Roman"/>
                <w:sz w:val="20"/>
              </w:rPr>
              <w:t>Other investors (comma-separated)</w:t>
            </w:r>
          </w:p>
        </w:tc>
      </w:tr>
      <w:tr>
        <w:tc>
          <w:tcPr>
            <w:tcW w:type="dxa" w:w="2197"/>
          </w:tcPr>
          <w:p>
            <w:r>
              <w:rPr>
                <w:rFonts w:ascii="Times New Roman" w:hAnsi="Times New Roman"/>
                <w:sz w:val="20"/>
              </w:rPr>
              <w:t>`valuation`</w:t>
            </w:r>
          </w:p>
        </w:tc>
        <w:tc>
          <w:tcPr>
            <w:tcW w:type="dxa" w:w="2197"/>
          </w:tcPr>
          <w:p>
            <w:r>
              <w:rPr>
                <w:rFonts w:ascii="Times New Roman" w:hAnsi="Times New Roman"/>
                <w:sz w:val="20"/>
              </w:rPr>
              <w:t>NUMERIC</w:t>
            </w:r>
          </w:p>
        </w:tc>
        <w:tc>
          <w:tcPr>
            <w:tcW w:type="dxa" w:w="2197"/>
          </w:tcPr>
          <w:p>
            <w:r>
              <w:rPr>
                <w:rFonts w:ascii="Times New Roman" w:hAnsi="Times New Roman"/>
                <w:sz w:val="20"/>
              </w:rPr>
            </w:r>
          </w:p>
        </w:tc>
        <w:tc>
          <w:tcPr>
            <w:tcW w:type="dxa" w:w="2197"/>
          </w:tcPr>
          <w:p>
            <w:r>
              <w:rPr>
                <w:rFonts w:ascii="Times New Roman" w:hAnsi="Times New Roman"/>
                <w:sz w:val="20"/>
              </w:rPr>
              <w:t>Company valuation in USD</w:t>
            </w:r>
          </w:p>
        </w:tc>
      </w:tr>
      <w:tr>
        <w:tc>
          <w:tcPr>
            <w:tcW w:type="dxa" w:w="2197"/>
          </w:tcPr>
          <w:p>
            <w:r>
              <w:rPr>
                <w:rFonts w:ascii="Times New Roman" w:hAnsi="Times New Roman"/>
                <w:sz w:val="20"/>
              </w:rPr>
              <w:t>`defillama_id`</w:t>
            </w:r>
          </w:p>
        </w:tc>
        <w:tc>
          <w:tcPr>
            <w:tcW w:type="dxa" w:w="2197"/>
          </w:tcPr>
          <w:p>
            <w:r>
              <w:rPr>
                <w:rFonts w:ascii="Times New Roman" w:hAnsi="Times New Roman"/>
                <w:sz w:val="20"/>
              </w:rPr>
              <w:t>VARCHAR(100)</w:t>
            </w:r>
          </w:p>
        </w:tc>
        <w:tc>
          <w:tcPr>
            <w:tcW w:type="dxa" w:w="2197"/>
          </w:tcPr>
          <w:p>
            <w:r>
              <w:rPr>
                <w:rFonts w:ascii="Times New Roman" w:hAnsi="Times New Roman"/>
                <w:sz w:val="20"/>
              </w:rPr>
            </w:r>
          </w:p>
        </w:tc>
        <w:tc>
          <w:tcPr>
            <w:tcW w:type="dxa" w:w="2197"/>
          </w:tcPr>
          <w:p>
            <w:r>
              <w:rPr>
                <w:rFonts w:ascii="Times New Roman" w:hAnsi="Times New Roman"/>
                <w:sz w:val="20"/>
              </w:rPr>
              <w:t>DeFiLlama protocol identifier</w:t>
            </w:r>
          </w:p>
        </w:tc>
      </w:tr>
      <w:tr>
        <w:tc>
          <w:tcPr>
            <w:tcW w:type="dxa" w:w="2197"/>
          </w:tcPr>
          <w:p>
            <w:r>
              <w:rPr>
                <w:rFonts w:ascii="Times New Roman" w:hAnsi="Times New Roman"/>
                <w:sz w:val="20"/>
              </w:rPr>
              <w:t>`created_at`</w:t>
            </w:r>
          </w:p>
        </w:tc>
        <w:tc>
          <w:tcPr>
            <w:tcW w:type="dxa" w:w="2197"/>
          </w:tcPr>
          <w:p>
            <w:r>
              <w:rPr>
                <w:rFonts w:ascii="Times New Roman" w:hAnsi="Times New Roman"/>
                <w:sz w:val="20"/>
              </w:rPr>
              <w:t>TIMESTAMP</w:t>
            </w:r>
          </w:p>
        </w:tc>
        <w:tc>
          <w:tcPr>
            <w:tcW w:type="dxa" w:w="2197"/>
          </w:tcPr>
          <w:p>
            <w:r>
              <w:rPr>
                <w:rFonts w:ascii="Times New Roman" w:hAnsi="Times New Roman"/>
                <w:sz w:val="20"/>
              </w:rPr>
              <w:t>DEFAULT CURRENT_TIMESTAMP</w:t>
            </w:r>
          </w:p>
        </w:tc>
        <w:tc>
          <w:tcPr>
            <w:tcW w:type="dxa" w:w="2197"/>
          </w:tcPr>
          <w:p>
            <w:r>
              <w:rPr>
                <w:rFonts w:ascii="Times New Roman" w:hAnsi="Times New Roman"/>
                <w:sz w:val="20"/>
              </w:rPr>
              <w:t>Record creation timestamp</w:t>
            </w:r>
          </w:p>
        </w:tc>
      </w:tr>
    </w:tbl>
    <w:p/>
    <w:p>
      <w:pPr>
        <w:pStyle w:val="Heading2"/>
      </w:pPr>
      <w:r>
        <w:t>Data Sources &amp; Collection Strategy</w:t>
      </w:r>
    </w:p>
    <w:p>
      <w:pPr>
        <w:pStyle w:val="ListBullet"/>
      </w:pPr>
      <w:r>
        <w:rPr>
          <w:b/>
        </w:rPr>
        <w:t>Primary Source</w:t>
      </w:r>
      <w:r>
        <w:t>: DappRadar (500 top DApps by UAW - Unique Active Wallets)</w:t>
      </w:r>
    </w:p>
    <w:p>
      <w:pPr>
        <w:pStyle w:val="ListBullet"/>
      </w:pPr>
      <w:r>
        <w:rPr>
          <w:b/>
        </w:rPr>
        <w:t>Secondary Sources</w:t>
      </w:r>
      <w:r>
        <w:t xml:space="preserve">: </w:t>
      </w:r>
    </w:p>
    <w:p>
      <w:pPr>
        <w:pStyle w:val="ListBullet"/>
      </w:pPr>
      <w:r>
        <w:t>CoinMarketCap (market data, price info)</w:t>
      </w:r>
    </w:p>
    <w:p>
      <w:pPr>
        <w:pStyle w:val="ListBullet"/>
      </w:pPr>
      <w:r>
        <w:t xml:space="preserve">CoinGecko (alternative market data)  </w:t>
      </w:r>
    </w:p>
    <w:p>
      <w:pPr>
        <w:pStyle w:val="ListBullet"/>
      </w:pPr>
      <w:r>
        <w:t>DeFiLlama (TVL data, funding information)</w:t>
      </w:r>
    </w:p>
    <w:p>
      <w:pPr>
        <w:pStyle w:val="ListBullet"/>
      </w:pPr>
      <w:r>
        <w:rPr>
          <w:b/>
        </w:rPr>
        <w:t>Manual Research</w:t>
      </w:r>
      <w:r>
        <w:t>: Governance, ownership, and decentralization data added via manual research</w:t>
      </w:r>
    </w:p>
    <w:p>
      <w:pPr>
        <w:pStyle w:val="Heading2"/>
      </w:pPr>
      <w:r>
        <w:t>Notes</w:t>
      </w:r>
    </w:p>
    <w:p>
      <w:pPr>
        <w:pStyle w:val="ListBullet"/>
      </w:pPr>
      <w:r>
        <w:t xml:space="preserve">Some columns have duplicates (e.g., </w:t>
      </w:r>
      <w:r>
        <w:rPr>
          <w:rFonts w:ascii="Courier New" w:hAnsi="Courier New"/>
          <w:sz w:val="20"/>
        </w:rPr>
        <w:t>gecko_id</w:t>
      </w:r>
      <w:r>
        <w:t xml:space="preserve">, </w:t>
      </w:r>
      <w:r>
        <w:rPr>
          <w:rFonts w:ascii="Courier New" w:hAnsi="Courier New"/>
          <w:sz w:val="20"/>
        </w:rPr>
        <w:t>cmc_id</w:t>
      </w:r>
      <w:r>
        <w:t>) due to schema evolution - will be cleaned up</w:t>
      </w:r>
    </w:p>
    <w:p>
      <w:pPr>
        <w:pStyle w:val="ListBullet"/>
      </w:pPr>
      <w:r>
        <w:t>Missing values default to 0 or NULL depending on column type</w:t>
      </w:r>
    </w:p>
    <w:p>
      <w:pPr>
        <w:pStyle w:val="ListBullet"/>
      </w:pPr>
      <w:r>
        <w:rPr>
          <w:b/>
        </w:rPr>
        <w:t>ENUM Types</w:t>
      </w:r>
      <w:r>
        <w:t xml:space="preserve">: </w:t>
      </w:r>
      <w:r>
        <w:rPr>
          <w:rFonts w:ascii="Courier New" w:hAnsi="Courier New"/>
          <w:sz w:val="20"/>
        </w:rPr>
        <w:t>ownership_status</w:t>
      </w:r>
      <w:r>
        <w:t xml:space="preserve">, </w:t>
      </w:r>
      <w:r>
        <w:rPr>
          <w:rFonts w:ascii="Courier New" w:hAnsi="Courier New"/>
          <w:sz w:val="20"/>
        </w:rPr>
        <w:t>governance_type</w:t>
      </w:r>
      <w:r>
        <w:t xml:space="preserve">, and </w:t>
      </w:r>
      <w:r>
        <w:rPr>
          <w:rFonts w:ascii="Courier New" w:hAnsi="Courier New"/>
          <w:sz w:val="20"/>
        </w:rPr>
        <w:t>level_of_decentralisation</w:t>
      </w:r>
      <w:r>
        <w:t xml:space="preserve"> use PostgreSQL ENUMs for data integrity</w:t>
      </w:r>
    </w:p>
    <w:p>
      <w:pPr>
        <w:pStyle w:val="ListBullet"/>
      </w:pPr>
      <w:r>
        <w:rPr>
          <w:b/>
        </w:rPr>
        <w:t>Tags</w:t>
      </w:r>
      <w:r>
        <w:t>: Combined from all sources with deduplication (DappRadar tags, CMC tags, CoinGecko categories, DeFiLlama categories)</w:t>
      </w:r>
    </w:p>
    <w:p>
      <w:pPr>
        <w:pStyle w:val="ListBullet"/>
      </w:pPr>
      <w:r>
        <w:rPr>
          <w:b/>
        </w:rPr>
        <w:t>Research Data</w:t>
      </w:r>
      <w:r>
        <w:t>: Governance, ownership, and decentralization fields are populated via manual research and enrichment</w:t>
      </w:r>
    </w:p>
    <w:p>
      <w:pPr>
        <w:pStyle w:val="Heading2"/>
      </w:pPr>
      <w:r>
        <w:t>Database Migration Instructions</w:t>
      </w:r>
    </w:p>
    <w:p>
      <w:pPr>
        <w:pStyle w:val="Heading3"/>
      </w:pPr>
      <w:r>
        <w:t>For New Databases</w:t>
      </w:r>
    </w:p>
    <w:p>
      <w:r>
        <w:t xml:space="preserve">Simply run: </w:t>
      </w:r>
      <w:r>
        <w:rPr>
          <w:rFonts w:ascii="Courier New" w:hAnsi="Courier New"/>
          <w:sz w:val="20"/>
        </w:rPr>
        <w:t>python scripts/init_db.py</w:t>
      </w:r>
    </w:p>
    <w:p>
      <w:pPr>
        <w:pStyle w:val="Heading3"/>
      </w:pPr>
      <w:r>
        <w:t>For Existing Databases</w:t>
      </w:r>
    </w:p>
    <w:p>
      <w:r>
        <w:t>To update the schema with the latest changes (new columns, removed score columns, etc.):</w:t>
      </w:r>
    </w:p>
    <w:p>
      <w:pPr>
        <w:spacing w:after="0" w:before="0"/>
      </w:pPr>
      <w:r>
        <w:rPr>
          <w:rFonts w:ascii="Courier New" w:hAnsi="Courier New"/>
          <w:sz w:val="18"/>
        </w:rPr>
        <w:t>python migrations/migrate_schema_updates.py</w:t>
      </w:r>
    </w:p>
    <w:p>
      <w:r>
        <w:t>To ingest manually enriched data from a CSV file:</w:t>
      </w:r>
    </w:p>
    <w:p>
      <w:pPr>
        <w:spacing w:after="0" w:before="0"/>
      </w:pPr>
      <w:r>
        <w:rPr>
          <w:rFonts w:ascii="Courier New" w:hAnsi="Courier New"/>
          <w:sz w:val="18"/>
        </w:rPr>
        <w:t>python scripts/ingest_pilot_data.py [path/to/csv_file.csv]</w:t>
      </w:r>
    </w:p>
    <w:p>
      <w:pPr>
        <w:pStyle w:val="Heading3"/>
      </w:pPr>
      <w:r>
        <w:t>Codebook table for your new columns</w:t>
      </w:r>
    </w:p>
    <w:p>
      <w:r>
        <w:t>This is the minimum codebook you should include in Chapter 3 (appendix-friendly). The “Input fields” column helps prove the enrichment is non-destructive.</w:t>
      </w:r>
    </w:p>
    <w:p>
      <w:r>
        <w:t>v2_ column</w:t>
        <w:tab/>
        <w:t>Type</w:t>
        <w:tab/>
        <w:t>Allowed values</w:t>
        <w:tab/>
        <w:t>How to code (rule)</w:t>
        <w:tab/>
        <w:t>Input fields (read-only) ecosystem_focus</w:t>
        <w:tab/>
        <w:t>categorical</w:t>
        <w:tab/>
        <w:t>DEFI / AI / PREDICTION_MARKETS / RWA / DEPIN / GAMING / SOCIAL / NFT / INFRA / OTHER</w:t>
        <w:tab/>
        <w:t>Primary domain by value proposition; store v2_ecosystem_focus_basis and confidence</w:t>
        <w:tab/>
        <w:t>dapp_sector, category, sub_category, tags, description sustainment_model</w:t>
        <w:tab/>
        <w:t>categorical</w:t>
        <w:tab/>
        <w:t>TOKENOMICS / FEES / SUBSCRIPTION / MARKETPLACE_TAKE_RATE / SPREAD_ARB / INTEREST_YIELD / LICENSING_ENTERPRISE / HARDWARE_INFRA / ADS / DONATIONS_GRANTS / OTHER</w:t>
        <w:tab/>
        <w:t>Identify dominant sustainment mechanism; allow UNKNOWN if insufficient evidence</w:t>
        <w:tab/>
        <w:t>docs/website, fees, token docs go_to_market</w:t>
        <w:tab/>
        <w:t>categorical</w:t>
        <w:tab/>
        <w:t>B2C / B2B / B2B2C / C2C / DEVELOPER_PLATFORM</w:t>
        <w:tab/>
        <w:t>Code by primary customer + distribution channel</w:t>
        <w:tab/>
        <w:t>website/docs, app positioning main_revenue_generator</w:t>
        <w:tab/>
        <w:t>categorical</w:t>
        <w:tab/>
        <w:t>TX_FEE / TAKE_RATE / SPREAD / PERFORMANCE_FEE / SUBSCRIPTION / USAGE_METERING / INTEREST_MARGIN / LIQUIDATION_FEES / LISTING_FEES / LICENSING_ENTERPRISE / ADS / NONE_UNSET</w:t>
        <w:tab/>
        <w:t>Prefer explicit fee schedules; otherwise infer cautiously and mark confidence</w:t>
        <w:tab/>
        <w:t>fee docs, tokenomics, UI funding_type</w:t>
        <w:tab/>
        <w:t>categorical</w:t>
        <w:tab/>
        <w:t>BOOTSTRAPPED / VC_TRADITIONAL / VC_CRYPTO_NATIVE / TOKEN_SALE / GRANT_FOUNDATION / CROWDFUND_COMMUNITY / DAO_TREASURY / PUBLIC_COMPANY_BACKING</w:t>
        <w:tab/>
        <w:t>Use most dominant external backing mode</w:t>
        <w:tab/>
        <w:t>funding sheet/raises, press releases has_token</w:t>
        <w:tab/>
        <w:t>categorical</w:t>
        <w:tab/>
        <w:t>yes / no / unknown</w:t>
        <w:tab/>
        <w:t>yes if token_symbol/type exists or verified</w:t>
        <w:tab/>
        <w:t>token fields, CMC/CG listing governance_token_flag</w:t>
        <w:tab/>
        <w:t>categorical</w:t>
        <w:tab/>
        <w:t>yes / no / unknown</w:t>
        <w:tab/>
        <w:t>yes if token_type contains governance or docs say governance token</w:t>
        <w:tab/>
        <w:t>token docs, token_type fee_switch_or_value_accrual_to_tokenholders</w:t>
        <w:tab/>
        <w:t>categorical</w:t>
        <w:tab/>
        <w:t>yes / no / unknown</w:t>
        <w:tab/>
        <w:t>yes only if explicit value accrual mechanism exists</w:t>
        <w:tab/>
        <w:t>token docs, governance launch_year</w:t>
        <w:tab/>
        <w:t>numeric</w:t>
        <w:tab/>
        <w:t>YYYY</w:t>
        <w:tab/>
        <w:t>Parse from launch_date; else blank</w:t>
        <w:tab/>
        <w:t>launch_date primary_chain</w:t>
        <w:tab/>
        <w:t>categorical</w:t>
        <w:tab/>
        <w:t>chain name</w:t>
        <w:tab/>
        <w:t>first/most relevant chain; document rule</w:t>
        <w:tab/>
        <w:t>chains, is_multichain open_source_flag</w:t>
        <w:tab/>
        <w:t>categorical</w:t>
        <w:tab/>
        <w:t>yes / no / unknown</w:t>
        <w:tab/>
        <w:t>check repo presence + license</w:t>
        <w:tab/>
        <w:t>GitHub link/docs frontend_dependence</w:t>
        <w:tab/>
        <w:t>categorical</w:t>
        <w:tab/>
        <w:t>permissionless / front-end-dependent / unknown</w:t>
        <w:tab/>
        <w:t>if accessible only via controlled UI or KYC</w:t>
        <w:tab/>
        <w:t>access path, docs admin_key_risk</w:t>
        <w:tab/>
        <w:t>categorical</w:t>
        <w:tab/>
        <w:t>high / medium / low / unknown</w:t>
        <w:tab/>
        <w:t>proxy for effective centralization (upgrade keys, multisig, timelocks)</w:t>
        <w:tab/>
        <w:t>audits/docs oracle_or_external_dependency_intensity</w:t>
        <w:tab/>
        <w:t>categorical</w:t>
        <w:tab/>
        <w:t>low / medium / high / unknown</w:t>
      </w:r>
    </w:p>
    <w:p>
      <w:r>
        <w:br w:type="page"/>
      </w:r>
    </w:p>
    <w:p>
      <w:pPr>
        <w:pStyle w:val="Heading1"/>
      </w:pPr>
      <w:r>
        <w:t>Appendix B — Analytical Pipeline</w:t>
      </w:r>
    </w:p>
    <w:p>
      <w:r>
        <w:t>This appendix documents the script sequence and reproducibility instructions for the data analysis pipeline used in this thesis.</w:t>
      </w:r>
    </w:p>
    <w:p>
      <w:pPr>
        <w:pStyle w:val="Heading2"/>
      </w:pPr>
      <w:r>
        <w:t>Overview</w:t>
      </w:r>
    </w:p>
    <w:p>
      <w:r>
        <w:t xml:space="preserve">The thesis uses three generations of analysis scripts, progressively refined. The canonical (latest) pipeline is in </w:t>
      </w:r>
      <w:r>
        <w:rPr>
          <w:rFonts w:ascii="Courier New" w:hAnsi="Courier New"/>
          <w:sz w:val="20"/>
        </w:rPr>
        <w:t>analytics_new/</w:t>
      </w:r>
      <w:r>
        <w:t>.</w:t>
      </w:r>
    </w:p>
    <w:p>
      <w:pPr>
        <w:pStyle w:val="Heading2"/>
      </w:pPr>
      <w:r>
        <w:t>Latest Analysis Pipeline (`analytics_new/`)</w:t>
      </w:r>
    </w:p>
    <w:p>
      <w:pPr>
        <w:pStyle w:val="Heading3"/>
      </w:pPr>
      <w:r>
        <w:t>Script Sequence</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Step</w:t>
            </w:r>
          </w:p>
        </w:tc>
        <w:tc>
          <w:tcPr>
            <w:tcW w:type="dxa" w:w="2929"/>
          </w:tcPr>
          <w:p>
            <w:r>
              <w:rPr>
                <w:rFonts w:ascii="Times New Roman" w:hAnsi="Times New Roman"/>
                <w:b/>
                <w:sz w:val="20"/>
              </w:rPr>
              <w:t>Script</w:t>
            </w:r>
          </w:p>
        </w:tc>
        <w:tc>
          <w:tcPr>
            <w:tcW w:type="dxa" w:w="2929"/>
          </w:tcPr>
          <w:p>
            <w:r>
              <w:rPr>
                <w:rFonts w:ascii="Times New Roman" w:hAnsi="Times New Roman"/>
                <w:b/>
                <w:sz w:val="20"/>
              </w:rPr>
              <w:t>Purpose</w:t>
            </w:r>
          </w:p>
        </w:tc>
      </w:tr>
      <w:tr>
        <w:tc>
          <w:tcPr>
            <w:tcW w:type="dxa" w:w="2929"/>
          </w:tcPr>
          <w:p>
            <w:r>
              <w:rPr>
                <w:rFonts w:ascii="Times New Roman" w:hAnsi="Times New Roman"/>
                <w:sz w:val="20"/>
              </w:rPr>
              <w:t>1</w:t>
            </w:r>
          </w:p>
        </w:tc>
        <w:tc>
          <w:tcPr>
            <w:tcW w:type="dxa" w:w="2929"/>
          </w:tcPr>
          <w:p>
            <w:r>
              <w:rPr>
                <w:rFonts w:ascii="Times New Roman" w:hAnsi="Times New Roman"/>
                <w:sz w:val="20"/>
              </w:rPr>
              <w:t>`01_prepare_cohorts.py`</w:t>
            </w:r>
          </w:p>
        </w:tc>
        <w:tc>
          <w:tcPr>
            <w:tcW w:type="dxa" w:w="2929"/>
          </w:tcPr>
          <w:p>
            <w:r>
              <w:rPr>
                <w:rFonts w:ascii="Times New Roman" w:hAnsi="Times New Roman"/>
                <w:sz w:val="20"/>
              </w:rPr>
              <w:t>Load raw dataset, apply eligibility filters, construct loose/strict samples, define cohorts</w:t>
            </w:r>
          </w:p>
        </w:tc>
      </w:tr>
      <w:tr>
        <w:tc>
          <w:tcPr>
            <w:tcW w:type="dxa" w:w="2929"/>
          </w:tcPr>
          <w:p>
            <w:r>
              <w:rPr>
                <w:rFonts w:ascii="Times New Roman" w:hAnsi="Times New Roman"/>
                <w:sz w:val="20"/>
              </w:rPr>
              <w:t>2</w:t>
            </w:r>
          </w:p>
        </w:tc>
        <w:tc>
          <w:tcPr>
            <w:tcW w:type="dxa" w:w="2929"/>
          </w:tcPr>
          <w:p>
            <w:r>
              <w:rPr>
                <w:rFonts w:ascii="Times New Roman" w:hAnsi="Times New Roman"/>
                <w:sz w:val="20"/>
              </w:rPr>
              <w:t>`02_ecosystem_analysis.py`</w:t>
            </w:r>
          </w:p>
        </w:tc>
        <w:tc>
          <w:tcPr>
            <w:tcW w:type="dxa" w:w="2929"/>
          </w:tcPr>
          <w:p>
            <w:r>
              <w:rPr>
                <w:rFonts w:ascii="Times New Roman" w:hAnsi="Times New Roman"/>
                <w:sz w:val="20"/>
              </w:rPr>
              <w:t>Governance distribution, ownership structure, decentralisation scoring</w:t>
            </w:r>
          </w:p>
        </w:tc>
      </w:tr>
      <w:tr>
        <w:tc>
          <w:tcPr>
            <w:tcW w:type="dxa" w:w="2929"/>
          </w:tcPr>
          <w:p>
            <w:r>
              <w:rPr>
                <w:rFonts w:ascii="Times New Roman" w:hAnsi="Times New Roman"/>
                <w:sz w:val="20"/>
              </w:rPr>
              <w:t>3</w:t>
            </w:r>
          </w:p>
        </w:tc>
        <w:tc>
          <w:tcPr>
            <w:tcW w:type="dxa" w:w="2929"/>
          </w:tcPr>
          <w:p>
            <w:r>
              <w:rPr>
                <w:rFonts w:ascii="Times New Roman" w:hAnsi="Times New Roman"/>
                <w:sz w:val="20"/>
              </w:rPr>
              <w:t>`03_dapp_level_analysis.py`</w:t>
            </w:r>
          </w:p>
        </w:tc>
        <w:tc>
          <w:tcPr>
            <w:tcW w:type="dxa" w:w="2929"/>
          </w:tcPr>
          <w:p>
            <w:r>
              <w:rPr>
                <w:rFonts w:ascii="Times New Roman" w:hAnsi="Times New Roman"/>
                <w:sz w:val="20"/>
              </w:rPr>
              <w:t>Market structure (concentration, Gini), sector performance, chain deployment</w:t>
            </w:r>
          </w:p>
        </w:tc>
      </w:tr>
      <w:tr>
        <w:tc>
          <w:tcPr>
            <w:tcW w:type="dxa" w:w="2929"/>
          </w:tcPr>
          <w:p>
            <w:r>
              <w:rPr>
                <w:rFonts w:ascii="Times New Roman" w:hAnsi="Times New Roman"/>
                <w:sz w:val="20"/>
              </w:rPr>
              <w:t>4</w:t>
            </w:r>
          </w:p>
        </w:tc>
        <w:tc>
          <w:tcPr>
            <w:tcW w:type="dxa" w:w="2929"/>
          </w:tcPr>
          <w:p>
            <w:r>
              <w:rPr>
                <w:rFonts w:ascii="Times New Roman" w:hAnsi="Times New Roman"/>
                <w:sz w:val="20"/>
              </w:rPr>
              <w:t>`04_thesis_report.py`</w:t>
            </w:r>
          </w:p>
        </w:tc>
        <w:tc>
          <w:tcPr>
            <w:tcW w:type="dxa" w:w="2929"/>
          </w:tcPr>
          <w:p>
            <w:r>
              <w:rPr>
                <w:rFonts w:ascii="Times New Roman" w:hAnsi="Times New Roman"/>
                <w:sz w:val="20"/>
              </w:rPr>
              <w:t>Generate all thesis output documents (methodology, results, insights, anomalies, brief)</w:t>
            </w:r>
          </w:p>
        </w:tc>
      </w:tr>
    </w:tbl>
    <w:p/>
    <w:p>
      <w:pPr>
        <w:pStyle w:val="Heading3"/>
      </w:pPr>
      <w:r>
        <w:t>Shared Libraries (`analytics_new/lib/`)</w:t>
      </w:r>
    </w:p>
    <w:p>
      <w:r>
        <w:t>Reusable modules for data loading, statistical utilities, and output formatting.</w:t>
      </w:r>
    </w:p>
    <w:p>
      <w:pPr>
        <w:pStyle w:val="Heading3"/>
      </w:pPr>
      <w:r>
        <w:t>Configuration (`analytics_new/config.py`)</w:t>
      </w:r>
    </w:p>
    <w:p>
      <w:r>
        <w:t>Paths, constants, ENUM definitions, and sampling parameters.</w:t>
      </w:r>
    </w:p>
    <w:p>
      <w:pPr>
        <w:pStyle w:val="Heading2"/>
      </w:pPr>
      <w:r>
        <w:t>Merged Analysis Pipeline (`analytics_merged/`)</w:t>
      </w:r>
    </w:p>
    <w:p>
      <w:pPr>
        <w:pStyle w:val="Heading3"/>
      </w:pPr>
      <w:r>
        <w:t>Script Sequence</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Step</w:t>
            </w:r>
          </w:p>
        </w:tc>
        <w:tc>
          <w:tcPr>
            <w:tcW w:type="dxa" w:w="2929"/>
          </w:tcPr>
          <w:p>
            <w:r>
              <w:rPr>
                <w:rFonts w:ascii="Times New Roman" w:hAnsi="Times New Roman"/>
                <w:b/>
                <w:sz w:val="20"/>
              </w:rPr>
              <w:t>Script</w:t>
            </w:r>
          </w:p>
        </w:tc>
        <w:tc>
          <w:tcPr>
            <w:tcW w:type="dxa" w:w="2929"/>
          </w:tcPr>
          <w:p>
            <w:r>
              <w:rPr>
                <w:rFonts w:ascii="Times New Roman" w:hAnsi="Times New Roman"/>
                <w:b/>
                <w:sz w:val="20"/>
              </w:rPr>
              <w:t>Purpose</w:t>
            </w:r>
          </w:p>
        </w:tc>
      </w:tr>
      <w:tr>
        <w:tc>
          <w:tcPr>
            <w:tcW w:type="dxa" w:w="2929"/>
          </w:tcPr>
          <w:p>
            <w:r>
              <w:rPr>
                <w:rFonts w:ascii="Times New Roman" w:hAnsi="Times New Roman"/>
                <w:sz w:val="20"/>
              </w:rPr>
              <w:t>1</w:t>
            </w:r>
          </w:p>
        </w:tc>
        <w:tc>
          <w:tcPr>
            <w:tcW w:type="dxa" w:w="2929"/>
          </w:tcPr>
          <w:p>
            <w:r>
              <w:rPr>
                <w:rFonts w:ascii="Times New Roman" w:hAnsi="Times New Roman"/>
                <w:sz w:val="20"/>
              </w:rPr>
              <w:t>`01_prepare.py`</w:t>
            </w:r>
          </w:p>
        </w:tc>
        <w:tc>
          <w:tcPr>
            <w:tcW w:type="dxa" w:w="2929"/>
          </w:tcPr>
          <w:p>
            <w:r>
              <w:rPr>
                <w:rFonts w:ascii="Times New Roman" w:hAnsi="Times New Roman"/>
                <w:sz w:val="20"/>
              </w:rPr>
              <w:t>Data loading and preprocessing</w:t>
            </w:r>
          </w:p>
        </w:tc>
      </w:tr>
      <w:tr>
        <w:tc>
          <w:tcPr>
            <w:tcW w:type="dxa" w:w="2929"/>
          </w:tcPr>
          <w:p>
            <w:r>
              <w:rPr>
                <w:rFonts w:ascii="Times New Roman" w:hAnsi="Times New Roman"/>
                <w:sz w:val="20"/>
              </w:rPr>
              <w:t>2</w:t>
            </w:r>
          </w:p>
        </w:tc>
        <w:tc>
          <w:tcPr>
            <w:tcW w:type="dxa" w:w="2929"/>
          </w:tcPr>
          <w:p>
            <w:r>
              <w:rPr>
                <w:rFonts w:ascii="Times New Roman" w:hAnsi="Times New Roman"/>
                <w:sz w:val="20"/>
              </w:rPr>
              <w:t>`02_governance.py`</w:t>
            </w:r>
          </w:p>
        </w:tc>
        <w:tc>
          <w:tcPr>
            <w:tcW w:type="dxa" w:w="2929"/>
          </w:tcPr>
          <w:p>
            <w:r>
              <w:rPr>
                <w:rFonts w:ascii="Times New Roman" w:hAnsi="Times New Roman"/>
                <w:sz w:val="20"/>
              </w:rPr>
              <w:t>Governance and decentralisation analysis</w:t>
            </w:r>
          </w:p>
        </w:tc>
      </w:tr>
      <w:tr>
        <w:tc>
          <w:tcPr>
            <w:tcW w:type="dxa" w:w="2929"/>
          </w:tcPr>
          <w:p>
            <w:r>
              <w:rPr>
                <w:rFonts w:ascii="Times New Roman" w:hAnsi="Times New Roman"/>
                <w:sz w:val="20"/>
              </w:rPr>
              <w:t>3</w:t>
            </w:r>
          </w:p>
        </w:tc>
        <w:tc>
          <w:tcPr>
            <w:tcW w:type="dxa" w:w="2929"/>
          </w:tcPr>
          <w:p>
            <w:r>
              <w:rPr>
                <w:rFonts w:ascii="Times New Roman" w:hAnsi="Times New Roman"/>
                <w:sz w:val="20"/>
              </w:rPr>
              <w:t>`03_market.py`</w:t>
            </w:r>
          </w:p>
        </w:tc>
        <w:tc>
          <w:tcPr>
            <w:tcW w:type="dxa" w:w="2929"/>
          </w:tcPr>
          <w:p>
            <w:r>
              <w:rPr>
                <w:rFonts w:ascii="Times New Roman" w:hAnsi="Times New Roman"/>
                <w:sz w:val="20"/>
              </w:rPr>
              <w:t>Market structure analysis</w:t>
            </w:r>
          </w:p>
        </w:tc>
      </w:tr>
      <w:tr>
        <w:tc>
          <w:tcPr>
            <w:tcW w:type="dxa" w:w="2929"/>
          </w:tcPr>
          <w:p>
            <w:r>
              <w:rPr>
                <w:rFonts w:ascii="Times New Roman" w:hAnsi="Times New Roman"/>
                <w:sz w:val="20"/>
              </w:rPr>
              <w:t>4</w:t>
            </w:r>
          </w:p>
        </w:tc>
        <w:tc>
          <w:tcPr>
            <w:tcW w:type="dxa" w:w="2929"/>
          </w:tcPr>
          <w:p>
            <w:r>
              <w:rPr>
                <w:rFonts w:ascii="Times New Roman" w:hAnsi="Times New Roman"/>
                <w:sz w:val="20"/>
              </w:rPr>
              <w:t>`04_chains.py`</w:t>
            </w:r>
          </w:p>
        </w:tc>
        <w:tc>
          <w:tcPr>
            <w:tcW w:type="dxa" w:w="2929"/>
          </w:tcPr>
          <w:p>
            <w:r>
              <w:rPr>
                <w:rFonts w:ascii="Times New Roman" w:hAnsi="Times New Roman"/>
                <w:sz w:val="20"/>
              </w:rPr>
              <w:t>Blockchain deployment analysis</w:t>
            </w:r>
          </w:p>
        </w:tc>
      </w:tr>
      <w:tr>
        <w:tc>
          <w:tcPr>
            <w:tcW w:type="dxa" w:w="2929"/>
          </w:tcPr>
          <w:p>
            <w:r>
              <w:rPr>
                <w:rFonts w:ascii="Times New Roman" w:hAnsi="Times New Roman"/>
                <w:sz w:val="20"/>
              </w:rPr>
              <w:t>5</w:t>
            </w:r>
          </w:p>
        </w:tc>
        <w:tc>
          <w:tcPr>
            <w:tcW w:type="dxa" w:w="2929"/>
          </w:tcPr>
          <w:p>
            <w:r>
              <w:rPr>
                <w:rFonts w:ascii="Times New Roman" w:hAnsi="Times New Roman"/>
                <w:sz w:val="20"/>
              </w:rPr>
              <w:t>`05_performance.py`</w:t>
            </w:r>
          </w:p>
        </w:tc>
        <w:tc>
          <w:tcPr>
            <w:tcW w:type="dxa" w:w="2929"/>
          </w:tcPr>
          <w:p>
            <w:r>
              <w:rPr>
                <w:rFonts w:ascii="Times New Roman" w:hAnsi="Times New Roman"/>
                <w:sz w:val="20"/>
              </w:rPr>
              <w:t>Sector performance metrics</w:t>
            </w:r>
          </w:p>
        </w:tc>
      </w:tr>
      <w:tr>
        <w:tc>
          <w:tcPr>
            <w:tcW w:type="dxa" w:w="2929"/>
          </w:tcPr>
          <w:p>
            <w:r>
              <w:rPr>
                <w:rFonts w:ascii="Times New Roman" w:hAnsi="Times New Roman"/>
                <w:sz w:val="20"/>
              </w:rPr>
              <w:t>6</w:t>
            </w:r>
          </w:p>
        </w:tc>
        <w:tc>
          <w:tcPr>
            <w:tcW w:type="dxa" w:w="2929"/>
          </w:tcPr>
          <w:p>
            <w:r>
              <w:rPr>
                <w:rFonts w:ascii="Times New Roman" w:hAnsi="Times New Roman"/>
                <w:sz w:val="20"/>
              </w:rPr>
              <w:t>`06_concept_synthesis.py`</w:t>
            </w:r>
          </w:p>
        </w:tc>
        <w:tc>
          <w:tcPr>
            <w:tcW w:type="dxa" w:w="2929"/>
          </w:tcPr>
          <w:p>
            <w:r>
              <w:rPr>
                <w:rFonts w:ascii="Times New Roman" w:hAnsi="Times New Roman"/>
                <w:sz w:val="20"/>
              </w:rPr>
              <w:t>Cross-variable synthesis and clustering</w:t>
            </w:r>
          </w:p>
        </w:tc>
      </w:tr>
      <w:tr>
        <w:tc>
          <w:tcPr>
            <w:tcW w:type="dxa" w:w="2929"/>
          </w:tcPr>
          <w:p>
            <w:r>
              <w:rPr>
                <w:rFonts w:ascii="Times New Roman" w:hAnsi="Times New Roman"/>
                <w:sz w:val="20"/>
              </w:rPr>
              <w:t>7</w:t>
            </w:r>
          </w:p>
        </w:tc>
        <w:tc>
          <w:tcPr>
            <w:tcW w:type="dxa" w:w="2929"/>
          </w:tcPr>
          <w:p>
            <w:r>
              <w:rPr>
                <w:rFonts w:ascii="Times New Roman" w:hAnsi="Times New Roman"/>
                <w:sz w:val="20"/>
              </w:rPr>
              <w:t>`07_thesis_docs.py`</w:t>
            </w:r>
          </w:p>
        </w:tc>
        <w:tc>
          <w:tcPr>
            <w:tcW w:type="dxa" w:w="2929"/>
          </w:tcPr>
          <w:p>
            <w:r>
              <w:rPr>
                <w:rFonts w:ascii="Times New Roman" w:hAnsi="Times New Roman"/>
                <w:sz w:val="20"/>
              </w:rPr>
              <w:t>Generate output documents</w:t>
            </w:r>
          </w:p>
        </w:tc>
      </w:tr>
    </w:tbl>
    <w:p/>
    <w:p>
      <w:pPr>
        <w:pStyle w:val="Heading2"/>
      </w:pPr>
      <w:r>
        <w:t>Original Analysis Pipeline (`analytics/`)</w:t>
      </w:r>
    </w:p>
    <w:p>
      <w:r>
        <w:t>A 13-script pipeline covering data preparation through ecosystem overview:</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b/>
                <w:sz w:val="20"/>
              </w:rPr>
              <w:t>Step</w:t>
            </w:r>
          </w:p>
        </w:tc>
        <w:tc>
          <w:tcPr>
            <w:tcW w:type="dxa" w:w="2929"/>
          </w:tcPr>
          <w:p>
            <w:r>
              <w:rPr>
                <w:rFonts w:ascii="Times New Roman" w:hAnsi="Times New Roman"/>
                <w:b/>
                <w:sz w:val="20"/>
              </w:rPr>
              <w:t>Script</w:t>
            </w:r>
          </w:p>
        </w:tc>
        <w:tc>
          <w:tcPr>
            <w:tcW w:type="dxa" w:w="2929"/>
          </w:tcPr>
          <w:p>
            <w:r>
              <w:rPr>
                <w:rFonts w:ascii="Times New Roman" w:hAnsi="Times New Roman"/>
                <w:b/>
                <w:sz w:val="20"/>
              </w:rPr>
              <w:t>Focus</w:t>
            </w:r>
          </w:p>
        </w:tc>
      </w:tr>
      <w:tr>
        <w:tc>
          <w:tcPr>
            <w:tcW w:type="dxa" w:w="2929"/>
          </w:tcPr>
          <w:p>
            <w:r>
              <w:rPr>
                <w:rFonts w:ascii="Times New Roman" w:hAnsi="Times New Roman"/>
                <w:sz w:val="20"/>
              </w:rPr>
              <w:t>01</w:t>
            </w:r>
          </w:p>
        </w:tc>
        <w:tc>
          <w:tcPr>
            <w:tcW w:type="dxa" w:w="2929"/>
          </w:tcPr>
          <w:p>
            <w:r>
              <w:rPr>
                <w:rFonts w:ascii="Times New Roman" w:hAnsi="Times New Roman"/>
                <w:sz w:val="20"/>
              </w:rPr>
              <w:t>`01_data_preparation.py`</w:t>
            </w:r>
          </w:p>
        </w:tc>
        <w:tc>
          <w:tcPr>
            <w:tcW w:type="dxa" w:w="2929"/>
          </w:tcPr>
          <w:p>
            <w:r>
              <w:rPr>
                <w:rFonts w:ascii="Times New Roman" w:hAnsi="Times New Roman"/>
                <w:sz w:val="20"/>
              </w:rPr>
              <w:t>Raw data ingestion</w:t>
            </w:r>
          </w:p>
        </w:tc>
      </w:tr>
      <w:tr>
        <w:tc>
          <w:tcPr>
            <w:tcW w:type="dxa" w:w="2929"/>
          </w:tcPr>
          <w:p>
            <w:r>
              <w:rPr>
                <w:rFonts w:ascii="Times New Roman" w:hAnsi="Times New Roman"/>
                <w:sz w:val="20"/>
              </w:rPr>
              <w:t>02</w:t>
            </w:r>
          </w:p>
        </w:tc>
        <w:tc>
          <w:tcPr>
            <w:tcW w:type="dxa" w:w="2929"/>
          </w:tcPr>
          <w:p>
            <w:r>
              <w:rPr>
                <w:rFonts w:ascii="Times New Roman" w:hAnsi="Times New Roman"/>
                <w:sz w:val="20"/>
              </w:rPr>
              <w:t>`02_governance_analysis.py`</w:t>
            </w:r>
          </w:p>
        </w:tc>
        <w:tc>
          <w:tcPr>
            <w:tcW w:type="dxa" w:w="2929"/>
          </w:tcPr>
          <w:p>
            <w:r>
              <w:rPr>
                <w:rFonts w:ascii="Times New Roman" w:hAnsi="Times New Roman"/>
                <w:sz w:val="20"/>
              </w:rPr>
              <w:t>Governance coding</w:t>
            </w:r>
          </w:p>
        </w:tc>
      </w:tr>
      <w:tr>
        <w:tc>
          <w:tcPr>
            <w:tcW w:type="dxa" w:w="2929"/>
          </w:tcPr>
          <w:p>
            <w:r>
              <w:rPr>
                <w:rFonts w:ascii="Times New Roman" w:hAnsi="Times New Roman"/>
                <w:sz w:val="20"/>
              </w:rPr>
              <w:t>03</w:t>
            </w:r>
          </w:p>
        </w:tc>
        <w:tc>
          <w:tcPr>
            <w:tcW w:type="dxa" w:w="2929"/>
          </w:tcPr>
          <w:p>
            <w:r>
              <w:rPr>
                <w:rFonts w:ascii="Times New Roman" w:hAnsi="Times New Roman"/>
                <w:sz w:val="20"/>
              </w:rPr>
              <w:t>`03_ecosystem_analysis.py`</w:t>
            </w:r>
          </w:p>
        </w:tc>
        <w:tc>
          <w:tcPr>
            <w:tcW w:type="dxa" w:w="2929"/>
          </w:tcPr>
          <w:p>
            <w:r>
              <w:rPr>
                <w:rFonts w:ascii="Times New Roman" w:hAnsi="Times New Roman"/>
                <w:sz w:val="20"/>
              </w:rPr>
              <w:t>Ecosystem overview</w:t>
            </w:r>
          </w:p>
        </w:tc>
      </w:tr>
      <w:tr>
        <w:tc>
          <w:tcPr>
            <w:tcW w:type="dxa" w:w="2929"/>
          </w:tcPr>
          <w:p>
            <w:r>
              <w:rPr>
                <w:rFonts w:ascii="Times New Roman" w:hAnsi="Times New Roman"/>
                <w:sz w:val="20"/>
              </w:rPr>
              <w:t>04</w:t>
            </w:r>
          </w:p>
        </w:tc>
        <w:tc>
          <w:tcPr>
            <w:tcW w:type="dxa" w:w="2929"/>
          </w:tcPr>
          <w:p>
            <w:r>
              <w:rPr>
                <w:rFonts w:ascii="Times New Roman" w:hAnsi="Times New Roman"/>
                <w:sz w:val="20"/>
              </w:rPr>
              <w:t>`04_market_analysis.py`</w:t>
            </w:r>
          </w:p>
        </w:tc>
        <w:tc>
          <w:tcPr>
            <w:tcW w:type="dxa" w:w="2929"/>
          </w:tcPr>
          <w:p>
            <w:r>
              <w:rPr>
                <w:rFonts w:ascii="Times New Roman" w:hAnsi="Times New Roman"/>
                <w:sz w:val="20"/>
              </w:rPr>
              <w:t>Market metrics</w:t>
            </w:r>
          </w:p>
        </w:tc>
      </w:tr>
      <w:tr>
        <w:tc>
          <w:tcPr>
            <w:tcW w:type="dxa" w:w="2929"/>
          </w:tcPr>
          <w:p>
            <w:r>
              <w:rPr>
                <w:rFonts w:ascii="Times New Roman" w:hAnsi="Times New Roman"/>
                <w:sz w:val="20"/>
              </w:rPr>
              <w:t>05</w:t>
            </w:r>
          </w:p>
        </w:tc>
        <w:tc>
          <w:tcPr>
            <w:tcW w:type="dxa" w:w="2929"/>
          </w:tcPr>
          <w:p>
            <w:r>
              <w:rPr>
                <w:rFonts w:ascii="Times New Roman" w:hAnsi="Times New Roman"/>
                <w:sz w:val="20"/>
              </w:rPr>
              <w:t>`05_adoption_analysis.py`</w:t>
            </w:r>
          </w:p>
        </w:tc>
        <w:tc>
          <w:tcPr>
            <w:tcW w:type="dxa" w:w="2929"/>
          </w:tcPr>
          <w:p>
            <w:r>
              <w:rPr>
                <w:rFonts w:ascii="Times New Roman" w:hAnsi="Times New Roman"/>
                <w:sz w:val="20"/>
              </w:rPr>
              <w:t>Adoption patterns</w:t>
            </w:r>
          </w:p>
        </w:tc>
      </w:tr>
      <w:tr>
        <w:tc>
          <w:tcPr>
            <w:tcW w:type="dxa" w:w="2929"/>
          </w:tcPr>
          <w:p>
            <w:r>
              <w:rPr>
                <w:rFonts w:ascii="Times New Roman" w:hAnsi="Times New Roman"/>
                <w:sz w:val="20"/>
              </w:rPr>
              <w:t>06</w:t>
            </w:r>
          </w:p>
        </w:tc>
        <w:tc>
          <w:tcPr>
            <w:tcW w:type="dxa" w:w="2929"/>
          </w:tcPr>
          <w:p>
            <w:r>
              <w:rPr>
                <w:rFonts w:ascii="Times New Roman" w:hAnsi="Times New Roman"/>
                <w:sz w:val="20"/>
              </w:rPr>
              <w:t>`06_performance_analysis.py`</w:t>
            </w:r>
          </w:p>
        </w:tc>
        <w:tc>
          <w:tcPr>
            <w:tcW w:type="dxa" w:w="2929"/>
          </w:tcPr>
          <w:p>
            <w:r>
              <w:rPr>
                <w:rFonts w:ascii="Times New Roman" w:hAnsi="Times New Roman"/>
                <w:sz w:val="20"/>
              </w:rPr>
              <w:t>Performance benchmarks</w:t>
            </w:r>
          </w:p>
        </w:tc>
      </w:tr>
      <w:tr>
        <w:tc>
          <w:tcPr>
            <w:tcW w:type="dxa" w:w="2929"/>
          </w:tcPr>
          <w:p>
            <w:r>
              <w:rPr>
                <w:rFonts w:ascii="Times New Roman" w:hAnsi="Times New Roman"/>
                <w:sz w:val="20"/>
              </w:rPr>
              <w:t>07</w:t>
            </w:r>
          </w:p>
        </w:tc>
        <w:tc>
          <w:tcPr>
            <w:tcW w:type="dxa" w:w="2929"/>
          </w:tcPr>
          <w:p>
            <w:r>
              <w:rPr>
                <w:rFonts w:ascii="Times New Roman" w:hAnsi="Times New Roman"/>
                <w:sz w:val="20"/>
              </w:rPr>
              <w:t>`07_funding_analysis.py`</w:t>
            </w:r>
          </w:p>
        </w:tc>
        <w:tc>
          <w:tcPr>
            <w:tcW w:type="dxa" w:w="2929"/>
          </w:tcPr>
          <w:p>
            <w:r>
              <w:rPr>
                <w:rFonts w:ascii="Times New Roman" w:hAnsi="Times New Roman"/>
                <w:sz w:val="20"/>
              </w:rPr>
              <w:t>Funding structure</w:t>
            </w:r>
          </w:p>
        </w:tc>
      </w:tr>
      <w:tr>
        <w:tc>
          <w:tcPr>
            <w:tcW w:type="dxa" w:w="2929"/>
          </w:tcPr>
          <w:p>
            <w:r>
              <w:rPr>
                <w:rFonts w:ascii="Times New Roman" w:hAnsi="Times New Roman"/>
                <w:sz w:val="20"/>
              </w:rPr>
              <w:t>08</w:t>
            </w:r>
          </w:p>
        </w:tc>
        <w:tc>
          <w:tcPr>
            <w:tcW w:type="dxa" w:w="2929"/>
          </w:tcPr>
          <w:p>
            <w:r>
              <w:rPr>
                <w:rFonts w:ascii="Times New Roman" w:hAnsi="Times New Roman"/>
                <w:sz w:val="20"/>
              </w:rPr>
              <w:t>`08_category_comparison.py`</w:t>
            </w:r>
          </w:p>
        </w:tc>
        <w:tc>
          <w:tcPr>
            <w:tcW w:type="dxa" w:w="2929"/>
          </w:tcPr>
          <w:p>
            <w:r>
              <w:rPr>
                <w:rFonts w:ascii="Times New Roman" w:hAnsi="Times New Roman"/>
                <w:sz w:val="20"/>
              </w:rPr>
              <w:t>Cross-category comparison</w:t>
            </w:r>
          </w:p>
        </w:tc>
      </w:tr>
      <w:tr>
        <w:tc>
          <w:tcPr>
            <w:tcW w:type="dxa" w:w="2929"/>
          </w:tcPr>
          <w:p>
            <w:r>
              <w:rPr>
                <w:rFonts w:ascii="Times New Roman" w:hAnsi="Times New Roman"/>
                <w:sz w:val="20"/>
              </w:rPr>
              <w:t>09</w:t>
            </w:r>
          </w:p>
        </w:tc>
        <w:tc>
          <w:tcPr>
            <w:tcW w:type="dxa" w:w="2929"/>
          </w:tcPr>
          <w:p>
            <w:r>
              <w:rPr>
                <w:rFonts w:ascii="Times New Roman" w:hAnsi="Times New Roman"/>
                <w:sz w:val="20"/>
              </w:rPr>
              <w:t>`09_key_insights.py`</w:t>
            </w:r>
          </w:p>
        </w:tc>
        <w:tc>
          <w:tcPr>
            <w:tcW w:type="dxa" w:w="2929"/>
          </w:tcPr>
          <w:p>
            <w:r>
              <w:rPr>
                <w:rFonts w:ascii="Times New Roman" w:hAnsi="Times New Roman"/>
                <w:sz w:val="20"/>
              </w:rPr>
              <w:t>Key insight extraction</w:t>
            </w:r>
          </w:p>
        </w:tc>
      </w:tr>
      <w:tr>
        <w:tc>
          <w:tcPr>
            <w:tcW w:type="dxa" w:w="2929"/>
          </w:tcPr>
          <w:p>
            <w:r>
              <w:rPr>
                <w:rFonts w:ascii="Times New Roman" w:hAnsi="Times New Roman"/>
                <w:sz w:val="20"/>
              </w:rPr>
              <w:t>10</w:t>
            </w:r>
          </w:p>
        </w:tc>
        <w:tc>
          <w:tcPr>
            <w:tcW w:type="dxa" w:w="2929"/>
          </w:tcPr>
          <w:p>
            <w:r>
              <w:rPr>
                <w:rFonts w:ascii="Times New Roman" w:hAnsi="Times New Roman"/>
                <w:sz w:val="20"/>
              </w:rPr>
              <w:t>`10_token_type_analysis.py`</w:t>
            </w:r>
          </w:p>
        </w:tc>
        <w:tc>
          <w:tcPr>
            <w:tcW w:type="dxa" w:w="2929"/>
          </w:tcPr>
          <w:p>
            <w:r>
              <w:rPr>
                <w:rFonts w:ascii="Times New Roman" w:hAnsi="Times New Roman"/>
                <w:sz w:val="20"/>
              </w:rPr>
              <w:t>Token type analysis</w:t>
            </w:r>
          </w:p>
        </w:tc>
      </w:tr>
      <w:tr>
        <w:tc>
          <w:tcPr>
            <w:tcW w:type="dxa" w:w="2929"/>
          </w:tcPr>
          <w:p>
            <w:r>
              <w:rPr>
                <w:rFonts w:ascii="Times New Roman" w:hAnsi="Times New Roman"/>
                <w:sz w:val="20"/>
              </w:rPr>
              <w:t>11</w:t>
            </w:r>
          </w:p>
        </w:tc>
        <w:tc>
          <w:tcPr>
            <w:tcW w:type="dxa" w:w="2929"/>
          </w:tcPr>
          <w:p>
            <w:r>
              <w:rPr>
                <w:rFonts w:ascii="Times New Roman" w:hAnsi="Times New Roman"/>
                <w:sz w:val="20"/>
              </w:rPr>
              <w:t>`11_sector_deep_dive.py`</w:t>
            </w:r>
          </w:p>
        </w:tc>
        <w:tc>
          <w:tcPr>
            <w:tcW w:type="dxa" w:w="2929"/>
          </w:tcPr>
          <w:p>
            <w:r>
              <w:rPr>
                <w:rFonts w:ascii="Times New Roman" w:hAnsi="Times New Roman"/>
                <w:sz w:val="20"/>
              </w:rPr>
              <w:t>Sector deep dive</w:t>
            </w:r>
          </w:p>
        </w:tc>
      </w:tr>
      <w:tr>
        <w:tc>
          <w:tcPr>
            <w:tcW w:type="dxa" w:w="2929"/>
          </w:tcPr>
          <w:p>
            <w:r>
              <w:rPr>
                <w:rFonts w:ascii="Times New Roman" w:hAnsi="Times New Roman"/>
                <w:sz w:val="20"/>
              </w:rPr>
              <w:t>12</w:t>
            </w:r>
          </w:p>
        </w:tc>
        <w:tc>
          <w:tcPr>
            <w:tcW w:type="dxa" w:w="2929"/>
          </w:tcPr>
          <w:p>
            <w:r>
              <w:rPr>
                <w:rFonts w:ascii="Times New Roman" w:hAnsi="Times New Roman"/>
                <w:sz w:val="20"/>
              </w:rPr>
              <w:t>`12_anomaly_analysis.py`</w:t>
            </w:r>
          </w:p>
        </w:tc>
        <w:tc>
          <w:tcPr>
            <w:tcW w:type="dxa" w:w="2929"/>
          </w:tcPr>
          <w:p>
            <w:r>
              <w:rPr>
                <w:rFonts w:ascii="Times New Roman" w:hAnsi="Times New Roman"/>
                <w:sz w:val="20"/>
              </w:rPr>
              <w:t>Anomaly detection</w:t>
            </w:r>
          </w:p>
        </w:tc>
      </w:tr>
      <w:tr>
        <w:tc>
          <w:tcPr>
            <w:tcW w:type="dxa" w:w="2929"/>
          </w:tcPr>
          <w:p>
            <w:r>
              <w:rPr>
                <w:rFonts w:ascii="Times New Roman" w:hAnsi="Times New Roman"/>
                <w:sz w:val="20"/>
              </w:rPr>
              <w:t>13</w:t>
            </w:r>
          </w:p>
        </w:tc>
        <w:tc>
          <w:tcPr>
            <w:tcW w:type="dxa" w:w="2929"/>
          </w:tcPr>
          <w:p>
            <w:r>
              <w:rPr>
                <w:rFonts w:ascii="Times New Roman" w:hAnsi="Times New Roman"/>
                <w:sz w:val="20"/>
              </w:rPr>
              <w:t>`13_ecosystem_overview.py`</w:t>
            </w:r>
          </w:p>
        </w:tc>
        <w:tc>
          <w:tcPr>
            <w:tcW w:type="dxa" w:w="2929"/>
          </w:tcPr>
          <w:p>
            <w:r>
              <w:rPr>
                <w:rFonts w:ascii="Times New Roman" w:hAnsi="Times New Roman"/>
                <w:sz w:val="20"/>
              </w:rPr>
              <w:t>Full ecosystem summary</w:t>
            </w:r>
          </w:p>
        </w:tc>
      </w:tr>
    </w:tbl>
    <w:p/>
    <w:p>
      <w:pPr>
        <w:pStyle w:val="Heading2"/>
      </w:pPr>
      <w:r>
        <w:t>Reproducibility Instructions</w:t>
      </w:r>
    </w:p>
    <w:p>
      <w:pPr>
        <w:pStyle w:val="Heading3"/>
      </w:pPr>
      <w:r>
        <w:t>Environment Setup</w:t>
      </w:r>
    </w:p>
    <w:p>
      <w:pPr>
        <w:spacing w:after="0" w:before="0"/>
      </w:pPr>
      <w:r>
        <w:rPr>
          <w:rFonts w:ascii="Courier New" w:hAnsi="Courier New"/>
          <w:sz w:val="18"/>
        </w:rPr>
        <w:t># Install Python dependencies</w:t>
      </w:r>
    </w:p>
    <w:p>
      <w:pPr>
        <w:spacing w:after="0" w:before="0"/>
      </w:pPr>
      <w:r>
        <w:rPr>
          <w:rFonts w:ascii="Courier New" w:hAnsi="Courier New"/>
          <w:sz w:val="18"/>
        </w:rPr>
        <w:t>pip install -r requirements.txt</w:t>
      </w:r>
    </w:p>
    <w:p>
      <w:pPr>
        <w:spacing w:after="0" w:before="0"/>
      </w:pPr>
      <w:r>
        <w:rPr>
          <w:rFonts w:ascii="Courier New" w:hAnsi="Courier New"/>
          <w:sz w:val="18"/>
        </w:rPr>
      </w:r>
    </w:p>
    <w:p>
      <w:pPr>
        <w:spacing w:after="0" w:before="0"/>
      </w:pPr>
      <w:r>
        <w:rPr>
          <w:rFonts w:ascii="Courier New" w:hAnsi="Courier New"/>
          <w:sz w:val="18"/>
        </w:rPr>
        <w:t># Key libraries used:</w:t>
      </w:r>
    </w:p>
    <w:p>
      <w:pPr>
        <w:spacing w:after="0" w:before="0"/>
      </w:pPr>
      <w:r>
        <w:rPr>
          <w:rFonts w:ascii="Courier New" w:hAnsi="Courier New"/>
          <w:sz w:val="18"/>
        </w:rPr>
        <w:t># pandas, numpy, scipy, scikit-learn, matplotlib, seaborn, openpyxl</w:t>
      </w:r>
    </w:p>
    <w:p>
      <w:pPr>
        <w:pStyle w:val="Heading3"/>
      </w:pPr>
      <w:r>
        <w:t>Running the Latest Pipeline</w:t>
      </w:r>
    </w:p>
    <w:p>
      <w:pPr>
        <w:spacing w:after="0" w:before="0"/>
      </w:pPr>
      <w:r>
        <w:rPr>
          <w:rFonts w:ascii="Courier New" w:hAnsi="Courier New"/>
          <w:sz w:val="18"/>
        </w:rPr>
        <w:t>cd analytics_new/</w:t>
      </w:r>
    </w:p>
    <w:p>
      <w:pPr>
        <w:spacing w:after="0" w:before="0"/>
      </w:pPr>
      <w:r>
        <w:rPr>
          <w:rFonts w:ascii="Courier New" w:hAnsi="Courier New"/>
          <w:sz w:val="18"/>
        </w:rPr>
      </w:r>
    </w:p>
    <w:p>
      <w:pPr>
        <w:spacing w:after="0" w:before="0"/>
      </w:pPr>
      <w:r>
        <w:rPr>
          <w:rFonts w:ascii="Courier New" w:hAnsi="Courier New"/>
          <w:sz w:val="18"/>
        </w:rPr>
        <w:t># Step 1: Prepare cohorts</w:t>
      </w:r>
    </w:p>
    <w:p>
      <w:pPr>
        <w:spacing w:after="0" w:before="0"/>
      </w:pPr>
      <w:r>
        <w:rPr>
          <w:rFonts w:ascii="Courier New" w:hAnsi="Courier New"/>
          <w:sz w:val="18"/>
        </w:rPr>
        <w:t>python 01_prepare_cohorts.py</w:t>
      </w:r>
    </w:p>
    <w:p>
      <w:pPr>
        <w:spacing w:after="0" w:before="0"/>
      </w:pPr>
      <w:r>
        <w:rPr>
          <w:rFonts w:ascii="Courier New" w:hAnsi="Courier New"/>
          <w:sz w:val="18"/>
        </w:rPr>
      </w:r>
    </w:p>
    <w:p>
      <w:pPr>
        <w:spacing w:after="0" w:before="0"/>
      </w:pPr>
      <w:r>
        <w:rPr>
          <w:rFonts w:ascii="Courier New" w:hAnsi="Courier New"/>
          <w:sz w:val="18"/>
        </w:rPr>
        <w:t># Step 2: Ecosystem analysis</w:t>
      </w:r>
    </w:p>
    <w:p>
      <w:pPr>
        <w:spacing w:after="0" w:before="0"/>
      </w:pPr>
      <w:r>
        <w:rPr>
          <w:rFonts w:ascii="Courier New" w:hAnsi="Courier New"/>
          <w:sz w:val="18"/>
        </w:rPr>
        <w:t>python 02_ecosystem_analysis.py</w:t>
      </w:r>
    </w:p>
    <w:p>
      <w:pPr>
        <w:spacing w:after="0" w:before="0"/>
      </w:pPr>
      <w:r>
        <w:rPr>
          <w:rFonts w:ascii="Courier New" w:hAnsi="Courier New"/>
          <w:sz w:val="18"/>
        </w:rPr>
      </w:r>
    </w:p>
    <w:p>
      <w:pPr>
        <w:spacing w:after="0" w:before="0"/>
      </w:pPr>
      <w:r>
        <w:rPr>
          <w:rFonts w:ascii="Courier New" w:hAnsi="Courier New"/>
          <w:sz w:val="18"/>
        </w:rPr>
        <w:t># Step 3: DApp-level analysis</w:t>
      </w:r>
    </w:p>
    <w:p>
      <w:pPr>
        <w:spacing w:after="0" w:before="0"/>
      </w:pPr>
      <w:r>
        <w:rPr>
          <w:rFonts w:ascii="Courier New" w:hAnsi="Courier New"/>
          <w:sz w:val="18"/>
        </w:rPr>
        <w:t>python 03_dapp_level_analysis.py</w:t>
      </w:r>
    </w:p>
    <w:p>
      <w:pPr>
        <w:spacing w:after="0" w:before="0"/>
      </w:pPr>
      <w:r>
        <w:rPr>
          <w:rFonts w:ascii="Courier New" w:hAnsi="Courier New"/>
          <w:sz w:val="18"/>
        </w:rPr>
      </w:r>
    </w:p>
    <w:p>
      <w:pPr>
        <w:spacing w:after="0" w:before="0"/>
      </w:pPr>
      <w:r>
        <w:rPr>
          <w:rFonts w:ascii="Courier New" w:hAnsi="Courier New"/>
          <w:sz w:val="18"/>
        </w:rPr>
        <w:t># Step 4: Generate thesis report</w:t>
      </w:r>
    </w:p>
    <w:p>
      <w:pPr>
        <w:spacing w:after="0" w:before="0"/>
      </w:pPr>
      <w:r>
        <w:rPr>
          <w:rFonts w:ascii="Courier New" w:hAnsi="Courier New"/>
          <w:sz w:val="18"/>
        </w:rPr>
        <w:t>python 04_thesis_report.py</w:t>
      </w:r>
    </w:p>
    <w:p>
      <w:pPr>
        <w:pStyle w:val="Heading3"/>
      </w:pPr>
      <w:r>
        <w:t>Source Data</w:t>
      </w:r>
    </w:p>
    <w:p>
      <w:r>
        <w:t xml:space="preserve">Primary input: </w:t>
      </w:r>
      <w:r>
        <w:rPr>
          <w:rFonts w:ascii="Courier New" w:hAnsi="Courier New"/>
          <w:sz w:val="20"/>
        </w:rPr>
        <w:t>DAPP_Dataset_Nov_2025 - Final.csv</w:t>
      </w:r>
      <w:r>
        <w:t xml:space="preserve"> (repo root) This CSV is the canonical source for all pipeline scripts.</w:t>
      </w:r>
    </w:p>
    <w:p>
      <w:pPr>
        <w:pStyle w:val="Heading2"/>
      </w:pPr>
      <w:r>
        <w:t>Output Files</w:t>
      </w:r>
    </w:p>
    <w:p>
      <w:r>
        <w:t xml:space="preserve">All analysis outputs are generated in </w:t>
      </w:r>
      <w:r>
        <w:rPr>
          <w:rFonts w:ascii="Courier New" w:hAnsi="Courier New"/>
          <w:sz w:val="20"/>
        </w:rPr>
        <w:t>analytics_new/outputs/</w:t>
      </w:r>
      <w:r>
        <w:t>:</w:t>
      </w:r>
    </w:p>
    <w:p>
      <w:pPr>
        <w:pStyle w:val="ListBullet"/>
      </w:pPr>
      <w:r>
        <w:rPr>
          <w:rFonts w:ascii="Courier New" w:hAnsi="Courier New"/>
          <w:sz w:val="20"/>
        </w:rPr>
        <w:t>METHODOLOGY.md</w:t>
      </w:r>
      <w:r>
        <w:t xml:space="preserve"> — Analysis methodology documentation</w:t>
      </w:r>
    </w:p>
    <w:p>
      <w:pPr>
        <w:pStyle w:val="ListBullet"/>
      </w:pPr>
      <w:r>
        <w:rPr>
          <w:rFonts w:ascii="Courier New" w:hAnsi="Courier New"/>
          <w:sz w:val="20"/>
        </w:rPr>
        <w:t>RESULTS_AND_DISCUSSION.md</w:t>
      </w:r>
      <w:r>
        <w:t xml:space="preserve"> — Full results narrative</w:t>
      </w:r>
    </w:p>
    <w:p>
      <w:pPr>
        <w:pStyle w:val="ListBullet"/>
      </w:pPr>
      <w:r>
        <w:rPr>
          <w:rFonts w:ascii="Courier New" w:hAnsi="Courier New"/>
          <w:sz w:val="20"/>
        </w:rPr>
        <w:t>KEY_INSIGHTS.md</w:t>
      </w:r>
      <w:r>
        <w:t xml:space="preserve"> — Summary of key research insights</w:t>
      </w:r>
    </w:p>
    <w:p>
      <w:pPr>
        <w:pStyle w:val="ListBullet"/>
      </w:pPr>
      <w:r>
        <w:rPr>
          <w:rFonts w:ascii="Courier New" w:hAnsi="Courier New"/>
          <w:sz w:val="20"/>
        </w:rPr>
        <w:t>ANOMALIES.md</w:t>
      </w:r>
      <w:r>
        <w:t xml:space="preserve"> — Detected anomalies and notable patterns</w:t>
      </w:r>
    </w:p>
    <w:p>
      <w:pPr>
        <w:pStyle w:val="ListBullet"/>
      </w:pPr>
      <w:r>
        <w:rPr>
          <w:rFonts w:ascii="Courier New" w:hAnsi="Courier New"/>
          <w:sz w:val="20"/>
        </w:rPr>
        <w:t>THESIS_BRIEF.md</w:t>
      </w:r>
      <w:r>
        <w:t xml:space="preserve"> — Condensed thesis brief</w:t>
      </w:r>
    </w:p>
    <w:p>
      <w:r>
        <w:t>All figure files (</w:t>
      </w:r>
      <w:r>
        <w:rPr>
          <w:rFonts w:ascii="Courier New" w:hAnsi="Courier New"/>
          <w:sz w:val="20"/>
        </w:rPr>
        <w:t>.png</w:t>
      </w:r>
      <w:r>
        <w:t xml:space="preserve">) are generated in the </w:t>
      </w:r>
      <w:r>
        <w:rPr>
          <w:rFonts w:ascii="Courier New" w:hAnsi="Courier New"/>
          <w:sz w:val="20"/>
        </w:rPr>
        <w:t>outputs/</w:t>
      </w:r>
      <w:r>
        <w:t xml:space="preserve"> directory and referenced in the thesis chapters.</w:t>
      </w:r>
    </w:p>
    <w:p>
      <w:pPr>
        <w:pStyle w:val="Heading2"/>
      </w:pPr>
      <w:r>
        <w:t>Key Methodological Choices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b/>
                <w:sz w:val="20"/>
              </w:rPr>
              <w:t>Choice</w:t>
            </w:r>
          </w:p>
        </w:tc>
        <w:tc>
          <w:tcPr>
            <w:tcW w:type="dxa" w:w="4394"/>
          </w:tcPr>
          <w:p>
            <w:r>
              <w:rPr>
                <w:rFonts w:ascii="Times New Roman" w:hAnsi="Times New Roman"/>
                <w:b/>
                <w:sz w:val="20"/>
              </w:rPr>
              <w:t>Rationale</w:t>
            </w:r>
          </w:p>
        </w:tc>
      </w:tr>
      <w:tr>
        <w:tc>
          <w:tcPr>
            <w:tcW w:type="dxa" w:w="4394"/>
          </w:tcPr>
          <w:p>
            <w:r>
              <w:rPr>
                <w:rFonts w:ascii="Times New Roman" w:hAnsi="Times New Roman"/>
                <w:sz w:val="20"/>
              </w:rPr>
              <w:t>K-means clustering (k=3)</w:t>
            </w:r>
          </w:p>
        </w:tc>
        <w:tc>
          <w:tcPr>
            <w:tcW w:type="dxa" w:w="4394"/>
          </w:tcPr>
          <w:p>
            <w:r>
              <w:rPr>
                <w:rFonts w:ascii="Times New Roman" w:hAnsi="Times New Roman"/>
                <w:sz w:val="20"/>
              </w:rPr>
              <w:t>Identifies primary, secondary, and tertiary DApp cohorts without prior cluster definition</w:t>
            </w:r>
          </w:p>
        </w:tc>
      </w:tr>
      <w:tr>
        <w:tc>
          <w:tcPr>
            <w:tcW w:type="dxa" w:w="4394"/>
          </w:tcPr>
          <w:p>
            <w:r>
              <w:rPr>
                <w:rFonts w:ascii="Times New Roman" w:hAnsi="Times New Roman"/>
                <w:sz w:val="20"/>
              </w:rPr>
              <w:t>PCA for dimensionality reduction</w:t>
            </w:r>
          </w:p>
        </w:tc>
        <w:tc>
          <w:tcPr>
            <w:tcW w:type="dxa" w:w="4394"/>
          </w:tcPr>
          <w:p>
            <w:r>
              <w:rPr>
                <w:rFonts w:ascii="Times New Roman" w:hAnsi="Times New Roman"/>
                <w:sz w:val="20"/>
              </w:rPr>
              <w:t>Reduces 48 variables to meaningful composite dimensions for visualisation</w:t>
            </w:r>
          </w:p>
        </w:tc>
      </w:tr>
      <w:tr>
        <w:tc>
          <w:tcPr>
            <w:tcW w:type="dxa" w:w="4394"/>
          </w:tcPr>
          <w:p>
            <w:r>
              <w:rPr>
                <w:rFonts w:ascii="Times New Roman" w:hAnsi="Times New Roman"/>
                <w:sz w:val="20"/>
              </w:rPr>
              <w:t>Gini coefficient</w:t>
            </w:r>
          </w:p>
        </w:tc>
        <w:tc>
          <w:tcPr>
            <w:tcW w:type="dxa" w:w="4394"/>
          </w:tcPr>
          <w:p>
            <w:r>
              <w:rPr>
                <w:rFonts w:ascii="Times New Roman" w:hAnsi="Times New Roman"/>
                <w:sz w:val="20"/>
              </w:rPr>
              <w:t>Standard measure of concentration; comparable to income inequality literature</w:t>
            </w:r>
          </w:p>
        </w:tc>
      </w:tr>
      <w:tr>
        <w:tc>
          <w:tcPr>
            <w:tcW w:type="dxa" w:w="4394"/>
          </w:tcPr>
          <w:p>
            <w:r>
              <w:rPr>
                <w:rFonts w:ascii="Times New Roman" w:hAnsi="Times New Roman"/>
                <w:sz w:val="20"/>
              </w:rPr>
              <w:t>Composite governance score</w:t>
            </w:r>
          </w:p>
        </w:tc>
        <w:tc>
          <w:tcPr>
            <w:tcW w:type="dxa" w:w="4394"/>
          </w:tcPr>
          <w:p>
            <w:r>
              <w:rPr>
                <w:rFonts w:ascii="Times New Roman" w:hAnsi="Times New Roman"/>
                <w:sz w:val="20"/>
              </w:rPr>
              <w:t>Aggregates governance_type, ownership_status, and decentralisation_level into a 0–1 scale</w:t>
            </w:r>
          </w:p>
        </w:tc>
      </w:tr>
      <w:tr>
        <w:tc>
          <w:tcPr>
            <w:tcW w:type="dxa" w:w="4394"/>
          </w:tcPr>
          <w:p>
            <w:r>
              <w:rPr>
                <w:rFonts w:ascii="Times New Roman" w:hAnsi="Times New Roman"/>
                <w:sz w:val="20"/>
              </w:rPr>
              <w:t>Loose/strict sample split</w:t>
            </w:r>
          </w:p>
        </w:tc>
        <w:tc>
          <w:tcPr>
            <w:tcW w:type="dxa" w:w="4394"/>
          </w:tcPr>
          <w:p>
            <w:r>
              <w:rPr>
                <w:rFonts w:ascii="Times New Roman" w:hAnsi="Times New Roman"/>
                <w:sz w:val="20"/>
              </w:rPr>
              <w:t>Preserves full-universe statistics while enabling deeper analysis on complete-data subset</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40" w:after="120"/>
      <w:outlineLvl w:val="4"/>
    </w:pPr>
    <w:rPr>
      <w:rFonts w:asciiTheme="majorHAnsi" w:eastAsiaTheme="majorEastAsia" w:hAnsiTheme="majorHAnsi" w:cstheme="majorBidi" w:ascii="Times New Roman" w:hAnsi="Times New Roman"/>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