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sz w:val="52"/>
          <w:szCs w:val="52"/>
        </w:rPr>
        <w:t xml:space="preserve">Wistia Video Analytics</w:t>
      </w:r>
    </w:p>
    <w:p>
      <w:pPr>
        <w:spacing w:after="200"/>
        <w:jc w:val="center"/>
      </w:pPr>
      <w:r>
        <w:rPr>
          <w:rFonts w:ascii="Calibri" w:cs="Calibri" w:eastAsia="Calibri" w:hAnsi="Calibri"/>
          <w:sz w:val="32"/>
          <w:szCs w:val="32"/>
        </w:rPr>
        <w:t xml:space="preserve">End-to-End Data Engineering Project</w:t>
      </w:r>
    </w:p>
    <w:p>
      <w:pPr>
        <w:spacing w:after="600"/>
        <w:jc w:val="center"/>
      </w:pPr>
      <w:r>
        <w:rPr>
          <w:rFonts w:ascii="Calibri" w:cs="Calibri" w:eastAsia="Calibri" w:hAnsi="Calibri"/>
          <w:i/>
          <w:iCs/>
          <w:sz w:val="28"/>
          <w:szCs w:val="28"/>
        </w:rPr>
        <w:t xml:space="preserve">Architecture Proposal and Request for SME Approval</w:t>
      </w:r>
    </w:p>
    <w:p>
      <w:pPr>
        <w:spacing w:after="80"/>
        <w:jc w:val="center"/>
      </w:pPr>
      <w:r>
        <w:rPr>
          <w:rFonts w:ascii="Calibri" w:cs="Calibri" w:eastAsia="Calibri" w:hAnsi="Calibri"/>
          <w:b/>
          <w:bCs/>
          <w:sz w:val="22"/>
          <w:szCs w:val="22"/>
        </w:rPr>
        <w:t xml:space="preserve">Author: </w:t>
      </w:r>
      <w:r>
        <w:rPr>
          <w:rFonts w:ascii="Calibri" w:cs="Calibri" w:eastAsia="Calibri" w:hAnsi="Calibri"/>
          <w:sz w:val="22"/>
          <w:szCs w:val="22"/>
        </w:rPr>
        <w:t xml:space="preserve">Krishna C. Mukherjee</w:t>
      </w:r>
    </w:p>
    <w:p>
      <w:pPr>
        <w:spacing w:after="80"/>
        <w:jc w:val="center"/>
      </w:pPr>
      <w:r>
        <w:rPr>
          <w:rFonts w:ascii="Calibri" w:cs="Calibri" w:eastAsia="Calibri" w:hAnsi="Calibri"/>
          <w:b/>
          <w:bCs/>
          <w:sz w:val="22"/>
          <w:szCs w:val="22"/>
        </w:rPr>
        <w:t xml:space="preserve">Date: </w:t>
      </w:r>
      <w:r>
        <w:rPr>
          <w:rFonts w:ascii="Calibri" w:cs="Calibri" w:eastAsia="Calibri" w:hAnsi="Calibri"/>
          <w:sz w:val="22"/>
          <w:szCs w:val="22"/>
        </w:rPr>
        <w:t xml:space="preserve">September 14, 2026</w:t>
      </w:r>
    </w:p>
    <w:p>
      <w:pPr>
        <w:spacing w:after="80"/>
        <w:jc w:val="center"/>
      </w:pPr>
      <w:r>
        <w:rPr>
          <w:rFonts w:ascii="Calibri" w:cs="Calibri" w:eastAsia="Calibri" w:hAnsi="Calibri"/>
          <w:b/>
          <w:bCs/>
          <w:sz w:val="22"/>
          <w:szCs w:val="22"/>
        </w:rPr>
        <w:t xml:space="preserve">Version: </w:t>
      </w:r>
      <w:r>
        <w:rPr>
          <w:rFonts w:ascii="Calibri" w:cs="Calibri" w:eastAsia="Calibri" w:hAnsi="Calibri"/>
          <w:sz w:val="22"/>
          <w:szCs w:val="22"/>
        </w:rPr>
        <w:t xml:space="preserve">1.0 (draft for SME review)</w:t>
      </w:r>
    </w:p>
    <w:p>
      <w:pPr>
        <w:spacing w:after="80"/>
        <w:jc w:val="center"/>
      </w:pPr>
      <w:r>
        <w:rPr>
          <w:rFonts w:ascii="Calibri" w:cs="Calibri" w:eastAsia="Calibri" w:hAnsi="Calibri"/>
          <w:b/>
          <w:bCs/>
          <w:sz w:val="22"/>
          <w:szCs w:val="22"/>
        </w:rPr>
        <w:t xml:space="preserve">Status: </w:t>
      </w:r>
      <w:r>
        <w:rPr>
          <w:rFonts w:ascii="Calibri" w:cs="Calibri" w:eastAsia="Calibri" w:hAnsi="Calibri"/>
          <w:sz w:val="22"/>
          <w:szCs w:val="22"/>
        </w:rPr>
        <w:t xml:space="preserve">Awaiting SME approval before implementation begins</w:t>
      </w:r>
    </w:p>
    <w:p>
      <w:r>
        <w:br w:type="page"/>
      </w:r>
    </w:p>
    <w:p>
      <w:pPr>
        <w:pStyle w:val="Heading1"/>
        <w:spacing w:after="120" w:before="320"/>
      </w:pPr>
      <w:r>
        <w:rPr>
          <w:rFonts w:ascii="Calibri" w:cs="Calibri" w:eastAsia="Calibri" w:hAnsi="Calibri"/>
        </w:rPr>
        <w:t xml:space="preserve">1. Purpose</w:t>
      </w:r>
    </w:p>
    <w:p>
      <w:pPr>
        <w:spacing w:after="120"/>
      </w:pPr>
      <w:r>
        <w:rPr>
          <w:rFonts w:ascii="Calibri" w:cs="Calibri" w:eastAsia="Calibri" w:hAnsi="Calibri"/>
          <w:sz w:val="22"/>
          <w:szCs w:val="22"/>
        </w:rPr>
        <w:t xml:space="preserve">This document proposes the architecture for the Wistia Video Analytics data engineering project and requests SME approval before implementation begins, as required by the project brief (FR1). It describes the ingestion, storage, processing, orchestration, CI/CD, and reporting design; defines the data model; and lists the assumptions, deviations, and risks on which SME confirmation is requested.</w:t>
      </w:r>
    </w:p>
    <w:p>
      <w:pPr>
        <w:spacing w:after="120"/>
      </w:pPr>
      <w:r>
        <w:rPr>
          <w:rFonts w:ascii="Calibri" w:cs="Calibri" w:eastAsia="Calibri" w:hAnsi="Calibri"/>
          <w:sz w:val="22"/>
          <w:szCs w:val="22"/>
        </w:rPr>
        <w:t xml:space="preserve">The design follows the medallion pattern used successfully on my two previous projects (Azure Healthcare Metrics and GlobalPartners Business Insights) so that proven components can be reused and the seven-day production run can start as early as possible.</w:t>
      </w:r>
    </w:p>
    <w:p>
      <w:pPr>
        <w:pStyle w:val="Heading2"/>
        <w:spacing w:after="100" w:before="240"/>
      </w:pPr>
      <w:r>
        <w:rPr>
          <w:rFonts w:ascii="Calibri" w:cs="Calibri" w:eastAsia="Calibri" w:hAnsi="Calibri"/>
        </w:rPr>
        <w:t xml:space="preserve">1.1 Decisions requested from the SME</w:t>
      </w:r>
    </w:p>
    <w:p>
      <w:pPr>
        <w:spacing w:after="120"/>
      </w:pPr>
      <w:r>
        <w:rPr>
          <w:rFonts w:ascii="Calibri" w:cs="Calibri" w:eastAsia="Calibri" w:hAnsi="Calibri"/>
          <w:sz w:val="22"/>
          <w:szCs w:val="22"/>
        </w:rPr>
        <w:t xml:space="preserve">Section 9 lists nine numbered items. A reply confirming or amending each item is sufficient; no signature is required.</w:t>
      </w:r>
    </w:p>
    <w:p>
      <w:pPr>
        <w:pStyle w:val="Heading1"/>
        <w:spacing w:after="120" w:before="320"/>
      </w:pPr>
      <w:r>
        <w:rPr>
          <w:rFonts w:ascii="Calibri" w:cs="Calibri" w:eastAsia="Calibri" w:hAnsi="Calibri"/>
        </w:rPr>
        <w:t xml:space="preserve">2. Business Objective and Scope</w:t>
      </w:r>
    </w:p>
    <w:p>
      <w:pPr>
        <w:spacing w:after="120"/>
      </w:pPr>
      <w:r>
        <w:rPr>
          <w:rFonts w:ascii="Calibri" w:cs="Calibri" w:eastAsia="Calibri" w:hAnsi="Calibri"/>
          <w:sz w:val="22"/>
          <w:szCs w:val="22"/>
        </w:rPr>
        <w:t xml:space="preserve">The marketing team uses Wistia to track video engagement for content distributed through Facebook and YouTube. The project will collect media-level and visitor-level analytics from the Wistia Stats API for the two assigned media (hashed IDs 8hunphufxp and 9k4tbcdfg0), load them into a structured dimensional model on Azure, run the pipeline unattended for seven consecutive days, and provide reporting that supports marketing decisions.</w:t>
      </w:r>
    </w:p>
    <w:p>
      <w:pPr>
        <w:spacing w:after="120"/>
      </w:pPr>
      <w:r>
        <w:rPr>
          <w:rFonts w:ascii="Calibri" w:cs="Calibri" w:eastAsia="Calibri" w:hAnsi="Calibri"/>
          <w:sz w:val="22"/>
          <w:szCs w:val="22"/>
        </w:rPr>
        <w:t xml:space="preserve">Mandatory constraints from the brief:</w:t>
      </w:r>
    </w:p>
    <w:p>
      <w:pPr>
        <w:pStyle w:val="ListParagraph"/>
        <w:numPr>
          <w:ilvl w:val="0"/>
          <w:numId w:val="2"/>
        </w:numPr>
        <w:spacing w:after="60"/>
      </w:pPr>
      <w:r>
        <w:rPr>
          <w:rFonts w:ascii="Calibri" w:cs="Calibri" w:eastAsia="Calibri" w:hAnsi="Calibri"/>
          <w:sz w:val="22"/>
          <w:szCs w:val="22"/>
        </w:rPr>
        <w:t xml:space="preserve">Cloud platform limited to AWS or Azure; Azure is selected (see Section 9, item 1).</w:t>
      </w:r>
    </w:p>
    <w:p>
      <w:pPr>
        <w:pStyle w:val="ListParagraph"/>
        <w:numPr>
          <w:ilvl w:val="0"/>
          <w:numId w:val="2"/>
        </w:numPr>
        <w:spacing w:after="60"/>
      </w:pPr>
      <w:r>
        <w:rPr>
          <w:rFonts w:ascii="Calibri" w:cs="Calibri" w:eastAsia="Calibri" w:hAnsi="Calibri"/>
          <w:sz w:val="22"/>
          <w:szCs w:val="22"/>
        </w:rPr>
        <w:t xml:space="preserve">Python for API ingestion; PySpark for all transformation; no dbt.</w:t>
      </w:r>
    </w:p>
    <w:p>
      <w:pPr>
        <w:pStyle w:val="ListParagraph"/>
        <w:numPr>
          <w:ilvl w:val="0"/>
          <w:numId w:val="2"/>
        </w:numPr>
        <w:spacing w:after="60"/>
      </w:pPr>
      <w:r>
        <w:rPr>
          <w:rFonts w:ascii="Calibri" w:cs="Calibri" w:eastAsia="Calibri" w:hAnsi="Calibri"/>
          <w:sz w:val="22"/>
          <w:szCs w:val="22"/>
        </w:rPr>
        <w:t xml:space="preserve">GitHub for version control and CI/CD.</w:t>
      </w:r>
    </w:p>
    <w:p>
      <w:pPr>
        <w:pStyle w:val="ListParagraph"/>
        <w:numPr>
          <w:ilvl w:val="0"/>
          <w:numId w:val="2"/>
        </w:numPr>
        <w:spacing w:after="60"/>
      </w:pPr>
      <w:r>
        <w:rPr>
          <w:rFonts w:ascii="Calibri" w:cs="Calibri" w:eastAsia="Calibri" w:hAnsi="Calibri"/>
          <w:sz w:val="22"/>
          <w:szCs w:val="22"/>
        </w:rPr>
        <w:t xml:space="preserve">Pagination, incremental ingestion, error handling, retries, and logging must be demonstrated.</w:t>
      </w:r>
    </w:p>
    <w:p>
      <w:pPr>
        <w:pStyle w:val="ListParagraph"/>
        <w:numPr>
          <w:ilvl w:val="0"/>
          <w:numId w:val="2"/>
        </w:numPr>
        <w:spacing w:after="60"/>
      </w:pPr>
      <w:r>
        <w:rPr>
          <w:rFonts w:ascii="Calibri" w:cs="Calibri" w:eastAsia="Calibri" w:hAnsi="Calibri"/>
          <w:sz w:val="22"/>
          <w:szCs w:val="22"/>
        </w:rPr>
        <w:t xml:space="preserve">The pipeline must run in production mode for seven consecutive days.</w:t>
      </w:r>
    </w:p>
    <w:p>
      <w:pPr>
        <w:pStyle w:val="Heading1"/>
        <w:spacing w:after="120" w:before="320"/>
      </w:pPr>
      <w:r>
        <w:rPr>
          <w:rFonts w:ascii="Calibri" w:cs="Calibri" w:eastAsia="Calibri" w:hAnsi="Calibri"/>
        </w:rPr>
        <w:t xml:space="preserve">3. Proposed Architecture</w:t>
      </w:r>
    </w:p>
    <w:p>
      <w:pPr>
        <w:pStyle w:val="Heading2"/>
        <w:spacing w:after="100" w:before="240"/>
      </w:pPr>
      <w:r>
        <w:rPr>
          <w:rFonts w:ascii="Calibri" w:cs="Calibri" w:eastAsia="Calibri" w:hAnsi="Calibri"/>
        </w:rPr>
        <w:t xml:space="preserve">3.1 Overview</w:t>
      </w:r>
    </w:p>
    <w:p>
      <w:pPr>
        <w:spacing w:after="120"/>
      </w:pPr>
      <w:r>
        <w:rPr>
          <w:rFonts w:ascii="Calibri" w:cs="Calibri" w:eastAsia="Calibri" w:hAnsi="Calibri"/>
          <w:sz w:val="22"/>
          <w:szCs w:val="22"/>
        </w:rPr>
        <w:t xml:space="preserve">Data flows through four layers on a single Azure subscription. Azure Data Factory (ADF) orchestrates a daily run that executes three Synapse notebooks in sequence: a Python ingestion notebook that calls the Wistia API and lands raw JSON in the bronze zone, a PySpark notebook that produces typed and deduplicated silver tables, and a PySpark notebook that builds the gold dimensional model. Synapse serverless SQL exposes the gold tables as a queryable warehouse, and a Streamlit dashboard reads the gold Parquet files.</w:t>
      </w:r>
    </w:p>
    <w:p>
      <w:pPr>
        <w:spacing w:after="120"/>
      </w:pPr>
      <w:r>
        <w:rPr>
          <w:rFonts w:ascii="Consolas" w:cs="Consolas" w:eastAsia="Consolas" w:hAnsi="Consolas"/>
          <w:sz w:val="20"/>
          <w:szCs w:val="20"/>
        </w:rPr>
        <w:t xml:space="preserve">Wistia Stats API  -&gt;  [00_ingest_wistia: Python]  -&gt;  ADLS Gen2 bronze (raw JSON)</w:t>
      </w:r>
    </w:p>
    <w:p>
      <w:pPr>
        <w:spacing w:after="120"/>
      </w:pPr>
      <w:r>
        <w:rPr>
          <w:rFonts w:ascii="Consolas" w:cs="Consolas" w:eastAsia="Consolas" w:hAnsi="Consolas"/>
          <w:sz w:val="20"/>
          <w:szCs w:val="20"/>
        </w:rPr>
        <w:t xml:space="preserve">  -&gt;  [01_silver: PySpark]  -&gt;  ADLS Gen2 silver (Parquet)</w:t>
      </w:r>
    </w:p>
    <w:p>
      <w:pPr>
        <w:spacing w:after="120"/>
      </w:pPr>
      <w:r>
        <w:rPr>
          <w:rFonts w:ascii="Consolas" w:cs="Consolas" w:eastAsia="Consolas" w:hAnsi="Consolas"/>
          <w:sz w:val="20"/>
          <w:szCs w:val="20"/>
        </w:rPr>
        <w:t xml:space="preserve">  -&gt;  [02_gold: PySpark]  -&gt;  ADLS Gen2 gold (dimensional model) + Synapse serverless SQL views</w:t>
      </w:r>
    </w:p>
    <w:p>
      <w:pPr>
        <w:spacing w:after="120"/>
      </w:pPr>
      <w:r>
        <w:rPr>
          <w:rFonts w:ascii="Consolas" w:cs="Consolas" w:eastAsia="Consolas" w:hAnsi="Consolas"/>
          <w:sz w:val="20"/>
          <w:szCs w:val="20"/>
        </w:rPr>
        <w:t xml:space="preserve">  -&gt;  Streamlit dashboard        Orchestration: ADF daily trigger    CI/CD: GitHub Actions</w:t>
      </w:r>
    </w:p>
    <w:p>
      <w:pPr>
        <w:spacing w:after="120"/>
      </w:pPr>
      <w:r>
        <w:rPr>
          <w:rFonts w:ascii="Calibri" w:cs="Calibri" w:eastAsia="Calibri" w:hAnsi="Calibri"/>
          <w:sz w:val="22"/>
          <w:szCs w:val="22"/>
        </w:rPr>
        <w:t xml:space="preserve">A draw.io diagram in the same style as the previous two projects will accompany the repository.</w:t>
      </w:r>
    </w:p>
    <w:p>
      <w:pPr>
        <w:pStyle w:val="Heading2"/>
        <w:spacing w:after="100" w:before="240"/>
      </w:pPr>
      <w:r>
        <w:rPr>
          <w:rFonts w:ascii="Calibri" w:cs="Calibri" w:eastAsia="Calibri" w:hAnsi="Calibri"/>
        </w:rPr>
        <w:t xml:space="preserve">3.2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4560"/>
      </w:tblGrid>
      <w:tr>
        <w:trPr>
          <w:tblHeader/>
        </w:trPr>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Layer</w:t>
            </w:r>
          </w:p>
        </w:tc>
        <w:tc>
          <w:tcPr>
            <w:tcW w:type="dxa" w:w="3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Azure component</w:t>
            </w:r>
          </w:p>
        </w:tc>
        <w:tc>
          <w:tcPr>
            <w:tcW w:type="dxa" w:w="45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Responsibility</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Ingestion</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Synapse notebook 00_ingest_wistia (pure Python, requests)</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Authenticate, page through, and incrementally pull the six Wistia endpoints; write raw JSON to bronze with a manifest and run log</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Secrets</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Azure Key Vault kv-wistia-kcm</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Holds the Wistia API token; read at runtime through the Synapse managed identity. The token never appears in code or in the repository</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Storage</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ADLS Gen2 stwistiakcm (containers bronze, silver, gold, synapse)</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Immutable raw JSON (bronze), typed Parquet (silver), dimensional Parquet (gold)</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Processing</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Synapse Spark pool sparkpool1 (Spark 3.4, Small, 3 nodes, auto-pause 15 min)</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PySpark notebooks 01_silver and 02_gold</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Warehouse</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Synapse serverless SQL</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External views over gold Parquet so the model is queryable as a DWH (FR10)</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Orchestration</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ADF adf-wistia-kcm, pipeline pl_wistia_daily, trigger trg_daily_0300</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Daily run at 03:00 Eastern; retries, alerts, and run history</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CI/CD</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GitHub Actions</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Lint, unit tests for pagination and watermark logic, notebook and ARM validation on every push; deployment of notebooks on merge to main</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Reporting</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Streamlit app (local, reading synced gold Parquet)</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Optional dashboards (FR11)</w:t>
            </w:r>
          </w:p>
        </w:tc>
      </w:tr>
    </w:tbl>
    <w:p>
      <w:pPr>
        <w:spacing w:after="120"/>
      </w:pPr>
    </w:p>
    <w:p>
      <w:pPr>
        <w:spacing w:after="120"/>
      </w:pPr>
      <w:r>
        <w:rPr>
          <w:rFonts w:ascii="Calibri" w:cs="Calibri" w:eastAsia="Calibri" w:hAnsi="Calibri"/>
          <w:sz w:val="22"/>
          <w:szCs w:val="22"/>
        </w:rPr>
        <w:t xml:space="preserve">All resources are created in a new resource group rg-wistia in West US 3 by Azure CLI scripts kept under infra/ in the repository, so the environment is reproducible from the repo.</w:t>
      </w:r>
    </w:p>
    <w:p>
      <w:pPr>
        <w:pStyle w:val="Heading2"/>
        <w:spacing w:after="100" w:before="240"/>
      </w:pPr>
      <w:r>
        <w:rPr>
          <w:rFonts w:ascii="Calibri" w:cs="Calibri" w:eastAsia="Calibri" w:hAnsi="Calibri"/>
        </w:rPr>
        <w:t xml:space="preserve">3.3 Design rationale</w:t>
      </w:r>
    </w:p>
    <w:p>
      <w:pPr>
        <w:pStyle w:val="ListParagraph"/>
        <w:numPr>
          <w:ilvl w:val="0"/>
          <w:numId w:val="2"/>
        </w:numPr>
        <w:spacing w:after="60"/>
      </w:pPr>
      <w:r>
        <w:rPr>
          <w:rFonts w:ascii="Calibri" w:cs="Calibri" w:eastAsia="Calibri" w:hAnsi="Calibri"/>
          <w:sz w:val="22"/>
          <w:szCs w:val="22"/>
        </w:rPr>
        <w:t xml:space="preserve">Ingestion in a Synapse notebook rather than an Azure Function keeps one orchestrator (ADF), one identity model, and one runtime to monitor, and it still satisfies the requirement that ingestion be written in Python. An Azure Function on a timer trigger is the documented alternative if the SME prefers a standalone service.</w:t>
      </w:r>
    </w:p>
    <w:p>
      <w:pPr>
        <w:pStyle w:val="ListParagraph"/>
        <w:numPr>
          <w:ilvl w:val="0"/>
          <w:numId w:val="2"/>
        </w:numPr>
        <w:spacing w:after="60"/>
      </w:pPr>
      <w:r>
        <w:rPr>
          <w:rFonts w:ascii="Calibri" w:cs="Calibri" w:eastAsia="Calibri" w:hAnsi="Calibri"/>
          <w:sz w:val="22"/>
          <w:szCs w:val="22"/>
        </w:rPr>
        <w:t xml:space="preserve">Raw JSON is retained unchanged in bronze so any transformation defect can be corrected by rerunning silver and gold without calling the API again.</w:t>
      </w:r>
    </w:p>
    <w:p>
      <w:pPr>
        <w:pStyle w:val="ListParagraph"/>
        <w:numPr>
          <w:ilvl w:val="0"/>
          <w:numId w:val="2"/>
        </w:numPr>
        <w:spacing w:after="60"/>
      </w:pPr>
      <w:r>
        <w:rPr>
          <w:rFonts w:ascii="Calibri" w:cs="Calibri" w:eastAsia="Calibri" w:hAnsi="Calibri"/>
          <w:sz w:val="22"/>
          <w:szCs w:val="22"/>
        </w:rPr>
        <w:t xml:space="preserve">Every layer is partitioned by run date and writes are idempotent (overwrite of the run partition), so a failed day can be rerun safely.</w:t>
      </w:r>
    </w:p>
    <w:p>
      <w:pPr>
        <w:pStyle w:val="ListParagraph"/>
        <w:numPr>
          <w:ilvl w:val="0"/>
          <w:numId w:val="2"/>
        </w:numPr>
        <w:spacing w:after="60"/>
      </w:pPr>
      <w:r>
        <w:rPr>
          <w:rFonts w:ascii="Calibri" w:cs="Calibri" w:eastAsia="Calibri" w:hAnsi="Calibri"/>
          <w:sz w:val="22"/>
          <w:szCs w:val="22"/>
        </w:rPr>
        <w:t xml:space="preserve">Parquet on ADLS with serverless SQL views meets the structured data model requirement without a provisioned database, which keeps cost low for a seven-day run.</w:t>
      </w:r>
    </w:p>
    <w:p>
      <w:pPr>
        <w:pStyle w:val="Heading1"/>
        <w:spacing w:after="120" w:before="320"/>
      </w:pPr>
      <w:r>
        <w:rPr>
          <w:rFonts w:ascii="Calibri" w:cs="Calibri" w:eastAsia="Calibri" w:hAnsi="Calibri"/>
        </w:rPr>
        <w:t xml:space="preserve">4. Source API and Ingestion Design</w:t>
      </w:r>
    </w:p>
    <w:p>
      <w:pPr>
        <w:pStyle w:val="Heading2"/>
        <w:spacing w:after="100" w:before="240"/>
      </w:pPr>
      <w:r>
        <w:rPr>
          <w:rFonts w:ascii="Calibri" w:cs="Calibri" w:eastAsia="Calibri" w:hAnsi="Calibri"/>
        </w:rPr>
        <w:t xml:space="preserve">4.1 Authentication</w:t>
      </w:r>
    </w:p>
    <w:p>
      <w:pPr>
        <w:spacing w:after="120"/>
      </w:pPr>
      <w:r>
        <w:rPr>
          <w:rFonts w:ascii="Calibri" w:cs="Calibri" w:eastAsia="Calibri" w:hAnsi="Calibri"/>
          <w:sz w:val="22"/>
          <w:szCs w:val="22"/>
        </w:rPr>
        <w:t xml:space="preserve">Requests carry the API token as a Bearer header (Authorization: Bearer &lt;token&gt;), which is the method shown in the brief and in the current Wistia documentation. The brief describes this as token-based Basic Auth (FR2); Wistia accepts the token in either form, and the Bearer form is used. The token requires the “Read detailed stats” permission for the visitor and event endpoints.</w:t>
      </w:r>
    </w:p>
    <w:p>
      <w:pPr>
        <w:pStyle w:val="Heading2"/>
        <w:spacing w:after="100" w:before="240"/>
      </w:pPr>
      <w:r>
        <w:rPr>
          <w:rFonts w:ascii="Calibri" w:cs="Calibri" w:eastAsia="Calibri" w:hAnsi="Calibri"/>
        </w:rPr>
        <w:t xml:space="preserve">4.2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1100"/>
        <w:gridCol w:w="2660"/>
      </w:tblGrid>
      <w:tr>
        <w:trPr>
          <w:tblHeader/>
        </w:trPr>
        <w:tc>
          <w:tcPr>
            <w:tcW w:type="dxa" w:w="2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Endpoint (api.wistia.com/v1)</w:t>
            </w:r>
          </w:p>
        </w:tc>
        <w:tc>
          <w:tcPr>
            <w:tcW w:type="dxa" w:w="3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Purpose</w:t>
            </w:r>
          </w:p>
        </w:tc>
        <w:tc>
          <w:tcPr>
            <w:tcW w:type="dxa" w:w="1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Requirement</w:t>
            </w:r>
          </w:p>
        </w:tc>
        <w:tc>
          <w:tcPr>
            <w:tcW w:type="dxa" w:w="26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Pull strategy</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GET /medias/{id}.json</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Media metadata: name, hashed_id, created, updated, duration, project, asset URLs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FR3</w:t>
            </w:r>
          </w:p>
        </w:tc>
        <w:tc>
          <w:tcPr>
            <w:tcW w:type="dxa" w:w="2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Full pull each run (two media)</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GET /stats/medias/{id}.json</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Cumulative engagement: page loads, visitors, plays, play rate, average percent watched</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FR4</w:t>
            </w:r>
          </w:p>
        </w:tc>
        <w:tc>
          <w:tcPr>
            <w:tcW w:type="dxa" w:w="2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Full pull each run; daily snapshot retained</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GET /stats/medias/{id}/by_date.json</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Daily load count, play count, hours watched</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FR4, FR7</w:t>
            </w:r>
          </w:p>
        </w:tc>
        <w:tc>
          <w:tcPr>
            <w:tcW w:type="dxa" w:w="2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Incremental by date window with three-day lookback</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GET /stats/medias/{id}/engagement.json</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Engagement and rewatch curve by video position</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FR4</w:t>
            </w:r>
          </w:p>
        </w:tc>
        <w:tc>
          <w:tcPr>
            <w:tcW w:type="dxa" w:w="2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Full pull each run; daily snapshot retained</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GET /stats/visitors.json</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Visitor list: visitor_key, created_at, last_active_at, load and play counts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FR5, FR6</w:t>
            </w:r>
          </w:p>
        </w:tc>
        <w:tc>
          <w:tcPr>
            <w:tcW w:type="dxa" w:w="2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Paged; incremental on last_active_at watermark</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GET /stats/events.json</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Viewing sessions: event_key, visitor_key, received_at, percent_viewed, IP, country, region, city, media_id</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FR5, FR6, FR7</w:t>
            </w:r>
          </w:p>
        </w:tc>
        <w:tc>
          <w:tcPr>
            <w:tcW w:type="dxa" w:w="2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Paged per media; incremental on received_at window with lookback</w:t>
            </w:r>
          </w:p>
        </w:tc>
      </w:tr>
    </w:tbl>
    <w:p>
      <w:pPr>
        <w:spacing w:after="120"/>
      </w:pPr>
    </w:p>
    <w:p>
      <w:pPr>
        <w:spacing w:after="120"/>
      </w:pPr>
      <w:r>
        <w:rPr>
          <w:rFonts w:ascii="Calibri" w:cs="Calibri" w:eastAsia="Calibri" w:hAnsi="Calibri"/>
          <w:sz w:val="22"/>
          <w:szCs w:val="22"/>
        </w:rPr>
        <w:t xml:space="preserve">Phase 0 (API exploration) will confirm the exact field names and filter parameters of each endpoint against the live account before the notebooks are written, and the findings will be recorded in docs/api_exploration.md.</w:t>
      </w:r>
    </w:p>
    <w:p>
      <w:pPr>
        <w:pStyle w:val="Heading2"/>
        <w:spacing w:after="100" w:before="240"/>
      </w:pPr>
      <w:r>
        <w:rPr>
          <w:rFonts w:ascii="Calibri" w:cs="Calibri" w:eastAsia="Calibri" w:hAnsi="Calibri"/>
        </w:rPr>
        <w:t xml:space="preserve">4.3 Pagination (FR6)</w:t>
      </w:r>
    </w:p>
    <w:p>
      <w:pPr>
        <w:spacing w:after="120"/>
      </w:pPr>
      <w:r>
        <w:rPr>
          <w:rFonts w:ascii="Calibri" w:cs="Calibri" w:eastAsia="Calibri" w:hAnsi="Calibri"/>
          <w:sz w:val="22"/>
          <w:szCs w:val="22"/>
        </w:rPr>
        <w:t xml:space="preserve">The visitors and events endpoints are paged with page and per_page parameters. The ingestion loop requests per_page=100, increments page, and stops when a page returns fewer than 100 records or an empty list. Each page is written to bronze as its own file so that a partial failure leaves a diagnosable trail, and the manifest records the page count and record count per endpoint per run.</w:t>
      </w:r>
    </w:p>
    <w:p>
      <w:pPr>
        <w:pStyle w:val="Heading2"/>
        <w:spacing w:after="100" w:before="240"/>
      </w:pPr>
      <w:r>
        <w:rPr>
          <w:rFonts w:ascii="Calibri" w:cs="Calibri" w:eastAsia="Calibri" w:hAnsi="Calibri"/>
        </w:rPr>
        <w:t xml:space="preserve">4.4 Incremental ingestion (FR7)</w:t>
      </w:r>
    </w:p>
    <w:p>
      <w:pPr>
        <w:spacing w:after="120"/>
      </w:pPr>
      <w:r>
        <w:rPr>
          <w:rFonts w:ascii="Calibri" w:cs="Calibri" w:eastAsia="Calibri" w:hAnsi="Calibri"/>
          <w:sz w:val="22"/>
          <w:szCs w:val="22"/>
        </w:rPr>
        <w:t xml:space="preserve">A control file bronze/control/watermarks.json stores, per endpoint and media, the maximum received_at, last_active_at, or stats date successfully loaded. Each run pulls from the watermark minus a three-day lookback up to the run date. The lookback absorbs late-arriving stats and Wistia’s own recalculation of recent days; the overlap is removed in silver by deduplicating on natural keys (event_key, visitor_key, media_id plus date) and keeping the record from the latest ingest. The watermark is advanced only after the run completes successfully. The first run performs a historical backfill (events within Wistia’s two-year retention window), after which runs are incremental.</w:t>
      </w:r>
    </w:p>
    <w:p>
      <w:pPr>
        <w:pStyle w:val="Heading2"/>
        <w:spacing w:after="100" w:before="240"/>
      </w:pPr>
      <w:r>
        <w:rPr>
          <w:rFonts w:ascii="Calibri" w:cs="Calibri" w:eastAsia="Calibri" w:hAnsi="Calibri"/>
        </w:rPr>
        <w:t xml:space="preserve">4.5 Error handling, retries, and logging</w:t>
      </w:r>
    </w:p>
    <w:p>
      <w:pPr>
        <w:pStyle w:val="ListParagraph"/>
        <w:numPr>
          <w:ilvl w:val="0"/>
          <w:numId w:val="2"/>
        </w:numPr>
        <w:spacing w:after="60"/>
      </w:pPr>
      <w:r>
        <w:rPr>
          <w:rFonts w:ascii="Calibri" w:cs="Calibri" w:eastAsia="Calibri" w:hAnsi="Calibri"/>
          <w:sz w:val="22"/>
          <w:szCs w:val="22"/>
        </w:rPr>
        <w:t xml:space="preserve">HTTP 429, 503, and 5xx responses are retried with exponential backoff (1, 2, 4, 8, 16 seconds; five attempts). Wistia’s documented limit is 600 requests per minute per account and is not expected to be reached for two media.</w:t>
      </w:r>
    </w:p>
    <w:p>
      <w:pPr>
        <w:pStyle w:val="ListParagraph"/>
        <w:numPr>
          <w:ilvl w:val="0"/>
          <w:numId w:val="2"/>
        </w:numPr>
        <w:spacing w:after="60"/>
      </w:pPr>
      <w:r>
        <w:rPr>
          <w:rFonts w:ascii="Calibri" w:cs="Calibri" w:eastAsia="Calibri" w:hAnsi="Calibri"/>
          <w:sz w:val="22"/>
          <w:szCs w:val="22"/>
        </w:rPr>
        <w:t xml:space="preserve">HTTP 401 and 404 fail the run immediately with a clear message, since retrying cannot help.</w:t>
      </w:r>
    </w:p>
    <w:p>
      <w:pPr>
        <w:pStyle w:val="ListParagraph"/>
        <w:numPr>
          <w:ilvl w:val="0"/>
          <w:numId w:val="2"/>
        </w:numPr>
        <w:spacing w:after="60"/>
      </w:pPr>
      <w:r>
        <w:rPr>
          <w:rFonts w:ascii="Calibri" w:cs="Calibri" w:eastAsia="Calibri" w:hAnsi="Calibri"/>
          <w:sz w:val="22"/>
          <w:szCs w:val="22"/>
        </w:rPr>
        <w:t xml:space="preserve">Every request is logged with endpoint, page, status, latency, and record count to a run log written to bronze/control/run_log/ and surfaced in ADF activity output.</w:t>
      </w:r>
    </w:p>
    <w:p>
      <w:pPr>
        <w:pStyle w:val="ListParagraph"/>
        <w:numPr>
          <w:ilvl w:val="0"/>
          <w:numId w:val="2"/>
        </w:numPr>
        <w:spacing w:after="60"/>
      </w:pPr>
      <w:r>
        <w:rPr>
          <w:rFonts w:ascii="Calibri" w:cs="Calibri" w:eastAsia="Calibri" w:hAnsi="Calibri"/>
          <w:sz w:val="22"/>
          <w:szCs w:val="22"/>
        </w:rPr>
        <w:t xml:space="preserve">ADF retries a failed notebook activity once after ten minutes and sends an alert on final failure; a rerun of the same run date is idempotent.</w:t>
      </w:r>
    </w:p>
    <w:p>
      <w:pPr>
        <w:pStyle w:val="Heading2"/>
        <w:spacing w:after="100" w:before="240"/>
      </w:pPr>
      <w:r>
        <w:rPr>
          <w:rFonts w:ascii="Calibri" w:cs="Calibri" w:eastAsia="Calibri" w:hAnsi="Calibri"/>
        </w:rPr>
        <w:t xml:space="preserve">4.6 Bronze layout</w:t>
      </w:r>
    </w:p>
    <w:p>
      <w:pPr>
        <w:spacing w:after="120"/>
      </w:pPr>
      <w:r>
        <w:rPr>
          <w:rFonts w:ascii="Consolas" w:cs="Consolas" w:eastAsia="Consolas" w:hAnsi="Consolas"/>
          <w:sz w:val="20"/>
          <w:szCs w:val="20"/>
        </w:rPr>
        <w:t xml:space="preserve">bronze/wistia/&lt;endpoint&gt;/ingest_date=YYYY-MM-DD/media_id=&lt;id&gt;/page_0001.json</w:t>
      </w:r>
    </w:p>
    <w:p>
      <w:pPr>
        <w:spacing w:after="120"/>
      </w:pPr>
      <w:r>
        <w:rPr>
          <w:rFonts w:ascii="Consolas" w:cs="Consolas" w:eastAsia="Consolas" w:hAnsi="Consolas"/>
          <w:sz w:val="20"/>
          <w:szCs w:val="20"/>
        </w:rPr>
        <w:t xml:space="preserve">bronze/control/watermarks.json   bronze/control/run_log/run_date=YYYY-MM-DD.json</w:t>
      </w:r>
    </w:p>
    <w:p>
      <w:pPr>
        <w:pStyle w:val="Heading2"/>
        <w:spacing w:after="100" w:before="240"/>
      </w:pPr>
      <w:r>
        <w:rPr>
          <w:rFonts w:ascii="Calibri" w:cs="Calibri" w:eastAsia="Calibri" w:hAnsi="Calibri"/>
        </w:rPr>
        <w:t xml:space="preserve">4.7 Token handling</w:t>
      </w:r>
    </w:p>
    <w:p>
      <w:pPr>
        <w:spacing w:after="120"/>
      </w:pPr>
      <w:r>
        <w:rPr>
          <w:rFonts w:ascii="Calibri" w:cs="Calibri" w:eastAsia="Calibri" w:hAnsi="Calibri"/>
          <w:sz w:val="22"/>
          <w:szCs w:val="22"/>
        </w:rPr>
        <w:t xml:space="preserve">The API token printed in the requirements document is stored in Key Vault on day one and read at runtime by the ingestion notebook through a Key Vault linked service. The requirements document is committed to the repository only in redacted form, .gitignore excludes any local secrets file, and a CI check fails the build if a string matching the token pattern appears in a commit.</w:t>
      </w:r>
    </w:p>
    <w:p>
      <w:pPr>
        <w:pStyle w:val="Heading1"/>
        <w:spacing w:after="120" w:before="320"/>
      </w:pPr>
      <w:r>
        <w:rPr>
          <w:rFonts w:ascii="Calibri" w:cs="Calibri" w:eastAsia="Calibri" w:hAnsi="Calibri"/>
        </w:rPr>
        <w:t xml:space="preserve">5. Data Model</w:t>
      </w:r>
    </w:p>
    <w:p>
      <w:pPr>
        <w:pStyle w:val="Heading2"/>
        <w:spacing w:after="100" w:before="240"/>
      </w:pPr>
      <w:r>
        <w:rPr>
          <w:rFonts w:ascii="Calibri" w:cs="Calibri" w:eastAsia="Calibri" w:hAnsi="Calibri"/>
        </w:rPr>
        <w:t xml:space="preserve">5.1 Silver (typed, deduplicated Parquet)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Table</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Grain</w:t>
            </w:r>
          </w:p>
        </w:tc>
        <w:tc>
          <w:tcPr>
            <w:tcW w:type="dxa" w:w="41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Notes</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media</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One row per media per ingest date</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Typed metadata; latest row per media feeds dim_media</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media_stats_daily</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One row per media per stats date</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From by_date; deduplicated on media_id plus date</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media_stats_snapshot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One row per media per ingest date</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Cumulative totals from stats/medias; supports trend of cumulative metrics</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media_engagement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One row per media per position bucket per ingest date</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Engagement and rewatch arrays exploded</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visitors</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One row per visitor_key</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Latest last_active_at retained</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events</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One row per event_key</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Typed viewing sessions with IP, geography, and percent_viewed</w:t>
            </w:r>
          </w:p>
        </w:tc>
      </w:tr>
    </w:tbl>
    <w:p>
      <w:pPr>
        <w:spacing w:after="120"/>
      </w:pPr>
    </w:p>
    <w:p>
      <w:pPr>
        <w:pStyle w:val="Heading2"/>
        <w:spacing w:after="100" w:before="240"/>
      </w:pPr>
      <w:r>
        <w:rPr>
          <w:rFonts w:ascii="Calibri" w:cs="Calibri" w:eastAsia="Calibri" w:hAnsi="Calibri"/>
        </w:rPr>
        <w:t xml:space="preserve">5.2 Gold (dimensional model)</w:t>
      </w:r>
    </w:p>
    <w:p>
      <w:pPr>
        <w:spacing w:after="120"/>
      </w:pPr>
      <w:r>
        <w:rPr>
          <w:rFonts w:ascii="Calibri" w:cs="Calibri" w:eastAsia="Calibri" w:hAnsi="Calibri"/>
          <w:sz w:val="22"/>
          <w:szCs w:val="22"/>
        </w:rPr>
        <w:t xml:space="preserve">The brief’s simplified model is implemented as specified and extended with a date dimension and a media-day fact, because play rate and hours watched are published by Wistia at media-day grain and cannot be derived exactly at visitor grain.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rPr>
          <w:tblHeader/>
        </w:trPr>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Table</w:t>
            </w:r>
          </w:p>
        </w:tc>
        <w:tc>
          <w:tcPr>
            <w:tcW w:type="dxa" w:w="4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Columns</w:t>
            </w:r>
          </w:p>
        </w:tc>
        <w:tc>
          <w:tcPr>
            <w:tcW w:type="dxa" w:w="29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Source</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dim_media</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media_id (hashed_id), title, url, channel, created_at, updated_at, duration_seconds, project_name</w:t>
            </w:r>
          </w:p>
        </w:tc>
        <w:tc>
          <w:tcPr>
            <w:tcW w:type="dxa" w:w="2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silver.media; channel per Section 9, item 3</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dim_visitor</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visitor_id (visitor_key), ip_address, country, region, city, first_seen_at, last_active_at, total_loads, total_plays</w:t>
            </w:r>
          </w:p>
        </w:tc>
        <w:tc>
          <w:tcPr>
            <w:tcW w:type="dxa" w:w="2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silver.visitors joined to the visitor’s most recent event for IP and geography</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dim_date</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date_key, date, day_of_week, week, month, quarter, year, is_weekend</w:t>
            </w:r>
          </w:p>
        </w:tc>
        <w:tc>
          <w:tcPr>
            <w:tcW w:type="dxa" w:w="2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Generated</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fact_media_engagement</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media_id, visitor_id, date, play_count, play_rate, total_watch_time, watched_percent</w:t>
            </w:r>
          </w:p>
        </w:tc>
        <w:tc>
          <w:tcPr>
            <w:tcW w:type="dxa" w:w="2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silver.events aggregated by media, visitor, and date; play_rate carried from the media-day fact</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fact_media_daily</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media_id, date, load_count, play_count, play_rate, hours_watched, unique_visitors</w:t>
            </w:r>
          </w:p>
        </w:tc>
        <w:tc>
          <w:tcPr>
            <w:tcW w:type="dxa" w:w="2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silver.media_stats_daily plus distinct visitors from events</w:t>
            </w:r>
          </w:p>
        </w:tc>
      </w:tr>
    </w:tbl>
    <w:p>
      <w:pPr>
        <w:spacing w:after="120"/>
      </w:pPr>
    </w:p>
    <w:p>
      <w:pPr>
        <w:pStyle w:val="Heading2"/>
        <w:spacing w:after="100" w:before="240"/>
      </w:pPr>
      <w:r>
        <w:rPr>
          <w:rFonts w:ascii="Calibri" w:cs="Calibri" w:eastAsia="Calibri" w:hAnsi="Calibri"/>
        </w:rPr>
        <w:t xml:space="preserve">5.3 Measure definitions</w:t>
      </w:r>
    </w:p>
    <w:p>
      <w:pPr>
        <w:pStyle w:val="ListParagraph"/>
        <w:numPr>
          <w:ilvl w:val="0"/>
          <w:numId w:val="2"/>
        </w:numPr>
        <w:spacing w:after="60"/>
      </w:pPr>
      <w:r>
        <w:rPr>
          <w:rFonts w:ascii="Calibri" w:cs="Calibri" w:eastAsia="Calibri" w:hAnsi="Calibri"/>
          <w:b/>
          <w:bCs/>
          <w:sz w:val="22"/>
          <w:szCs w:val="22"/>
        </w:rPr>
        <w:t xml:space="preserve">play_count</w:t>
      </w:r>
      <w:r>
        <w:rPr>
          <w:rFonts w:ascii="Calibri" w:cs="Calibri" w:eastAsia="Calibri" w:hAnsi="Calibri"/>
          <w:sz w:val="22"/>
          <w:szCs w:val="22"/>
        </w:rPr>
        <w:t xml:space="preserve">: number of viewing sessions (events) for the visitor, media, and date.</w:t>
      </w:r>
    </w:p>
    <w:p>
      <w:pPr>
        <w:pStyle w:val="ListParagraph"/>
        <w:numPr>
          <w:ilvl w:val="0"/>
          <w:numId w:val="2"/>
        </w:numPr>
        <w:spacing w:after="60"/>
      </w:pPr>
      <w:r>
        <w:rPr>
          <w:rFonts w:ascii="Calibri" w:cs="Calibri" w:eastAsia="Calibri" w:hAnsi="Calibri"/>
          <w:b/>
          <w:bCs/>
          <w:sz w:val="22"/>
          <w:szCs w:val="22"/>
        </w:rPr>
        <w:t xml:space="preserve">watched_percent</w:t>
      </w:r>
      <w:r>
        <w:rPr>
          <w:rFonts w:ascii="Calibri" w:cs="Calibri" w:eastAsia="Calibri" w:hAnsi="Calibri"/>
          <w:sz w:val="22"/>
          <w:szCs w:val="22"/>
        </w:rPr>
        <w:t xml:space="preserve">: average percent_viewed across the visitor’s sessions that day; the maximum is also retained as max_watched_percent.</w:t>
      </w:r>
    </w:p>
    <w:p>
      <w:pPr>
        <w:pStyle w:val="ListParagraph"/>
        <w:numPr>
          <w:ilvl w:val="0"/>
          <w:numId w:val="2"/>
        </w:numPr>
        <w:spacing w:after="60"/>
      </w:pPr>
      <w:r>
        <w:rPr>
          <w:rFonts w:ascii="Calibri" w:cs="Calibri" w:eastAsia="Calibri" w:hAnsi="Calibri"/>
          <w:b/>
          <w:bCs/>
          <w:sz w:val="22"/>
          <w:szCs w:val="22"/>
        </w:rPr>
        <w:t xml:space="preserve">total_watch_time</w:t>
      </w:r>
      <w:r>
        <w:rPr>
          <w:rFonts w:ascii="Calibri" w:cs="Calibri" w:eastAsia="Calibri" w:hAnsi="Calibri"/>
          <w:sz w:val="22"/>
          <w:szCs w:val="22"/>
        </w:rPr>
        <w:t xml:space="preserve">: sum of percent_viewed multiplied by media duration, in seconds. This is an estimate, since Wistia publishes exact watch time only at media-day grain (hours_watched).</w:t>
      </w:r>
    </w:p>
    <w:p>
      <w:pPr>
        <w:pStyle w:val="ListParagraph"/>
        <w:numPr>
          <w:ilvl w:val="0"/>
          <w:numId w:val="2"/>
        </w:numPr>
        <w:spacing w:after="60"/>
      </w:pPr>
      <w:r>
        <w:rPr>
          <w:rFonts w:ascii="Calibri" w:cs="Calibri" w:eastAsia="Calibri" w:hAnsi="Calibri"/>
          <w:b/>
          <w:bCs/>
          <w:sz w:val="22"/>
          <w:szCs w:val="22"/>
        </w:rPr>
        <w:t xml:space="preserve">play_rate</w:t>
      </w:r>
      <w:r>
        <w:rPr>
          <w:rFonts w:ascii="Calibri" w:cs="Calibri" w:eastAsia="Calibri" w:hAnsi="Calibri"/>
          <w:sz w:val="22"/>
          <w:szCs w:val="22"/>
        </w:rPr>
        <w:t xml:space="preserve">: plays divided by page loads for the media and date, from by_date. Wistia rounds published percentages to whole numbers; the rate is recomputed from counts where counts are available.</w:t>
      </w:r>
    </w:p>
    <w:p>
      <w:pPr>
        <w:pStyle w:val="Heading1"/>
        <w:spacing w:after="120" w:before="320"/>
      </w:pPr>
      <w:r>
        <w:rPr>
          <w:rFonts w:ascii="Calibri" w:cs="Calibri" w:eastAsia="Calibri" w:hAnsi="Calibri"/>
        </w:rPr>
        <w:t xml:space="preserve">6. Orchestration and Production Run (FR8)</w:t>
      </w:r>
    </w:p>
    <w:p>
      <w:pPr>
        <w:spacing w:after="120"/>
      </w:pPr>
      <w:r>
        <w:rPr>
          <w:rFonts w:ascii="Calibri" w:cs="Calibri" w:eastAsia="Calibri" w:hAnsi="Calibri"/>
          <w:sz w:val="22"/>
          <w:szCs w:val="22"/>
        </w:rPr>
        <w:t xml:space="preserve">ADF pipeline pl_wistia_daily takes a run_date parameter and executes nb_ingest, nb_silver, and nb_gold in sequence, each as a Synapse notebook activity with retry. Trigger trg_daily_0300 runs at 03:00 Eastern and passes the trigger’s scheduled date. The Spark pool supports one notebook session at a time, so the activities are strictly sequential.</w:t>
      </w:r>
    </w:p>
    <w:p>
      <w:pPr>
        <w:spacing w:after="120"/>
      </w:pPr>
      <w:r>
        <w:rPr>
          <w:rFonts w:ascii="Calibri" w:cs="Calibri" w:eastAsia="Calibri" w:hAnsi="Calibri"/>
          <w:sz w:val="22"/>
          <w:szCs w:val="22"/>
        </w:rPr>
        <w:t xml:space="preserve">Production mode is defined as: the trigger is started, no manual intervention occurs, and each day’s run is evidenced by the ADF run history, the run log in bronze/control, and a daily row count summary appended to docs/production_run_log.md. The production window will be provided to the SME once Phase 4 is complete and the end-to-end debug run has succeeded; the run will start on the next scheduled trigger date thereafter.</w:t>
      </w:r>
    </w:p>
    <w:p>
      <w:pPr>
        <w:pStyle w:val="Heading1"/>
        <w:spacing w:after="120" w:before="320"/>
      </w:pPr>
      <w:r>
        <w:rPr>
          <w:rFonts w:ascii="Calibri" w:cs="Calibri" w:eastAsia="Calibri" w:hAnsi="Calibri"/>
        </w:rPr>
        <w:t xml:space="preserve">7. CI/CD (FR9)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Workflow</w:t>
            </w:r>
          </w:p>
        </w:tc>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Trigger</w:t>
            </w:r>
          </w:p>
        </w:tc>
        <w:tc>
          <w:tcPr>
            <w:tcW w:type="dxa" w:w="49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Steps</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ci.yml (validation)</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Every push and pull request</w:t>
            </w:r>
          </w:p>
        </w:tc>
        <w:tc>
          <w:tcPr>
            <w:tcW w:type="dxa" w:w="4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ruff lint; pytest unit tests of the pagination loop, watermark logic, and retry handler using mocked HTTP responses; Python syntax check of all notebooks; JSON validation of the ADF ARM template; secret pattern scan</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deploy.yml (deployment)</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Merge to main</w:t>
            </w:r>
          </w:p>
        </w:tc>
        <w:tc>
          <w:tcPr>
            <w:tcW w:type="dxa" w:w="4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Log in with a GitHub OIDC federated credential; publish notebooks to the Synapse workspace and the ADF ARM template to the factory with Azure CLI</w:t>
            </w:r>
          </w:p>
        </w:tc>
      </w:tr>
    </w:tbl>
    <w:p>
      <w:pPr>
        <w:spacing w:after="120"/>
      </w:pPr>
    </w:p>
    <w:p>
      <w:pPr>
        <w:spacing w:after="120"/>
      </w:pPr>
      <w:r>
        <w:rPr>
          <w:rFonts w:ascii="Calibri" w:cs="Calibri" w:eastAsia="Calibri" w:hAnsi="Calibri"/>
          <w:sz w:val="22"/>
          <w:szCs w:val="22"/>
        </w:rPr>
        <w:t xml:space="preserve">Validation is mandatory and will be green before the production run starts. Deployment is implemented after validation and is not on the critical path for the run.</w:t>
      </w:r>
    </w:p>
    <w:p>
      <w:pPr>
        <w:pStyle w:val="Heading1"/>
        <w:spacing w:after="120" w:before="320"/>
      </w:pPr>
      <w:r>
        <w:rPr>
          <w:rFonts w:ascii="Calibri" w:cs="Calibri" w:eastAsia="Calibri" w:hAnsi="Calibri"/>
        </w:rPr>
        <w:t xml:space="preserve">8. Reporting (FR11, optional)</w:t>
      </w:r>
    </w:p>
    <w:p>
      <w:pPr>
        <w:spacing w:after="120"/>
      </w:pPr>
      <w:r>
        <w:rPr>
          <w:rFonts w:ascii="Calibri" w:cs="Calibri" w:eastAsia="Calibri" w:hAnsi="Calibri"/>
          <w:sz w:val="22"/>
          <w:szCs w:val="22"/>
        </w:rPr>
        <w:t xml:space="preserve">A single Streamlit application with four pages reads the gold Parquet files synced locally by an Azure CLI script, following the pattern of the previous project: (1) media overview and cumulative metrics, (2) daily plays, play rate, and hours watched by media, (3) engagement curve by video position, and (4) visitor geography and top visitors. Screenshots are included in the final report. No cloud credentials are embedded in the app.</w:t>
      </w:r>
    </w:p>
    <w:p>
      <w:pPr>
        <w:pStyle w:val="Heading1"/>
        <w:spacing w:after="120" w:before="320"/>
      </w:pPr>
      <w:r>
        <w:rPr>
          <w:rFonts w:ascii="Calibri" w:cs="Calibri" w:eastAsia="Calibri" w:hAnsi="Calibri"/>
        </w:rPr>
        <w:t xml:space="preserve">9. Assumptions, Deviations, and Risks Requiring SME Confirmation</w:t>
      </w:r>
    </w:p>
    <w:p>
      <w:pPr>
        <w:spacing w:after="120"/>
      </w:pPr>
      <w:r>
        <w:rPr>
          <w:rFonts w:ascii="Calibri" w:cs="Calibri" w:eastAsia="Calibri" w:hAnsi="Calibri"/>
          <w:sz w:val="22"/>
          <w:szCs w:val="22"/>
        </w:rPr>
        <w:t xml:space="preserve">Please confirm or amend each item.</w:t>
      </w:r>
    </w:p>
    <w:p>
      <w:pPr>
        <w:pStyle w:val="ListParagraph"/>
        <w:numPr>
          <w:ilvl w:val="0"/>
          <w:numId w:val="3"/>
        </w:numPr>
        <w:spacing w:after="80"/>
      </w:pPr>
      <w:r>
        <w:rPr>
          <w:rFonts w:ascii="Calibri" w:cs="Calibri" w:eastAsia="Calibri" w:hAnsi="Calibri"/>
          <w:sz w:val="22"/>
          <w:szCs w:val="22"/>
        </w:rPr>
        <w:t xml:space="preserve">Azure is used rather than AWS. The brief permits either; Azure allows reuse of the proven ADF, ADLS Gen2, and Synapse pattern from my previous two projects.</w:t>
      </w:r>
    </w:p>
    <w:p>
      <w:pPr>
        <w:pStyle w:val="ListParagraph"/>
        <w:numPr>
          <w:ilvl w:val="0"/>
          <w:numId w:val="3"/>
        </w:numPr>
        <w:spacing w:after="80"/>
      </w:pPr>
      <w:r>
        <w:rPr>
          <w:rFonts w:ascii="Calibri" w:cs="Calibri" w:eastAsia="Calibri" w:hAnsi="Calibri"/>
          <w:sz w:val="22"/>
          <w:szCs w:val="22"/>
        </w:rPr>
        <w:t xml:space="preserve">Ingestion runs as a pure-Python Synapse notebook orchestrated by ADF rather than as a standalone service. An Azure Function timer trigger is available as an alternative if a separate service is preferred.</w:t>
      </w:r>
    </w:p>
    <w:p>
      <w:pPr>
        <w:pStyle w:val="ListParagraph"/>
        <w:numPr>
          <w:ilvl w:val="0"/>
          <w:numId w:val="3"/>
        </w:numPr>
        <w:spacing w:after="80"/>
      </w:pPr>
      <w:r>
        <w:rPr>
          <w:rFonts w:ascii="Calibri" w:cs="Calibri" w:eastAsia="Calibri" w:hAnsi="Calibri"/>
          <w:sz w:val="22"/>
          <w:szCs w:val="22"/>
        </w:rPr>
        <w:t xml:space="preserve">The channel attribute (Facebook or YouTube) on dim_media is not exposed by the Wistia API. Proposed derivation, in order of preference: a media tag or project name in the Wistia account, an SME-supplied mapping for the two media IDs, or the value “Unknown” with the limitation documented. Please indicate which channel each of the two media belongs to if a mapping is acceptable.</w:t>
      </w:r>
    </w:p>
    <w:p>
      <w:pPr>
        <w:pStyle w:val="ListParagraph"/>
        <w:numPr>
          <w:ilvl w:val="0"/>
          <w:numId w:val="3"/>
        </w:numPr>
        <w:spacing w:after="80"/>
      </w:pPr>
      <w:r>
        <w:rPr>
          <w:rFonts w:ascii="Calibri" w:cs="Calibri" w:eastAsia="Calibri" w:hAnsi="Calibri"/>
          <w:sz w:val="22"/>
          <w:szCs w:val="22"/>
        </w:rPr>
        <w:t xml:space="preserve">The Wistia visitor endpoint does not carry IP address or country. dim_visitor takes these from the visitor’s most recent event, as documented in Section 5.2. IP addresses are personal data and will be stored only in the private storage account and never in the repository or dashboard screenshots.</w:t>
      </w:r>
    </w:p>
    <w:p>
      <w:pPr>
        <w:pStyle w:val="ListParagraph"/>
        <w:numPr>
          <w:ilvl w:val="0"/>
          <w:numId w:val="3"/>
        </w:numPr>
        <w:spacing w:after="80"/>
      </w:pPr>
      <w:r>
        <w:rPr>
          <w:rFonts w:ascii="Calibri" w:cs="Calibri" w:eastAsia="Calibri" w:hAnsi="Calibri"/>
          <w:sz w:val="22"/>
          <w:szCs w:val="22"/>
        </w:rPr>
        <w:t xml:space="preserve">The gold model adds dim_date and fact_media_daily to the brief’s three tables, and adds duration_seconds, updated_at, and project_name to dim_media, for the reasons given in Section 5.2.</w:t>
      </w:r>
    </w:p>
    <w:p>
      <w:pPr>
        <w:pStyle w:val="ListParagraph"/>
        <w:numPr>
          <w:ilvl w:val="0"/>
          <w:numId w:val="3"/>
        </w:numPr>
        <w:spacing w:after="80"/>
      </w:pPr>
      <w:r>
        <w:rPr>
          <w:rFonts w:ascii="Calibri" w:cs="Calibri" w:eastAsia="Calibri" w:hAnsi="Calibri"/>
          <w:sz w:val="22"/>
          <w:szCs w:val="22"/>
        </w:rPr>
        <w:t xml:space="preserve">total_watch_time at visitor grain is an estimate derived from percent_viewed and media duration; exact watch time is available only at media-day grain. Wistia rounds published percentages to whole numbers.</w:t>
      </w:r>
    </w:p>
    <w:p>
      <w:pPr>
        <w:pStyle w:val="ListParagraph"/>
        <w:numPr>
          <w:ilvl w:val="0"/>
          <w:numId w:val="3"/>
        </w:numPr>
        <w:spacing w:after="80"/>
      </w:pPr>
      <w:r>
        <w:rPr>
          <w:rFonts w:ascii="Calibri" w:cs="Calibri" w:eastAsia="Calibri" w:hAnsi="Calibri"/>
          <w:sz w:val="22"/>
          <w:szCs w:val="22"/>
        </w:rPr>
        <w:t xml:space="preserve">The example snippet in the requirements document uses media ID v08dlrgr7v, whereas the assigned IDs are 8hunphufxp and 9k4tbcdfg0. The assigned IDs are used; the snippet is assumed to be illustrative.</w:t>
      </w:r>
    </w:p>
    <w:p>
      <w:pPr>
        <w:pStyle w:val="ListParagraph"/>
        <w:numPr>
          <w:ilvl w:val="0"/>
          <w:numId w:val="3"/>
        </w:numPr>
        <w:spacing w:after="80"/>
      </w:pPr>
      <w:r>
        <w:rPr>
          <w:rFonts w:ascii="Calibri" w:cs="Calibri" w:eastAsia="Calibri" w:hAnsi="Calibri"/>
          <w:sz w:val="22"/>
          <w:szCs w:val="22"/>
        </w:rPr>
        <w:t xml:space="preserve">The seven-day production run window will be provided to the SME once Phase 4 (orchestration and CI) is complete, and submission will follow the close of that window. Because only two media are tracked, seven days may yield modest new activity; the dashboards therefore present the full historical view plus the seven-day deltas, and the run is evidenced by pipeline execution rather than by data volume.</w:t>
      </w:r>
    </w:p>
    <w:p>
      <w:pPr>
        <w:pStyle w:val="ListParagraph"/>
        <w:numPr>
          <w:ilvl w:val="0"/>
          <w:numId w:val="3"/>
        </w:numPr>
        <w:spacing w:after="80"/>
      </w:pPr>
      <w:r>
        <w:rPr>
          <w:rFonts w:ascii="Calibri" w:cs="Calibri" w:eastAsia="Calibri" w:hAnsi="Calibri"/>
          <w:sz w:val="22"/>
          <w:szCs w:val="22"/>
        </w:rPr>
        <w:t xml:space="preserve">Historical backfill on the first run covers events within Wistia’s two-year retention window and by_date statistics from each media’s created date. This is treated as in scope so that the model is complete from the first production day.</w:t>
      </w:r>
    </w:p>
    <w:p>
      <w:pPr>
        <w:pStyle w:val="Heading2"/>
        <w:spacing w:after="100" w:before="240"/>
      </w:pPr>
      <w:r>
        <w:rPr>
          <w:rFonts w:ascii="Calibri" w:cs="Calibri" w:eastAsia="Calibri" w:hAnsi="Calibri"/>
        </w:rPr>
        <w:t xml:space="preserve">9.1 Additional risks (for information)</w:t>
      </w:r>
    </w:p>
    <w:p>
      <w:pPr>
        <w:pStyle w:val="ListParagraph"/>
        <w:numPr>
          <w:ilvl w:val="0"/>
          <w:numId w:val="2"/>
        </w:numPr>
        <w:spacing w:after="60"/>
      </w:pPr>
      <w:r>
        <w:rPr>
          <w:rFonts w:ascii="Calibri" w:cs="Calibri" w:eastAsia="Calibri" w:hAnsi="Calibri"/>
          <w:sz w:val="22"/>
          <w:szCs w:val="22"/>
        </w:rPr>
        <w:t xml:space="preserve">The API token requires the “Read detailed stats” permission; Phase 0 verifies this before any build work.</w:t>
      </w:r>
    </w:p>
    <w:p>
      <w:pPr>
        <w:pStyle w:val="ListParagraph"/>
        <w:numPr>
          <w:ilvl w:val="0"/>
          <w:numId w:val="2"/>
        </w:numPr>
        <w:spacing w:after="60"/>
      </w:pPr>
      <w:r>
        <w:rPr>
          <w:rFonts w:ascii="Calibri" w:cs="Calibri" w:eastAsia="Calibri" w:hAnsi="Calibri"/>
          <w:sz w:val="22"/>
          <w:szCs w:val="22"/>
        </w:rPr>
        <w:t xml:space="preserve">Wistia returns HTTP 503 above 600 requests per minute; the retry handler covers this, and expected volume is far below the limit.</w:t>
      </w:r>
    </w:p>
    <w:p>
      <w:pPr>
        <w:pStyle w:val="ListParagraph"/>
        <w:numPr>
          <w:ilvl w:val="0"/>
          <w:numId w:val="2"/>
        </w:numPr>
        <w:spacing w:after="60"/>
      </w:pPr>
      <w:r>
        <w:rPr>
          <w:rFonts w:ascii="Calibri" w:cs="Calibri" w:eastAsia="Calibri" w:hAnsi="Calibri"/>
          <w:sz w:val="22"/>
          <w:szCs w:val="22"/>
        </w:rPr>
        <w:t xml:space="preserve">The Spark pool accepts one session at a time; notebook activities are sequenced accordingly.</w:t>
      </w:r>
    </w:p>
    <w:p>
      <w:pPr>
        <w:pStyle w:val="Heading1"/>
        <w:spacing w:after="120" w:before="320"/>
      </w:pPr>
      <w:r>
        <w:rPr>
          <w:rFonts w:ascii="Calibri" w:cs="Calibri" w:eastAsia="Calibri" w:hAnsi="Calibri"/>
        </w:rPr>
        <w:t xml:space="preserve">10. Plan and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860"/>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Phase</w:t>
            </w:r>
          </w:p>
        </w:tc>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Duration</w:t>
            </w:r>
          </w:p>
        </w:tc>
        <w:tc>
          <w:tcPr>
            <w:tcW w:type="dxa" w:w="48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Deliverable</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Proposal and approval</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 week, including SME reply</w:t>
            </w:r>
          </w:p>
        </w:tc>
        <w:tc>
          <w:tcPr>
            <w:tcW w:type="dxa" w:w="4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This document; SME reply</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Phase 0: API exploration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 days</w:t>
            </w:r>
          </w:p>
        </w:tc>
        <w:tc>
          <w:tcPr>
            <w:tcW w:type="dxa" w:w="4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docs/api_exploration.md confirming fields, filters, permissions, and record volumes for both media</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Phase 1: Environment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 days</w:t>
            </w:r>
          </w:p>
        </w:tc>
        <w:tc>
          <w:tcPr>
            <w:tcW w:type="dxa" w:w="4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rg-wistia, storage, Key Vault, Synapse workspace and pool, ADF; infra/ scripts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Phase 2: Ingestion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5 days</w:t>
            </w:r>
          </w:p>
        </w:tc>
        <w:tc>
          <w:tcPr>
            <w:tcW w:type="dxa" w:w="4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00_ingest_wistia with pagination, watermarks, retries, logging; unit tests; backfill run</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Phase 3: Silver and gold</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3 days</w:t>
            </w:r>
          </w:p>
        </w:tc>
        <w:tc>
          <w:tcPr>
            <w:tcW w:type="dxa" w:w="4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01_silver, 02_gold, serverless SQL views, reconciliation checks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Phase 4: Orchestration and CI</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 days</w:t>
            </w:r>
          </w:p>
        </w:tc>
        <w:tc>
          <w:tcPr>
            <w:tcW w:type="dxa" w:w="4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ADF pipeline and trigger; ci.yml green; end-to-end debug run</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Phase 5: Production run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7 consecutive days, unattended</w:t>
            </w:r>
          </w:p>
        </w:tc>
        <w:tc>
          <w:tcPr>
            <w:tcW w:type="dxa" w:w="4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Seven consecutive unattended daily runs with evidence</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Phase 6: Reporting and submission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 to 2 weeks, overlapping Phase 5</w:t>
            </w:r>
          </w:p>
        </w:tc>
        <w:tc>
          <w:tcPr>
            <w:tcW w:type="dxa" w:w="4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Streamlit dashboards, README, architecture diagram, final report, recorded walkthrough, repo submitted</w:t>
            </w:r>
          </w:p>
        </w:tc>
      </w:tr>
    </w:tbl>
    <w:p>
      <w:pPr>
        <w:spacing w:after="120"/>
      </w:pPr>
    </w:p>
    <w:p>
      <w:pPr>
        <w:pStyle w:val="Heading1"/>
        <w:spacing w:after="120" w:before="320"/>
      </w:pPr>
      <w:r>
        <w:rPr>
          <w:rFonts w:ascii="Calibri" w:cs="Calibri" w:eastAsia="Calibri" w:hAnsi="Calibri"/>
        </w:rPr>
        <w:t xml:space="preserve">11. Requirements Traceability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4560"/>
      </w:tblGrid>
      <w:tr>
        <w:trPr>
          <w:tblHeader/>
        </w:trPr>
        <w:tc>
          <w:tcPr>
            <w:tcW w:type="dxa" w:w="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ID</w:t>
            </w:r>
          </w:p>
        </w:tc>
        <w:tc>
          <w:tcPr>
            <w:tcW w:type="dxa" w:w="4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Requirement</w:t>
            </w:r>
          </w:p>
        </w:tc>
        <w:tc>
          <w:tcPr>
            <w:tcW w:type="dxa" w:w="45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Where satisfied</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FR1</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Own architecture for ingestion, processing, and storage</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Sections 3 to 6; this document</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FR2</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Authenticate to the Stats API</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Section 4.1; Key Vault</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FR3</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Media metadata</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medias endpoint; silver.media; dim_media</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FR4</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Engagement metrics</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stats/medias, by_date, engagement endpoints; fact_media_daily</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FR5</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Visitor-level data</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visitors and events endpoints; dim_visitor; fact_media_engagement</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FR6</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Pagination</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Section 4.3; unit tested</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FR7</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Incremental ingestion</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Section 4.4 watermarks and lookback; unit tested</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FR8</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Seven-day production run</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Section 6; ADF run history and production_run_log.md</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FR9</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CI/CD</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Section 7; GitHub Actions</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FR10</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Structured data model</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Section 5; gold Parquet with serverless SQL views</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FR11</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Reports or dashboards</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Section 8; Streamlit</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FR12</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GitHub repo with documentation</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README, docs/, infra/, adf/, notebooks/, tests/, dashboards/, .github/workflows/</w:t>
            </w:r>
          </w:p>
        </w:tc>
      </w:tr>
    </w:tbl>
    <w:p>
      <w:pPr>
        <w:spacing w:after="120"/>
      </w:pPr>
    </w:p>
    <w:p>
      <w:pPr>
        <w:pStyle w:val="Heading1"/>
        <w:spacing w:after="120" w:before="320"/>
      </w:pPr>
      <w:r>
        <w:rPr>
          <w:rFonts w:ascii="Calibri" w:cs="Calibri" w:eastAsia="Calibri" w:hAnsi="Calibri"/>
        </w:rPr>
        <w:t xml:space="preserve">Appendix A. Repository Layout</w:t>
      </w:r>
    </w:p>
    <w:p>
      <w:pPr>
        <w:spacing w:after="40"/>
      </w:pPr>
      <w:r>
        <w:rPr>
          <w:rFonts w:ascii="Consolas" w:cs="Consolas" w:eastAsia="Consolas" w:hAnsi="Consolas"/>
          <w:sz w:val="20"/>
          <w:szCs w:val="20"/>
        </w:rPr>
        <w:t xml:space="preserve">README.md                     setup, run, and evidence instructions</w:t>
      </w:r>
    </w:p>
    <w:p>
      <w:pPr>
        <w:spacing w:after="40"/>
      </w:pPr>
      <w:r>
        <w:rPr>
          <w:rFonts w:ascii="Consolas" w:cs="Consolas" w:eastAsia="Consolas" w:hAnsi="Consolas"/>
          <w:sz w:val="20"/>
          <w:szCs w:val="20"/>
        </w:rPr>
        <w:t xml:space="preserve">.github/workflows/            ci.yml, deploy.yml</w:t>
      </w:r>
    </w:p>
    <w:p>
      <w:pPr>
        <w:spacing w:after="40"/>
      </w:pPr>
      <w:r>
        <w:rPr>
          <w:rFonts w:ascii="Consolas" w:cs="Consolas" w:eastAsia="Consolas" w:hAnsi="Consolas"/>
          <w:sz w:val="20"/>
          <w:szCs w:val="20"/>
        </w:rPr>
        <w:t xml:space="preserve">infra/                        Azure CLI scripts to create rg-wistia resources</w:t>
      </w:r>
    </w:p>
    <w:p>
      <w:pPr>
        <w:spacing w:after="40"/>
      </w:pPr>
      <w:r>
        <w:rPr>
          <w:rFonts w:ascii="Consolas" w:cs="Consolas" w:eastAsia="Consolas" w:hAnsi="Consolas"/>
          <w:sz w:val="20"/>
          <w:szCs w:val="20"/>
        </w:rPr>
        <w:t xml:space="preserve">adf/                          exported ARM template for adf-wistia-kcm</w:t>
      </w:r>
    </w:p>
    <w:p>
      <w:pPr>
        <w:spacing w:after="40"/>
      </w:pPr>
      <w:r>
        <w:rPr>
          <w:rFonts w:ascii="Consolas" w:cs="Consolas" w:eastAsia="Consolas" w:hAnsi="Consolas"/>
          <w:sz w:val="20"/>
          <w:szCs w:val="20"/>
        </w:rPr>
        <w:t xml:space="preserve">notebooks/                    00_ingest_wistia.py, 01_silver.py, 02_gold.py, 99_data_quality_checks.py</w:t>
      </w:r>
    </w:p>
    <w:p>
      <w:pPr>
        <w:spacing w:after="40"/>
      </w:pPr>
      <w:r>
        <w:rPr>
          <w:rFonts w:ascii="Consolas" w:cs="Consolas" w:eastAsia="Consolas" w:hAnsi="Consolas"/>
          <w:sz w:val="20"/>
          <w:szCs w:val="20"/>
        </w:rPr>
        <w:t xml:space="preserve">src/wistia_client/            reusable Python module: client, pagination, watermarks, retries</w:t>
      </w:r>
    </w:p>
    <w:p>
      <w:pPr>
        <w:spacing w:after="40"/>
      </w:pPr>
      <w:r>
        <w:rPr>
          <w:rFonts w:ascii="Consolas" w:cs="Consolas" w:eastAsia="Consolas" w:hAnsi="Consolas"/>
          <w:sz w:val="20"/>
          <w:szCs w:val="20"/>
        </w:rPr>
        <w:t xml:space="preserve">tests/                        pytest unit tests with mocked HTTP responses</w:t>
      </w:r>
    </w:p>
    <w:p>
      <w:pPr>
        <w:spacing w:after="40"/>
      </w:pPr>
      <w:r>
        <w:rPr>
          <w:rFonts w:ascii="Consolas" w:cs="Consolas" w:eastAsia="Consolas" w:hAnsi="Consolas"/>
          <w:sz w:val="20"/>
          <w:szCs w:val="20"/>
        </w:rPr>
        <w:t xml:space="preserve">sql/                          serverless SQL view definitions</w:t>
      </w:r>
    </w:p>
    <w:p>
      <w:pPr>
        <w:spacing w:after="40"/>
      </w:pPr>
      <w:r>
        <w:rPr>
          <w:rFonts w:ascii="Consolas" w:cs="Consolas" w:eastAsia="Consolas" w:hAnsi="Consolas"/>
          <w:sz w:val="20"/>
          <w:szCs w:val="20"/>
        </w:rPr>
        <w:t xml:space="preserve">dashboards/                   Streamlit app and gold sync script</w:t>
      </w:r>
    </w:p>
    <w:p>
      <w:pPr>
        <w:spacing w:after="40"/>
      </w:pPr>
      <w:r>
        <w:rPr>
          <w:rFonts w:ascii="Consolas" w:cs="Consolas" w:eastAsia="Consolas" w:hAnsi="Consolas"/>
          <w:sz w:val="20"/>
          <w:szCs w:val="20"/>
        </w:rPr>
        <w:t xml:space="preserve">docs/                         architecture diagram, this proposal, api_exploration.md, production_run_log.md, redacted requirements, screenshots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2026-09-14T22:31:51.136Z</dcterms:created>
  <dcterms:modified xsi:type="dcterms:W3CDTF">2026-09-14T22:31:51.145Z</dcterms:modified>
</cp:coreProperties>
</file>

<file path=docProps/custom.xml><?xml version="1.0" encoding="utf-8"?>
<Properties xmlns="http://schemas.openxmlformats.org/officeDocument/2006/custom-properties" xmlns:vt="http://schemas.openxmlformats.org/officeDocument/2006/docPropsVTypes"/>
</file>