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UC05 Gestão de vendas revisada</w:t>
      </w:r>
    </w:p>
    <w:p>
      <w:r>
        <w:t>Aura Lab • Grupo X • Revisão de 12 outubro 2026</w:t>
      </w:r>
    </w:p>
    <w:p>
      <w:r>
        <w:t>Este documento descreve o incremento de vendas integrado ao PostgreSQL, usando as telas atuais da loja e da administração. Substitui, neste incremento, as jornadas demonstrativas de pedidos e trocas. O DRS_LES_2_2026.docx permanece a fonte normativa e não foi alterado.</w:t>
      </w:r>
    </w:p>
    <w:p>
      <w:pPr>
        <w:pStyle w:val="Heading1"/>
      </w:pPr>
      <w:r>
        <w:t>Atores e condições de uso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370"/>
      </w:tblGrid>
      <w:tr>
        <w:trPr>
          <w:cantSplit/>
        </w:trPr>
        <w:tc>
          <w:tcPr>
            <w:tcW w:type="dxa" w:w="2268"/>
            <w:vAlign w:val="center"/>
            <w:shd w:fill="DDE5EC"/>
          </w:tcPr>
          <w:p>
            <w:pPr>
              <w:spacing w:after="10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7370"/>
            <w:vAlign w:val="center"/>
            <w:shd w:fill="DDE5EC"/>
          </w:tcPr>
          <w:p>
            <w:pPr>
              <w:spacing w:after="100"/>
            </w:pPr>
            <w:r>
              <w:rPr>
                <w:b/>
                <w:sz w:val="18"/>
              </w:rPr>
              <w:t>Especificação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100"/>
            </w:pPr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7370"/>
            <w:vAlign w:val="center"/>
          </w:tcPr>
          <w:p>
            <w:pPr>
              <w:spacing w:after="100"/>
            </w:pPr>
            <w:r>
              <w:rPr>
                <w:b w:val="0"/>
                <w:sz w:val="18"/>
              </w:rPr>
              <w:t>Cliente real escolhido na interface, sem login nesta etapa acadêmica.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100"/>
            </w:pPr>
            <w:r>
              <w:rPr>
                <w:b w:val="0"/>
                <w:sz w:val="18"/>
              </w:rPr>
              <w:t>Administrador</w:t>
            </w:r>
          </w:p>
        </w:tc>
        <w:tc>
          <w:tcPr>
            <w:tcW w:type="dxa" w:w="7370"/>
            <w:vAlign w:val="center"/>
          </w:tcPr>
          <w:p>
            <w:pPr>
              <w:spacing w:after="100"/>
            </w:pPr>
            <w:r>
              <w:rPr>
                <w:b w:val="0"/>
                <w:sz w:val="18"/>
              </w:rPr>
              <w:t>Ator técnico ADMIN_DEMO definido pelo servidor; ações nas telas administrativas.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100"/>
            </w:pPr>
            <w:r>
              <w:rPr>
                <w:b w:val="0"/>
                <w:sz w:val="18"/>
              </w:rPr>
              <w:t>Operadora</w:t>
            </w:r>
          </w:p>
        </w:tc>
        <w:tc>
          <w:tcPr>
            <w:tcW w:type="dxa" w:w="7370"/>
            <w:vAlign w:val="center"/>
          </w:tcPr>
          <w:p>
            <w:pPr>
              <w:spacing w:after="100"/>
            </w:pPr>
            <w:r>
              <w:rPr>
                <w:b w:val="0"/>
                <w:sz w:val="18"/>
              </w:rPr>
              <w:t>Adaptador simulado determinístico por parcela, sem cobrança real.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100"/>
            </w:pPr>
            <w:r>
              <w:rPr>
                <w:b w:val="0"/>
                <w:sz w:val="18"/>
              </w:rPr>
              <w:t>Pré condições</w:t>
            </w:r>
          </w:p>
        </w:tc>
        <w:tc>
          <w:tcPr>
            <w:tcW w:type="dxa" w:w="7370"/>
            <w:vAlign w:val="center"/>
          </w:tcPr>
          <w:p>
            <w:pPr>
              <w:spacing w:after="100"/>
            </w:pPr>
            <w:r>
              <w:rPr>
                <w:b w:val="0"/>
                <w:sz w:val="18"/>
              </w:rPr>
              <w:t>Aplicação e PostgreSQL disponíveis; cliente ativo; produtos ativos e publicados; unidades disponíveis.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100"/>
            </w:pPr>
            <w:r>
              <w:rPr>
                <w:b w:val="0"/>
                <w:sz w:val="18"/>
              </w:rPr>
              <w:t>Pós condições</w:t>
            </w:r>
          </w:p>
        </w:tc>
        <w:tc>
          <w:tcPr>
            <w:tcW w:type="dxa" w:w="7370"/>
            <w:vAlign w:val="center"/>
          </w:tcPr>
          <w:p>
            <w:pPr>
              <w:spacing w:after="100"/>
            </w:pPr>
            <w:r>
              <w:rPr>
                <w:b w:val="0"/>
                <w:sz w:val="18"/>
              </w:rPr>
              <w:t>Compra e recursos persistidos com auditoria, sem PAN, CVV ou senha em resposta, logs ou snapshots.</w:t>
            </w:r>
          </w:p>
        </w:tc>
      </w:tr>
    </w:tbl>
    <w:p>
      <w:pPr>
        <w:pStyle w:val="Heading1"/>
      </w:pPr>
      <w:r>
        <w:t>Fontes e escopo</w:t>
      </w:r>
    </w:p>
    <w:p>
      <w:r>
        <w:t>RF0031–RF0045, RF0053/RF0054, RN0028 e RN0031–RN0046, RNF0011/RNF0012/RNF0042; RN0023–RN0025 e RNF0034 no checkout; RF0025/RN0027 no histórico e ranking. O UC e o DVP anteriores serviram para identificar divergências, sem acrescentar requisitos ao DRS.</w:t>
      </w:r>
    </w:p>
    <w:p>
      <w:r>
        <w:t>Entradas gerais de estoque, precificação completa, analytics, IA e autenticação ficam em outros incrementos. Cancelamento pelo cliente, recusa/despacho de troca pelo cliente e devolução/reembolso em sete dias não fazem parte deste UC05.</w:t>
      </w:r>
    </w:p>
    <w:p>
      <w:r>
        <w:br w:type="page"/>
      </w:r>
    </w:p>
    <w:p>
      <w:pPr>
        <w:pStyle w:val="Heading1"/>
      </w:pPr>
      <w:r>
        <w:t>Carrinho e checkout</w:t>
      </w:r>
    </w:p>
    <w:p>
      <w:r>
        <w:t>1. Cliente escolhe produto e quantidade no catálogo ou detalhe. Servidor valida estoque disponível e reserva apenas as unidades escolhidas.</w:t>
      </w:r>
    </w:p>
    <w:p>
      <w:r>
        <w:t>2. Sacola permite consultar, editar e remover itens. A última inclusão bem sucedida renova o prazo de todas as reservas desse carrinho; edição e remoção não renovam.</w:t>
      </w:r>
    </w:p>
    <w:p>
      <w:r>
        <w:t>3. Mudança de disponibilidade ajusta automaticamente a quantidade, remove item indisponível e informa o cliente na sacola. Vencimento remove o item e registra produto, motivo e prazo.</w:t>
      </w:r>
    </w:p>
    <w:p>
      <w:r>
        <w:t>4. Cliente escolhe endereço de entrega existente ou informa endereço completo. Pode optar por incorporá lo ao perfil. Frete considera itens e endereço segundo PoliticaFrete.</w:t>
      </w:r>
    </w:p>
    <w:p>
      <w:r>
        <w:t>5. Cliente escolhe cartões existentes ou novos, com incorporação opcional, e cupons válidos. Aplica no máximo um promocional. Cada cartão recebe no mínimo R$10, salvo a exceção de um cartão abaixo do mínimo com cupons.</w:t>
      </w:r>
    </w:p>
    <w:p>
      <w:r>
        <w:t>6. Cupons escolhidos são usados pelo valor integral; combinação redundante é recusada. A composição deve cobrir exatamente o restante ou gerar troco previsto quando os cupons excedem a compra.</w:t>
      </w:r>
    </w:p>
    <w:p>
      <w:r>
        <w:t>7. Finalização cria EM_PROCESSAMENTO, transfere as reservas preservando vencimento e reserva créditos. Esvazia o carrinho; não baixa estoque, não consome crédito nem disponibiliza troco antes da aprovação.</w:t>
      </w:r>
    </w:p>
    <w:p>
      <w:r>
        <w:t>Telas: catálogo /, detalhe /produto/:id, sacola /sacola, checkout /checkout/endereco e confirmação /checkout/confirmacao/:id. Essas rotas usam vendasService e vendasApi. Dados comerciais vêm da API; localStorage mantém a seleção demonstrativa do cliente.</w:t>
      </w:r>
    </w:p>
    <w:p>
      <w:r>
        <w:br w:type="page"/>
      </w:r>
    </w:p>
    <w:p>
      <w:pPr>
        <w:pStyle w:val="Heading1"/>
      </w:pPr>
      <w:r>
        <w:t>Pagamento despacho e entrega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4"/>
        <w:gridCol w:w="8844"/>
      </w:tblGrid>
      <w:tr>
        <w:trPr>
          <w:cantSplit/>
        </w:trPr>
        <w:tc>
          <w:tcPr>
            <w:tcW w:type="dxa" w:w="794"/>
            <w:vAlign w:val="center"/>
            <w:shd w:fill="DDE5EC"/>
          </w:tcPr>
          <w:p>
            <w:pPr>
              <w:spacing w:after="100"/>
            </w:pPr>
            <w:r>
              <w:rPr>
                <w:b/>
                <w:sz w:val="18"/>
              </w:rPr>
              <w:t>Passo</w:t>
            </w:r>
          </w:p>
        </w:tc>
        <w:tc>
          <w:tcPr>
            <w:tcW w:type="dxa" w:w="8844"/>
            <w:vAlign w:val="center"/>
            <w:shd w:fill="DDE5EC"/>
          </w:tcPr>
          <w:p>
            <w:pPr>
              <w:spacing w:after="100"/>
            </w:pPr>
            <w:r>
              <w:rPr>
                <w:b/>
                <w:sz w:val="18"/>
              </w:rPr>
              <w:t>Ação e efeito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10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844"/>
            <w:vAlign w:val="center"/>
          </w:tcPr>
          <w:p>
            <w:pPr>
              <w:spacing w:after="100"/>
            </w:pPr>
            <w:r>
              <w:rPr>
                <w:b w:val="0"/>
                <w:sz w:val="18"/>
              </w:rPr>
              <w:t>Administrador consulta pedidos e abre o detalhe existente.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10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844"/>
            <w:vAlign w:val="center"/>
          </w:tcPr>
          <w:p>
            <w:pPr>
              <w:spacing w:after="100"/>
            </w:pPr>
            <w:r>
              <w:rPr>
                <w:b w:val="0"/>
                <w:sz w:val="18"/>
              </w:rPr>
              <w:t>Valida pagamento simulado. Servidor revalida existência, titularidade, situação e validade dos créditos e o aceite de cada parcela.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10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844"/>
            <w:vAlign w:val="center"/>
          </w:tcPr>
          <w:p>
            <w:pPr>
              <w:spacing w:after="100"/>
            </w:pPr>
            <w:r>
              <w:rPr>
                <w:b w:val="0"/>
                <w:sz w:val="18"/>
              </w:rPr>
              <w:t>Se todas as formas forem aceitas e reserva válida: APROVADA. Baixa física, consumo de crédito, cupom de troco e auditoria são atômicos.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10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844"/>
            <w:vAlign w:val="center"/>
          </w:tcPr>
          <w:p>
            <w:pPr>
              <w:spacing w:after="100"/>
            </w:pPr>
            <w:r>
              <w:rPr>
                <w:b w:val="0"/>
                <w:sz w:val="18"/>
              </w:rPr>
              <w:t>Em recusa ou falha: REPROVADA. Libera reservas e créditos, sem baixa física. Resultado permanece consultável.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10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8844"/>
            <w:vAlign w:val="center"/>
          </w:tcPr>
          <w:p>
            <w:pPr>
              <w:spacing w:after="100"/>
            </w:pPr>
            <w:r>
              <w:rPr>
                <w:b w:val="0"/>
                <w:sz w:val="18"/>
              </w:rPr>
              <w:t>Administrador despacha somente APROVADA: EM_TRANSPORTE.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10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844"/>
            <w:vAlign w:val="center"/>
          </w:tcPr>
          <w:p>
            <w:pPr>
              <w:spacing w:after="100"/>
            </w:pPr>
            <w:r>
              <w:rPr>
                <w:b w:val="0"/>
                <w:sz w:val="18"/>
              </w:rPr>
              <w:t>Administrador confirma somente EM_TRANSPORTE: ENTREGUE.</w:t>
            </w:r>
          </w:p>
        </w:tc>
      </w:tr>
    </w:tbl>
    <w:p>
      <w:pPr>
        <w:pStyle w:val="Heading1"/>
      </w:pPr>
      <w:r>
        <w:t>Transições e repetição</w:t>
      </w:r>
    </w:p>
    <w:p>
      <w:r>
        <w:t>Operações incompatíveis com o estado são recusadas. Repetição da mesma ação concluída não duplica baixa, notificação, cupom ou reentrada. Checkout e solicitação de troca aceitam Idempotency-Key; reutilizar chave com composição diferente gera conflito.</w:t>
      </w:r>
    </w:p>
    <w:p>
      <w:r>
        <w:t>Pedido pendente cuja reserva expira fica REPROVADA por RESERVA_EXPIRADA. Essa política impede aprovação tardia e libera os recursos. É interpretação aprovada pelo usuário, ainda sujeita à confirmação do professor.</w:t>
      </w:r>
    </w:p>
    <w:p>
      <w:r>
        <w:t>Telas administrativas: /admin/pedidos e /admin/pedidos/:id. Identificadores internos usam sublinhado; a interface apresenta espaços. Não há estados EM_ABERTO, PAGAMENTO_REALIZADO, EM_TRANSITO ou CANCELADO substituindo os estados deste ciclo.</w:t>
      </w:r>
    </w:p>
    <w:p>
      <w:r>
        <w:br w:type="page"/>
      </w:r>
    </w:p>
    <w:p>
      <w:pPr>
        <w:pStyle w:val="Heading1"/>
      </w:pPr>
      <w:r>
        <w:t>Trocas e crédito do cliente</w:t>
      </w:r>
    </w:p>
    <w:p>
      <w:r>
        <w:t>1. Cliente abre /perfil/pedidos/:id de compra ENTREGUE e seleciona um item/quantidade ou toda a compra; informa motivo.</w:t>
      </w:r>
    </w:p>
    <w:p>
      <w:r>
        <w:t>2. Servidor confere vínculo, quantidade positiva, limite comprado e quantidades já comprometidas. Solicitação nasce EM_TROCA. Na parcial, compra permanece ENTREGUE; na integral, acompanha EM_TROCA.</w:t>
      </w:r>
    </w:p>
    <w:p>
      <w:r>
        <w:t>3. Administrador visualiza /admin/trocas e autoriza. Solicitação passa a TROCA_AUTORIZADA; compra integral acompanha. Notificação persistida é apresentada ao cliente.</w:t>
      </w:r>
    </w:p>
    <w:p>
      <w:r>
        <w:t>4. Administrador confirma recebimento após autorização e escolhe explicitamente retornar ou não ao estoque.</w:t>
      </w:r>
    </w:p>
    <w:p>
      <w:r>
        <w:t>5. Na mesma transação, servidor executa eventual reentrada, gera exatamente um cupom e conclui TROCADO. Compra integral acompanha; parcial continua ENTREGUE. Não há botão adicional para processar e gerar cupom.</w:t>
      </w:r>
    </w:p>
    <w:p>
      <w:r>
        <w:t>6. Cupom é associado ao cliente e pode pagar outra compra. Crédito usa o valor líquido histórico dos itens, com desconto promocional rateado em centavos, sem frete. Trocas acumuladas não excedem o valor líquido comprado.</w:t>
      </w:r>
    </w:p>
    <w:p>
      <w:pPr>
        <w:pStyle w:val="Heading1"/>
      </w:pPr>
      <w:r>
        <w:t>Alternativas e erros</w:t>
      </w:r>
    </w:p>
    <w:p>
      <w:r>
        <w:t>Entrada inválida, campo obrigatório vazio, cupom inválido ou reservado por outro pedido, quantidade superior ao estoque ou à elegibilidade de troca, cliente inativo, vínculo incorreto e transição incompatível são recusados. O contrato de erro é {codigo, mensagem, campos}. Falha de persistência ou auditoria reverte os efeitos da operação.</w:t>
      </w:r>
    </w:p>
    <w:p>
      <w:r>
        <w:br w:type="page"/>
      </w:r>
    </w:p>
    <w:p>
      <w:pPr>
        <w:pStyle w:val="Heading1"/>
      </w:pPr>
      <w:r>
        <w:t>Rastreabilidade e validação acadêmica</w:t>
      </w:r>
    </w:p>
    <w:p>
      <w:r>
        <w:t>A matriz completa por requisito, fluxo, tela, operação e teste está em docs/ai/REQUISITOS-VENDAS.md. CT001–CT054 permanecem identificados no plano anterior; CT039 agora verifica remoção automática e bloqueio do checkout vazio. CT055–CT061 ampliam o ciclo para pagamento, entrega, expiração e trocas. Presença de caso não equivale a execução aprovada.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370"/>
      </w:tblGrid>
      <w:tr>
        <w:trPr>
          <w:cantSplit/>
        </w:trPr>
        <w:tc>
          <w:tcPr>
            <w:tcW w:type="dxa" w:w="2268"/>
            <w:vAlign w:val="center"/>
            <w:shd w:fill="DDE5EC"/>
          </w:tcPr>
          <w:p>
            <w:pPr>
              <w:spacing w:after="100"/>
            </w:pPr>
            <w:r>
              <w:rPr>
                <w:b/>
                <w:sz w:val="18"/>
              </w:rPr>
              <w:t>Grupo de casos</w:t>
            </w:r>
          </w:p>
        </w:tc>
        <w:tc>
          <w:tcPr>
            <w:tcW w:type="dxa" w:w="7370"/>
            <w:vAlign w:val="center"/>
            <w:shd w:fill="DDE5EC"/>
          </w:tcPr>
          <w:p>
            <w:pPr>
              <w:spacing w:after="100"/>
            </w:pPr>
            <w:r>
              <w:rPr>
                <w:b/>
                <w:sz w:val="18"/>
              </w:rPr>
              <w:t>Verificação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100"/>
            </w:pPr>
            <w:r>
              <w:rPr>
                <w:b w:val="0"/>
                <w:sz w:val="18"/>
              </w:rPr>
              <w:t>CT055 e CT056</w:t>
            </w:r>
          </w:p>
        </w:tc>
        <w:tc>
          <w:tcPr>
            <w:tcW w:type="dxa" w:w="7370"/>
            <w:vAlign w:val="center"/>
          </w:tcPr>
          <w:p>
            <w:pPr>
              <w:spacing w:after="100"/>
            </w:pPr>
            <w:r>
              <w:rPr>
                <w:b w:val="0"/>
                <w:sz w:val="18"/>
              </w:rPr>
              <w:t>Compra entregue pelo administrador; pagamento recusado sem baixa.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100"/>
            </w:pPr>
            <w:r>
              <w:rPr>
                <w:b w:val="0"/>
                <w:sz w:val="18"/>
              </w:rPr>
              <w:t>CT057</w:t>
            </w:r>
          </w:p>
        </w:tc>
        <w:tc>
          <w:tcPr>
            <w:tcW w:type="dxa" w:w="7370"/>
            <w:vAlign w:val="center"/>
          </w:tcPr>
          <w:p>
            <w:pPr>
              <w:spacing w:after="100"/>
            </w:pPr>
            <w:r>
              <w:rPr>
                <w:b w:val="0"/>
                <w:sz w:val="18"/>
              </w:rPr>
              <w:t>Aviso, expiração, apresentação dos itens retirados e nova inclusão, usando Clock controlado.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100"/>
            </w:pPr>
            <w:r>
              <w:rPr>
                <w:b w:val="0"/>
                <w:sz w:val="18"/>
              </w:rPr>
              <w:t>CT058 e CT059</w:t>
            </w:r>
          </w:p>
        </w:tc>
        <w:tc>
          <w:tcPr>
            <w:tcW w:type="dxa" w:w="7370"/>
            <w:vAlign w:val="center"/>
          </w:tcPr>
          <w:p>
            <w:pPr>
              <w:spacing w:after="100"/>
            </w:pPr>
            <w:r>
              <w:rPr>
                <w:b w:val="0"/>
                <w:sz w:val="18"/>
              </w:rPr>
              <w:t>Troca parcial/integral, autorização, notificação, recebimento com/sem reentrada e uso do crédito.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100"/>
            </w:pPr>
            <w:r>
              <w:rPr>
                <w:b w:val="0"/>
                <w:sz w:val="18"/>
              </w:rPr>
              <w:t>CT060</w:t>
            </w:r>
          </w:p>
        </w:tc>
        <w:tc>
          <w:tcPr>
            <w:tcW w:type="dxa" w:w="7370"/>
            <w:vAlign w:val="center"/>
          </w:tcPr>
          <w:p>
            <w:pPr>
              <w:spacing w:after="100"/>
            </w:pPr>
            <w:r>
              <w:rPr>
                <w:b w:val="0"/>
                <w:sz w:val="18"/>
              </w:rPr>
              <w:t>Ajuste/remoção automática na sacola após mudança de estoque.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100"/>
            </w:pPr>
            <w:r>
              <w:rPr>
                <w:b w:val="0"/>
                <w:sz w:val="18"/>
              </w:rPr>
              <w:t>CT061</w:t>
            </w:r>
          </w:p>
        </w:tc>
        <w:tc>
          <w:tcPr>
            <w:tcW w:type="dxa" w:w="7370"/>
            <w:vAlign w:val="center"/>
          </w:tcPr>
          <w:p>
            <w:pPr>
              <w:spacing w:after="100"/>
            </w:pPr>
            <w:r>
              <w:rPr>
                <w:b w:val="0"/>
                <w:sz w:val="18"/>
              </w:rPr>
              <w:t>Exemplos do DRS com compra R$50 e cupons 20+35, 20+40, 40+35; trocos R$5/10/25.</w:t>
            </w:r>
          </w:p>
        </w:tc>
      </w:tr>
    </w:tbl>
    <w:p>
      <w:pPr>
        <w:pStyle w:val="Heading1"/>
      </w:pPr>
      <w:r>
        <w:t>Pontos para confirmação do professor</w:t>
      </w:r>
    </w:p>
    <w:p>
      <w:r>
        <w:t>Comunicação pendente: reserva por unidades; reprovação por expiração de pedido pendente; recebimento após TROCA_AUTORIZADA apesar da menção a EM TROCA em RF0044/RN0042; valor líquido do cupom sem frete. Frete e fórmula de ranking são decisões locais. RNF0044 duplicado foi registrado como inconsistência fora do escopo. Não se declara aderência sem ressalvas antes da validação.</w:t>
      </w:r>
    </w:p>
    <w:p>
      <w:r>
        <w:t>Responsáveis e datas do grupo ainda não informados: usar papéis e cronograma relativo. Relatórios atuais de Maven, Selenium e frontend, junto às pós condições no banco, determinam o resultado da execução. Aceitação manual pelo grupo e resposta do professor não foram fabricadas.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Aura Lab    UC05 integrado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