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2"/>
        </w:rPr>
        <w:t>Preparing for the pathway, not the submission: a readiness assessment of a consumer-led rare-disease organisation approaching health technology assessment for emerging precision therapies — the SCN2A Australia case study</w:t>
      </w:r>
    </w:p>
    <w:p>
      <w:r>
        <w:t xml:space="preserve">Kris Pierce¹, David Cunnington², Ann Single³ </w:t>
      </w:r>
      <w:r>
        <w:rPr>
          <w:i/>
        </w:rPr>
        <w:t>[additional co-authors to be confirmed]</w:t>
      </w:r>
    </w:p>
    <w:p>
      <w:r>
        <w:t xml:space="preserve">¹ SCN2A Australia; ² </w:t>
      </w:r>
      <w:r>
        <w:rPr>
          <w:i/>
        </w:rPr>
        <w:t>[affiliation to confirm]</w:t>
      </w:r>
      <w:r>
        <w:t>; ³ Patient Voice Initiative / UNSW</w:t>
      </w:r>
    </w:p>
    <w:p>
      <w:r>
        <w:t>Corresponding author: Kris Pierce, SCN2A Australia · www.scn2aaustralia.org</w:t>
      </w:r>
    </w:p>
    <w:p>
      <w:pPr>
        <w:pStyle w:val="Heading2"/>
      </w:pPr>
      <w:r>
        <w:t>Plain English Summary</w:t>
      </w:r>
    </w:p>
    <w:p>
      <w:r>
        <w:t xml:space="preserve">SCN2A-related disorders are rare, serious brain conditions that affect children from birth. New precision medicines are now being tested in clinical trials, and if they work, the Australian Government will have to decide whether to fund them through a process called Health Technology Assessment (HTA). That decision depends on evidence — and much of the evidence that matters for a rare condition has to be built </w:t>
      </w:r>
      <w:r>
        <w:rPr>
          <w:i/>
        </w:rPr>
        <w:t>years before</w:t>
      </w:r>
      <w:r>
        <w:t xml:space="preserve"> a medicine is ever assessed, while trials are still being designed and while the natural course of the condition is still being documented.</w:t>
      </w:r>
    </w:p>
    <w:p>
      <w:r>
        <w:t xml:space="preserve">This paper asks a practical question that any rare-disease community faces: </w:t>
      </w:r>
      <w:r>
        <w:rPr>
          <w:b/>
        </w:rPr>
        <w:t>is our organisation preparing for that pathway in the right way, and are we building the right evidence?</w:t>
      </w:r>
      <w:r>
        <w:t xml:space="preserve"> Rather than describe a single activity, we set out what a rare-disease community actually needs to have ready before a precision therapy reaches assessment — a natural history dataset, outcome measures that capture what families value, evidence of disease burden and family priorities, health-economic information, trial-readiness in the community, the capability to engage with HTA, and relationships with the people who make and shape decisions. We then honestly assess SCN2A Australia against each of these, showing what is established, what is still emerging, and where the gaps are.</w:t>
      </w:r>
    </w:p>
    <w:p>
      <w:r>
        <w:t>We find that SCN2A Australia is well advanced on some of the hardest and most important assets — particularly its participation in an international natural history study and its work on outcome measures and family priorities — but has clear gaps in health-economic evidence, in sustained funding for the work, and in direct relationships with the companies developing treatments. We offer the readiness framework as a tool other rare-disease organisations can use to plan their own preparation, and we set out what the Australian system must change to make communities genuinely ready.</w:t>
      </w:r>
    </w:p>
    <w:p>
      <w:pPr>
        <w:pStyle w:val="Heading2"/>
      </w:pPr>
      <w:r>
        <w:t>Abstract</w:t>
      </w:r>
    </w:p>
    <w:p>
      <w:r>
        <w:rPr>
          <w:b/>
        </w:rPr>
        <w:t>Background.</w:t>
      </w:r>
      <w:r>
        <w:t xml:space="preserve"> Precision therapies for ultra-rare paediatric conditions increasingly reach health technology assessment (HTA) supported by small, single-arm trials and non-standard endpoints — a value case that patient communities are uniquely placed to strengthen, but only if the necessary evidence has been built before submission. Whether, and how, a consumer-led rare-disease organisation prepares the </w:t>
      </w:r>
      <w:r>
        <w:rPr>
          <w:i/>
        </w:rPr>
        <w:t>right</w:t>
      </w:r>
      <w:r>
        <w:t xml:space="preserve"> assets for this pathway is not documented in the published literature.</w:t>
      </w:r>
    </w:p>
    <w:p>
      <w:r>
        <w:rPr>
          <w:b/>
        </w:rPr>
        <w:t>Case description.</w:t>
      </w:r>
      <w:r>
        <w:t xml:space="preserve"> SCN2A Australia is a consumer-led not-for-profit supporting families affected by SCN2A-related developmental and epileptic encephalopathy (DEE), a condition for which two precision-medicine trials (EMBOLD, EMBRAVE) are in active development and no reimbursed disease-modifying therapy yet exists. We assess the organisation's preparation for the regulatory and HTA pathway against a structured readiness framework spanning six evidence-and-capability domains across the medicines lifecycle, drawing on the organisation's contemporaneous records for the period 2022–2025.</w:t>
      </w:r>
    </w:p>
    <w:p>
      <w:r>
        <w:rPr>
          <w:b/>
        </w:rPr>
        <w:t>Analysis and findings.</w:t>
      </w:r>
      <w:r>
        <w:t xml:space="preserve"> SCN2A Australia is well advanced on the readiness assets that are hardest to build and most decisive for a non-standard HTA — a longitudinal natural history dataset capable of serving as an external comparator; a maturing suite of caregiver-relevant outcome measures and family-priority evidence; and direct engagement with the trial sponsor on trial design, supported by community-facing trial-readiness infrastructure. Readiness is emerging in HTA capability, and the decisive gaps are in health-economic inputs (no utility or cost-effectiveness evidence) and in sustained, domestically funded capacity — a readiness currently underwritten by an external intermediary rather than by the Australian system. These gaps are not organisational failings but exposures of system design.</w:t>
      </w:r>
    </w:p>
    <w:p>
      <w:r>
        <w:rPr>
          <w:b/>
        </w:rPr>
        <w:t>Conclusions.</w:t>
      </w:r>
      <w:r>
        <w:t xml:space="preserve"> A consumer-led rare-disease organisation can build genuine HTA readiness ahead of a submission, but not a complete one under current conditions. We contribute a transferable readiness framework for rare-disease HTA preparation, demonstrate its application as a first-person self-assessment, and identify the structural changes — early health-economic scaffolding, funded capability, and direct industry engagement — required for equitable participation in HTA from the point evidence is generated, not the point a dossier is lodged.</w:t>
      </w:r>
    </w:p>
    <w:p>
      <w:r>
        <w:rPr>
          <w:b/>
        </w:rPr>
        <w:t>Keywords:</w:t>
      </w:r>
      <w:r>
        <w:t xml:space="preserve"> health technology assessment; regulatory readiness; patient and consumer involvement; rare disease; SCN2A; precision therapy; natural history; patient-relevant outcomes; health economics; PBAC; GRIPP2; equity</w:t>
      </w:r>
    </w:p>
    <w:p>
      <w:pPr>
        <w:pStyle w:val="Heading2"/>
      </w:pPr>
      <w:r>
        <w:t>1. Introduction</w:t>
      </w:r>
    </w:p>
    <w:p>
      <w:r>
        <w:t>For a consumer-led rare-disease organisation, engagement with health technology assessment (HTA) is not a civic nicety — it is the path to access. But the decisive contribution a community can make to an HTA does not occur at the submission. It occurs upstream, in the years during which the evidence that an assessment will later weigh is being generated: when trial endpoints are chosen, when the natural course of the disease is documented, when the outcomes that matter to families are defined and measured. By the time a dossier reaches the Pharmaceutical Benefits Advisory Committee (PBAC), the assessable value of a therapy has largely been fixed by choices made much earlier — most of them outside the community's direct control.</w:t>
      </w:r>
    </w:p>
    <w:p>
      <w:r>
        <w:t xml:space="preserve">This creates a problem of </w:t>
      </w:r>
      <w:r>
        <w:rPr>
          <w:i/>
        </w:rPr>
        <w:t>readiness</w:t>
      </w:r>
      <w:r>
        <w:t xml:space="preserve">. A rare-disease community that wants to shape access to an emerging therapy must have built the right evidence and the right relationships before the therapy arrives. The question is not whether the community is willing to participate, nor whether any single engagement was well run. The question is whether the community is preparing in the right way: </w:t>
      </w:r>
      <w:r>
        <w:rPr>
          <w:b/>
        </w:rPr>
        <w:t>Is it building the right information? Where are the gaps? Is it ready?</w:t>
      </w:r>
    </w:p>
    <w:p>
      <w:r>
        <w:t>This case study takes that question as its object. SCN2A Australia, a consumer-led organisation supporting families affected by SCN2A-related developmental and epileptic encephalopathy, faces an imminent HTA pathway: two precision-medicine trials are in active development, and when a therapy reaches PBAC it will present a non-standard evidence scenario — a small, heterogeneous population, no established comparator, and endpoints that capture only part of what families value. We do not evaluate the quality of any one of SCN2A Australia's activities. Instead, we define what a rare-disease community must have ready for this pathway, assess SCN2A Australia against it, and expose the gaps.</w:t>
      </w:r>
    </w:p>
    <w:p>
      <w:r>
        <w:t xml:space="preserve">We make three contributions. First, we propose a </w:t>
      </w:r>
      <w:r>
        <w:rPr>
          <w:b/>
        </w:rPr>
        <w:t>readiness framework</w:t>
      </w:r>
      <w:r>
        <w:t xml:space="preserve"> for rare-disease HTA preparation: a structured account of the evidence and capability assets a community needs, and where in the lifecycle they must be built. Second, we apply it as a transparent, GRIPP2-LF-reported self-assessment of one organisation, showing what is established, emerging, and absent. Third, we use the resulting gap analysis to identify the structural changes the Australian system must make if rare-disease communities are to become genuinely ready — not merely consulted — participants in HTA.</w:t>
      </w:r>
    </w:p>
    <w:p>
      <w:pPr>
        <w:pStyle w:val="Heading2"/>
      </w:pPr>
      <w:r>
        <w:t>2. Background</w:t>
      </w:r>
    </w:p>
    <w:p>
      <w:pPr>
        <w:pStyle w:val="Heading3"/>
      </w:pPr>
      <w:r>
        <w:t>2.1 SCN2A-related disorders and an imminent HTA pathway</w:t>
      </w:r>
    </w:p>
    <w:p>
      <w:r>
        <w:t xml:space="preserve">SCN2A-related developmental and epileptic encephalopathy (DEE) arises from pathogenic variants in </w:t>
      </w:r>
      <w:r>
        <w:rPr>
          <w:i/>
        </w:rPr>
        <w:t>SCN2A</w:t>
      </w:r>
      <w:r>
        <w:t>, which encodes the neuronal voltage-gated sodium channel Nav1.2. Gain-of-function variants typically cause early-infantile epileptic encephalopathy; loss-of-function variants present with later-onset epilepsy, developmental delay and autism spectrum features. The condition is severe, lifelong and individually rare, and a majority of affected children continue to experience seizures despite treatment. No disease-modifying therapy is currently reimbursed.</w:t>
      </w:r>
    </w:p>
    <w:p>
      <w:r>
        <w:t>Two precision-medicine programmes targeting gain-of-function disease (EMBOLD, EMBRAVE) are in active clinical development, and antisense oligonucleotide treatment has already been reported in an infant with early-onset SCN2A DEE. When such a therapy reaches PBAC, the committee will confront a value case that standard HTA methods handle poorly: a single-arm or small-sample trial with no established comparator; a heterogeneous population; surrogate or clinician-rated endpoints that were not designed to capture the communication, function and quality-of-life outcomes families most value; and deep uncertainty around long-term and economic consequences. In precisely this scenario, patient- and caregiver-derived evidence is not a courtesy input — it is load-bearing. But it is only load-bearing if it already exists, in a form an assessment can use.</w:t>
      </w:r>
    </w:p>
    <w:p>
      <w:pPr>
        <w:pStyle w:val="Heading3"/>
      </w:pPr>
      <w:r>
        <w:t>2.2 Why readiness is the right lens</w:t>
      </w:r>
    </w:p>
    <w:p>
      <w:r>
        <w:t xml:space="preserve">The concept of readiness is established in the rare-disease evidence literature. "Trial-readiness" — the prospective development of validated, fit-for-purpose outcome measures and characterised natural history so that a future trial can succeed — is an explicit programme of work in SCN2A itself. The patient-driven Rare Disease Research Network frames its purpose as making communities "research ready." We extend this logic one stage downstream, to </w:t>
      </w:r>
      <w:r>
        <w:rPr>
          <w:b/>
        </w:rPr>
        <w:t>HTA and access readiness</w:t>
      </w:r>
      <w:r>
        <w:t>: the assets a community must accumulate so that, when a therapy is assessed, the evidence that matters is available, credible, and integrable into the value case.</w:t>
      </w:r>
    </w:p>
    <w:p>
      <w:r>
        <w:t xml:space="preserve">Readiness reframes the community's activities not as engagements to be evaluated, but as evidence assets to be audited. It asks a portfolio question — across everything the organisation has done, is the </w:t>
      </w:r>
      <w:r>
        <w:rPr>
          <w:i/>
        </w:rPr>
        <w:t>right</w:t>
      </w:r>
      <w:r>
        <w:t xml:space="preserve"> evidence being built, in the right places, in time? — and it makes gaps as visible as achievements.</w:t>
      </w:r>
    </w:p>
    <w:p>
      <w:pPr>
        <w:pStyle w:val="Heading3"/>
      </w:pPr>
      <w:r>
        <w:t>2.3 The Australian reform window</w:t>
      </w:r>
    </w:p>
    <w:p>
      <w:r>
        <w:t xml:space="preserve">SCN2A Australia's preparation occurs within an active reform of Australian HTA. The 2022–2027 Strategic Agreement between the Commonwealth and Medicines Australia committed to an enhanced consumer engagement process; the resulting </w:t>
      </w:r>
      <w:r>
        <w:rPr>
          <w:i/>
        </w:rPr>
        <w:t>Enhance HTA</w:t>
      </w:r>
      <w:r>
        <w:t xml:space="preserve"> report (2024) recommended that consumer engagement begin "earlier in this pathway, from the clinical trial stage," and the HTA Policy and Methods Review reported concurrently. This window makes a readiness assessment timely: the system has declared its intention to draw consumer evidence in earlier, which raises the stakes on whether communities have that evidence ready to supply.</w:t>
      </w:r>
    </w:p>
    <w:p>
      <w:pPr>
        <w:pStyle w:val="Heading2"/>
      </w:pPr>
      <w:r>
        <w:t>3. A readiness framework for rare-disease HTA preparation</w:t>
      </w:r>
    </w:p>
    <w:p>
      <w:r>
        <w:t>We define readiness across six evidence-and-capability domains, each mapped to the lifecycle stage at which it must be built and to the specific need it meets in a rare-disease HTA (Table 1). The domains are derived from the requirements of a non-standard HTA submission (Sections 2.1) and grounded in the patient-involvement and rare-disease methods literature.</w:t>
      </w:r>
    </w:p>
    <w:p>
      <w:r>
        <w:rPr>
          <w:b/>
        </w:rPr>
        <w:t>Table 1. Readiness domains for rare-disease HTA preparation.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Readiness domain</w:t>
            </w:r>
          </w:p>
        </w:tc>
        <w:tc>
          <w:tcPr>
            <w:tcW w:type="dxa" w:w="2160"/>
          </w:tcPr>
          <w:p>
            <w:r>
              <w:t>Lifecycle stage</w:t>
            </w:r>
          </w:p>
        </w:tc>
        <w:tc>
          <w:tcPr>
            <w:tcW w:type="dxa" w:w="2160"/>
          </w:tcPr>
          <w:p>
            <w:r>
              <w:t>What the HTA needs it for</w:t>
            </w:r>
          </w:p>
        </w:tc>
      </w:tr>
      <w:tr>
        <w:tc>
          <w:tcPr>
            <w:tcW w:type="dxa" w:w="2160"/>
          </w:tcPr>
          <w:p>
            <w:r>
              <w:t>D1</w:t>
            </w:r>
          </w:p>
        </w:tc>
        <w:tc>
          <w:tcPr>
            <w:tcW w:type="dxa" w:w="2160"/>
          </w:tcPr>
          <w:p>
            <w:r>
              <w:rPr>
                <w:b/>
              </w:rPr>
              <w:t>Disease-course evidence</w:t>
            </w:r>
            <w:r>
              <w:t xml:space="preserve"> (natural history)</w:t>
            </w:r>
          </w:p>
        </w:tc>
        <w:tc>
          <w:tcPr>
            <w:tcW w:type="dxa" w:w="2160"/>
          </w:tcPr>
          <w:p>
            <w:r>
              <w:t>Evidence generation</w:t>
            </w:r>
          </w:p>
        </w:tc>
        <w:tc>
          <w:tcPr>
            <w:tcW w:type="dxa" w:w="2160"/>
          </w:tcPr>
          <w:p>
            <w:r>
              <w:t>An external comparator / counterfactual to contextualise single-arm data; disease trajectory to model long-term value</w:t>
            </w:r>
          </w:p>
        </w:tc>
      </w:tr>
      <w:tr>
        <w:tc>
          <w:tcPr>
            <w:tcW w:type="dxa" w:w="2160"/>
          </w:tcPr>
          <w:p>
            <w:r>
              <w:t>D2</w:t>
            </w:r>
          </w:p>
        </w:tc>
        <w:tc>
          <w:tcPr>
            <w:tcW w:type="dxa" w:w="2160"/>
          </w:tcPr>
          <w:p>
            <w:r>
              <w:rPr>
                <w:b/>
              </w:rPr>
              <w:t>Fit-for-purpose outcome measures</w:t>
            </w:r>
          </w:p>
        </w:tc>
        <w:tc>
          <w:tcPr>
            <w:tcW w:type="dxa" w:w="2160"/>
          </w:tcPr>
          <w:p>
            <w:r>
              <w:t>Evidence generation → trial design</w:t>
            </w:r>
          </w:p>
        </w:tc>
        <w:tc>
          <w:tcPr>
            <w:tcW w:type="dxa" w:w="2160"/>
          </w:tcPr>
          <w:p>
            <w:r>
              <w:t>Validated, disease-specific, caregiver/observer-reported measures sensitive to meaningful within-person change</w:t>
            </w:r>
          </w:p>
        </w:tc>
      </w:tr>
      <w:tr>
        <w:tc>
          <w:tcPr>
            <w:tcW w:type="dxa" w:w="2160"/>
          </w:tcPr>
          <w:p>
            <w:r>
              <w:t>D3</w:t>
            </w:r>
          </w:p>
        </w:tc>
        <w:tc>
          <w:tcPr>
            <w:tcW w:type="dxa" w:w="2160"/>
          </w:tcPr>
          <w:p>
            <w:r>
              <w:rPr>
                <w:b/>
              </w:rPr>
              <w:t>Value, burden and preference evidence</w:t>
            </w:r>
          </w:p>
        </w:tc>
        <w:tc>
          <w:tcPr>
            <w:tcW w:type="dxa" w:w="2160"/>
          </w:tcPr>
          <w:p>
            <w:r>
              <w:t>Evidence generation → appraisal</w:t>
            </w:r>
          </w:p>
        </w:tc>
        <w:tc>
          <w:tcPr>
            <w:tcW w:type="dxa" w:w="2160"/>
          </w:tcPr>
          <w:p>
            <w:r>
              <w:t>Structured evidence of unmet need, disease burden, family priorities and trade-offs; inputs toward health-state utilities</w:t>
            </w:r>
          </w:p>
        </w:tc>
      </w:tr>
      <w:tr>
        <w:tc>
          <w:tcPr>
            <w:tcW w:type="dxa" w:w="2160"/>
          </w:tcPr>
          <w:p>
            <w:r>
              <w:t>D4</w:t>
            </w:r>
          </w:p>
        </w:tc>
        <w:tc>
          <w:tcPr>
            <w:tcW w:type="dxa" w:w="2160"/>
          </w:tcPr>
          <w:p>
            <w:r>
              <w:rPr>
                <w:b/>
              </w:rPr>
              <w:t>Trial-readiness and recruitment infrastructure</w:t>
            </w:r>
          </w:p>
        </w:tc>
        <w:tc>
          <w:tcPr>
            <w:tcW w:type="dxa" w:w="2160"/>
          </w:tcPr>
          <w:p>
            <w:r>
              <w:t>Trial design → conduct</w:t>
            </w:r>
          </w:p>
        </w:tc>
        <w:tc>
          <w:tcPr>
            <w:tcW w:type="dxa" w:w="2160"/>
          </w:tcPr>
          <w:p>
            <w:r>
              <w:t>Community awareness, navigation, retention, and accessibility so trials generate usable evidence</w:t>
            </w:r>
          </w:p>
        </w:tc>
      </w:tr>
      <w:tr>
        <w:tc>
          <w:tcPr>
            <w:tcW w:type="dxa" w:w="2160"/>
          </w:tcPr>
          <w:p>
            <w:r>
              <w:t>D5</w:t>
            </w:r>
          </w:p>
        </w:tc>
        <w:tc>
          <w:tcPr>
            <w:tcW w:type="dxa" w:w="2160"/>
          </w:tcPr>
          <w:p>
            <w:r>
              <w:rPr>
                <w:b/>
              </w:rPr>
              <w:t>HTA capability and literacy</w:t>
            </w:r>
          </w:p>
        </w:tc>
        <w:tc>
          <w:tcPr>
            <w:tcW w:type="dxa" w:w="2160"/>
          </w:tcPr>
          <w:p>
            <w:r>
              <w:t>Cross-cutting</w:t>
            </w:r>
          </w:p>
        </w:tc>
        <w:tc>
          <w:tcPr>
            <w:tcW w:type="dxa" w:w="2160"/>
          </w:tcPr>
          <w:p>
            <w:r>
              <w:t>The fluency and standing to engage credibly with HTA methods, scoping and deliberation</w:t>
            </w:r>
          </w:p>
        </w:tc>
      </w:tr>
      <w:tr>
        <w:tc>
          <w:tcPr>
            <w:tcW w:type="dxa" w:w="2160"/>
          </w:tcPr>
          <w:p>
            <w:r>
              <w:t>D6</w:t>
            </w:r>
          </w:p>
        </w:tc>
        <w:tc>
          <w:tcPr>
            <w:tcW w:type="dxa" w:w="2160"/>
          </w:tcPr>
          <w:p>
            <w:r>
              <w:rPr>
                <w:b/>
              </w:rPr>
              <w:t>Institutional relationships and standing</w:t>
            </w:r>
          </w:p>
        </w:tc>
        <w:tc>
          <w:tcPr>
            <w:tcW w:type="dxa" w:w="2160"/>
          </w:tcPr>
          <w:p>
            <w:r>
              <w:t>Cross-cutting → access</w:t>
            </w:r>
          </w:p>
        </w:tc>
        <w:tc>
          <w:tcPr>
            <w:tcW w:type="dxa" w:w="2160"/>
          </w:tcPr>
          <w:p>
            <w:r>
              <w:t>Trusted, sustained relationships with regulators, HTA committees, researchers and industry, enabling early influence</w:t>
            </w:r>
          </w:p>
        </w:tc>
      </w:tr>
    </w:tbl>
    <w:p/>
    <w:p>
      <w:r>
        <w:t xml:space="preserve">Two features of this framework matter. First, the domains are ordered by how early and how far </w:t>
      </w:r>
      <w:r>
        <w:rPr>
          <w:i/>
        </w:rPr>
        <w:t>outside the community's control</w:t>
      </w:r>
      <w:r>
        <w:t xml:space="preserve"> the asset must be built: D1 and D2 are generated years before submission, largely through partnerships the community must secure, and are the hardest to retrofit. Second, capability (D5) — the domain in which most patient-involvement scholarship, and most of the support SCN2A Australia received, is concentrated — is one domain among six, and an enabler of the others rather than an end in itself. A community can be highly capable and still unready if the evidence assets are absent.</w:t>
      </w:r>
    </w:p>
    <w:p>
      <w:pPr>
        <w:pStyle w:val="Heading2"/>
      </w:pPr>
      <w:r>
        <w:t>4. Methods</w:t>
      </w:r>
    </w:p>
    <w:p>
      <w:pPr>
        <w:pStyle w:val="Heading3"/>
      </w:pPr>
      <w:r>
        <w:t>4.1 Design and analytical framework</w:t>
      </w:r>
    </w:p>
    <w:p>
      <w:r>
        <w:t xml:space="preserve">Reflective documentary case study, reported to GRIPP2-LF standards. The readiness framework (Section 3) is the analytical lens: each documented activity is positioned within one or more readiness domains, and each domain is assessed for its current status — </w:t>
      </w:r>
      <w:r>
        <w:rPr>
          <w:b/>
        </w:rPr>
        <w:t>Established</w:t>
      </w:r>
      <w:r>
        <w:t xml:space="preserve">, </w:t>
      </w:r>
      <w:r>
        <w:rPr>
          <w:b/>
        </w:rPr>
        <w:t>Emerging</w:t>
      </w:r>
      <w:r>
        <w:t xml:space="preserve">, or </w:t>
      </w:r>
      <w:r>
        <w:rPr>
          <w:b/>
        </w:rPr>
        <w:t>Gap</w:t>
      </w:r>
      <w:r>
        <w:t xml:space="preserve"> — against what a rare-disease precision-therapy HTA will require. The synthesis is a portfolio-level readiness assessment and gap analysis, not an evaluation of any individual activity's conduct or engagement quality.</w:t>
      </w:r>
    </w:p>
    <w:p>
      <w:r>
        <w:t>The study is prospective–retrospective: the activities described occurred prior to writing and are documented through contemporaneous organisational records; the readiness framing, mapping and synthesis are conducted at the time of writing.</w:t>
      </w:r>
    </w:p>
    <w:p>
      <w:pPr>
        <w:pStyle w:val="Heading3"/>
      </w:pPr>
      <w:r>
        <w:t>4.2 Data sources</w:t>
      </w:r>
    </w:p>
    <w:p>
      <w:r>
        <w:t>Primary sources are SCN2A Australia's contemporaneous organisational records for 2022–2025:</w:t>
      </w:r>
    </w:p>
    <w:p>
      <w:pPr>
        <w:pStyle w:val="ListBullet"/>
      </w:pPr>
      <w:r>
        <w:t>Participation in the MCRI-led International SCN2A Natural History Study (community-partner role; contribution to outcome-measure selection).</w:t>
      </w:r>
    </w:p>
    <w:p>
      <w:pPr>
        <w:pStyle w:val="ListBullet"/>
      </w:pPr>
      <w:r>
        <w:t>The Praxis Precision Medicines report documenting family focus groups and a demographic/patient-preferences survey on clinical trials and access to medicines (2024).</w:t>
      </w:r>
    </w:p>
    <w:p>
      <w:pPr>
        <w:pStyle w:val="ListBullet"/>
      </w:pPr>
      <w:r>
        <w:t>Community consultation records.</w:t>
      </w:r>
    </w:p>
    <w:p>
      <w:pPr>
        <w:pStyle w:val="ListBullet"/>
      </w:pPr>
      <w:r>
        <w:t>Records of an industry co-design process from ideation through survey completion.</w:t>
      </w:r>
    </w:p>
    <w:p>
      <w:pPr>
        <w:pStyle w:val="ListBullet"/>
      </w:pPr>
      <w:r>
        <w:t>Records of attendance at Department of Health and Aged Care and HTA-sector meetings; HTAi Annual Meeting 2024 attendance (PVI-funded scholarship); appointment to an HTA-adjacent advisory committee (2024).</w:t>
      </w:r>
    </w:p>
    <w:p>
      <w:pPr>
        <w:pStyle w:val="ListBullet"/>
      </w:pPr>
      <w:r>
        <w:t>Patient Voice Initiative (PVI) partnership records (collaboration agreement, capacity-building deliverables, scholarship documentation).</w:t>
      </w:r>
    </w:p>
    <w:p>
      <w:pPr>
        <w:pStyle w:val="ListBullet"/>
      </w:pPr>
      <w:r>
        <w:t>Evidence submitted to the Developmental and Epileptic Encephalopathy Senate Inquiry (2026).</w:t>
      </w:r>
    </w:p>
    <w:p>
      <w:r>
        <w:t>Secondary sources: peer-reviewed literature on patient involvement, outcome measurement and HTA in rare disease; and Australian HTA policy documents (</w:t>
      </w:r>
      <w:r>
        <w:rPr>
          <w:i/>
        </w:rPr>
        <w:t>Enhance HTA</w:t>
      </w:r>
      <w:r>
        <w:t xml:space="preserve"> 2024; HTA Policy and Methods Review 2024; </w:t>
      </w:r>
      <w:r>
        <w:rPr>
          <w:i/>
        </w:rPr>
        <w:t>Conversations for Change</w:t>
      </w:r>
      <w:r>
        <w:t xml:space="preserve"> 2023).</w:t>
      </w:r>
    </w:p>
    <w:p>
      <w:pPr>
        <w:pStyle w:val="Heading3"/>
      </w:pPr>
      <w:r>
        <w:t>4.3 Analysis</w:t>
      </w:r>
    </w:p>
    <w:p>
      <w:r>
        <w:t>Each activity was mapped to the readiness domain(s) it contributes to. Each domain was then assessed as Established, Emerging or Gap, with the assessment reasoned explicitly against the HTA requirement the domain serves. Gaps and unmet needs are reported as findings in their own right — as revelations of what the current system makes achievable or unachievable for a consumer-led organisation. Activities are also read across the lifecycle to show where preparation is concentrated and where it thins.</w:t>
      </w:r>
    </w:p>
    <w:p>
      <w:pPr>
        <w:pStyle w:val="Heading3"/>
      </w:pPr>
      <w:r>
        <w:t>4.4 Ethics</w:t>
      </w:r>
    </w:p>
    <w:p>
      <w:r>
        <w:t>This manuscript is a retrospective, first-person account of the author organisation's own completed activities. It does not report primary research involving human participants: no data were collected from individuals for the purpose of this study. The materials analysed are the organisation's own contemporaneous records, publicly available Senate Inquiry submissions, and published or organisationally held reports. Prospective Human Research Ethics Committee (HREC) approval was therefore neither sought nor obtained; the implications of this — and of the reflexive, participant-authored standpoint — are addressed in the Limitations. Where the manuscript draws on the Praxis focus group and survey, those activities were undertaken as community consultation and are reported here only in aggregate, de-identified form. This determination should be confirmed with the lead institution's ethics office prior to submission.</w:t>
      </w:r>
    </w:p>
    <w:p>
      <w:pPr>
        <w:pStyle w:val="Heading2"/>
      </w:pPr>
      <w:r>
        <w:t>5. Findings: a readiness assessment</w:t>
      </w:r>
    </w:p>
    <w:p>
      <w:r>
        <w:t>We report the assessment domain by domain (Table 2 summarises), then read the portfolio as a whole.</w:t>
      </w:r>
    </w:p>
    <w:p>
      <w:pPr>
        <w:pStyle w:val="Heading3"/>
      </w:pPr>
      <w:r>
        <w:t xml:space="preserve">D1 — Disease-course evidence: </w:t>
      </w:r>
      <w:r>
        <w:rPr>
          <w:b/>
        </w:rPr>
        <w:t>Established</w:t>
      </w:r>
    </w:p>
    <w:p>
      <w:r>
        <w:t xml:space="preserve">The single most valuable readiness asset for an HTA with no comparator is a characterised natural history. SCN2A Australia participates as an Australian community partner in the MCRI-led International SCN2A Natural History Study, contributing to outcome-measure selection and to the longitudinal dataset. This matters at the level of HTA method, not merely advocacy: a well-constructed natural history can serve as an external comparator or historical control for a single-arm trial, and supplies the disease-trajectory inputs any long-term economic model will require. That the community is embedded as a </w:t>
      </w:r>
      <w:r>
        <w:rPr>
          <w:i/>
        </w:rPr>
        <w:t>partner</w:t>
      </w:r>
      <w:r>
        <w:t xml:space="preserve"> in this work — shaping what is measured — rather than as a subject of it, is what converts participation into a readiness asset. This is the domain in which SCN2A Australia is most advanced, and it is also the domain that is hardest for any community to build late.</w:t>
      </w:r>
    </w:p>
    <w:p>
      <w:pPr>
        <w:pStyle w:val="Heading3"/>
      </w:pPr>
      <w:r>
        <w:t xml:space="preserve">D2 — Fit-for-purpose outcome measures: </w:t>
      </w:r>
      <w:r>
        <w:rPr>
          <w:b/>
        </w:rPr>
        <w:t>Emerging</w:t>
      </w:r>
    </w:p>
    <w:p>
      <w:r>
        <w:t xml:space="preserve">A recurring failure mode in rare-disease HTA is that standard endpoints do not capture meaningful change. For SCN2A, the outcomes families prioritise — communication, daily function, quality of life — are only now being matched by validated, caregiver- and observer-reported instruments: qualitative work defining what "better" looks like in severe neurodevelopmental impairment; Goal Attainment Scaling as a personalised endpoint; Vineland-3 growth-scale values; condition-specific caregiver-reported quality-of-life measurement (Kaleda et al., </w:t>
      </w:r>
      <w:r>
        <w:rPr>
          <w:i/>
        </w:rPr>
        <w:t>[full citation to confirm]</w:t>
      </w:r>
      <w:r>
        <w:t>; Cohen et al. 2022); and dedicated trial-readiness work on non-seizure outcomes. SCN2A Australia's family focus groups contribute directly to this domain by articulating the smallest changes that would justify participation and the outcomes that matter most — the raw material from which meaningful-change thresholds are built. An important precision applies here: because affected children are frequently non-verbal, these are observer- and caregiver-reported outcomes, not patient-reported outcomes, and the evidentiary and ethical work of representing a child's experience through a proxy is part of what this domain requires. The measurement infrastructure is maturing but not yet complete or fully validated for trial and HTA use, so the domain is assessed as Emerging.</w:t>
      </w:r>
    </w:p>
    <w:p>
      <w:pPr>
        <w:pStyle w:val="Heading3"/>
      </w:pPr>
      <w:r>
        <w:t xml:space="preserve">D3 — Value, burden and preference evidence: </w:t>
      </w:r>
      <w:r>
        <w:rPr>
          <w:b/>
        </w:rPr>
        <w:t>Emerging</w:t>
      </w:r>
    </w:p>
    <w:p>
      <w:r>
        <w:t>SCN2A Australia holds more of this asset than most communities at its stage. Its family focus groups and demographic/preferences survey (Praxis report, 2024) generated structured evidence of the community's clinical reality and priorities — for example, that 75% of caregivers reported seizure onset in the first year of life, 65% experienced ongoing seizures despite treatment, 80% were aware of the EMBOLD and EMBRAVE trials, and 70% relied on social media as their primary information source — together with five family-defined strategy clusters for improving trial accessibility. Lived-experience evidence submitted to the 2026 Senate Inquiry (seven SCN2A-specific family responses; 21 quotes) documents diagnostic delay, geographic inaccessibility, the financial consequences of uncompensated care, and fragmented coordination. This is exactly the material that a value case and a deliberative appraisal draw on. What is not yet present is the translation of this evidence into the specific forms an economic evaluation consumes — health-state utility values, quantified burden-of-illness, and preference weights — which is why the domain is Emerging rather than Established, and why it shades directly into the D3/D-economic gap below.</w:t>
      </w:r>
    </w:p>
    <w:p>
      <w:pPr>
        <w:pStyle w:val="Heading3"/>
      </w:pPr>
      <w:r>
        <w:t xml:space="preserve">D4 — Trial-readiness and recruitment infrastructure: </w:t>
      </w:r>
      <w:r>
        <w:rPr>
          <w:b/>
        </w:rPr>
        <w:t>Emerging</w:t>
      </w:r>
    </w:p>
    <w:p>
      <w:r>
        <w:t>Trials only generate usable evidence if the community can find, enter and stay in them. SCN2A Australia's survey evidence indicates high trial awareness (80%) alongside the barriers — information sourced informally, logistical, emotional and trust obstacles — that its five strategy clusters (improved awareness; health-literacy-tailored communication; mitigation of logistical/emotional/trust barriers; enhanced provider support; and a clinical-trial-navigator programme) are designed to address. The organisation has acted on these findings directly: it has worked with the trial sponsor, Praxis Precision Medicines, on trial design — feeding community-identified barriers and priorities into the studies themselves — and has established a dedicated SCN2A clinical-trials website as a standing awareness-and-navigation resource for families. Knowledge here flows from community to sponsor, not only the reverse. The infrastructure is now concretely demonstrated rather than merely designed; it is assessed as Emerging chiefly because its long-term resourcing and reach are not yet secured.</w:t>
      </w:r>
    </w:p>
    <w:p>
      <w:pPr>
        <w:pStyle w:val="Heading3"/>
      </w:pPr>
      <w:r>
        <w:t xml:space="preserve">D5 — HTA capability and literacy: </w:t>
      </w:r>
      <w:r>
        <w:rPr>
          <w:b/>
        </w:rPr>
        <w:t>Emerging</w:t>
      </w:r>
    </w:p>
    <w:p>
      <w:r>
        <w:t>This is the domain in which SCN2A Australia received the most external support, and it should be read as an enabler of the other domains rather than the object of the study. Exploratory attendance at Department of Health and HTA-sector meetings from 2022 built fluency in HTA architecture and language; a PVI-funded scholarship to the HTAi Annual Meeting (2024) provided structured immersion; and appointment to an HTA-adjacent advisory committee in 2024 gave a formal position from which to influence question-framing rather than only comment on conclusions. The capability is real and growing. But two features qualify it. First, it was achievable only through an external, US-based intermediary (PVI), because no domestic funding exists for consumer HTA capacity-building — a dependency, not a settled capability. Second, capability without the evidence assets in D1–D3 would be fluency with nothing to say; its value is entirely in service of the other domains. Emerging, and structurally fragile.</w:t>
      </w:r>
    </w:p>
    <w:p>
      <w:pPr>
        <w:pStyle w:val="Heading3"/>
      </w:pPr>
      <w:r>
        <w:t xml:space="preserve">D6 — Institutional relationships and standing: </w:t>
      </w:r>
      <w:r>
        <w:rPr>
          <w:b/>
        </w:rPr>
        <w:t>Established, with a sustainability caveat</w:t>
      </w:r>
    </w:p>
    <w:p>
      <w:r>
        <w:t>Readiness ultimately depends on relationships that allow early influence. SCN2A Australia has built standing across the spectrum that matters: as a research partner (the international natural history study), a policy contributor (Senate evidence), a committee member (advisory appointment), and — critically — as a direct collaborator with the trial sponsor. Its ongoing work with Praxis Precision Medicines on trial design places the community upstream in evidence generation, at the point where outcome selection and trial accessibility are decided, rather than downstream at consultation. This is the readiness asset the framework prizes most highly in this domain, and the one most rare-disease communities never secure: direct, substantive engagement with the company that controls the evidence-generation timeline. The caveat is not absence but durability and origin — the relationship was secured through the organisation's own initiative rather than through any structured, system-provided pathway, and its continuity depends on sustained capacity that is not yet funded. The relationship portfolio is genuinely strong; the risk is that it rests on effort the system does not underwrite.</w:t>
      </w:r>
    </w:p>
    <w:p>
      <w:pPr>
        <w:pStyle w:val="Heading3"/>
      </w:pPr>
      <w:r>
        <w:t xml:space="preserve">The economic-evidence gap (cutting across D3): </w:t>
      </w:r>
      <w:r>
        <w:rPr>
          <w:b/>
        </w:rPr>
        <w:t>Gap</w:t>
      </w:r>
    </w:p>
    <w:p>
      <w:r>
        <w:t>No health-economic evidence exists: there are no cost-utility analyses, no elicited health-state utilities, and the validated outcome measures to date rely on caregiver proxy report. For a therapy that will be assessed on cost-effectiveness under uncertainty, this is the readiness domain in the weakest state, and the one least addressable by the community alone — it requires partnership with health economists and, realistically, with the sponsor.</w:t>
      </w:r>
    </w:p>
    <w:p>
      <w:r>
        <w:rPr>
          <w:b/>
        </w:rPr>
        <w:t>Table 2. Readiness summary.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Domain</w:t>
            </w:r>
          </w:p>
        </w:tc>
        <w:tc>
          <w:tcPr>
            <w:tcW w:type="dxa" w:w="2160"/>
          </w:tcPr>
          <w:p>
            <w:r>
              <w:t>Status</w:t>
            </w:r>
          </w:p>
        </w:tc>
        <w:tc>
          <w:tcPr>
            <w:tcW w:type="dxa" w:w="2160"/>
          </w:tcPr>
          <w:p>
            <w:r>
              <w:t>Principal evidence</w:t>
            </w:r>
          </w:p>
        </w:tc>
        <w:tc>
          <w:tcPr>
            <w:tcW w:type="dxa" w:w="2160"/>
          </w:tcPr>
          <w:p>
            <w:r>
              <w:t>Principal gap</w:t>
            </w:r>
          </w:p>
        </w:tc>
      </w:tr>
      <w:tr>
        <w:tc>
          <w:tcPr>
            <w:tcW w:type="dxa" w:w="2160"/>
          </w:tcPr>
          <w:p>
            <w:r>
              <w:t>D1 Disease-course evidence</w:t>
            </w:r>
          </w:p>
        </w:tc>
        <w:tc>
          <w:tcPr>
            <w:tcW w:type="dxa" w:w="2160"/>
          </w:tcPr>
          <w:p>
            <w:r>
              <w:rPr>
                <w:b/>
              </w:rPr>
              <w:t>Established</w:t>
            </w:r>
          </w:p>
        </w:tc>
        <w:tc>
          <w:tcPr>
            <w:tcW w:type="dxa" w:w="2160"/>
          </w:tcPr>
          <w:p>
            <w:r>
              <w:t>International natural history study (MCRI), as partner</w:t>
            </w:r>
          </w:p>
        </w:tc>
        <w:tc>
          <w:tcPr>
            <w:tcW w:type="dxa" w:w="2160"/>
          </w:tcPr>
          <w:p>
            <w:r>
              <w:t>Sustaining Australian contribution</w:t>
            </w:r>
          </w:p>
        </w:tc>
      </w:tr>
      <w:tr>
        <w:tc>
          <w:tcPr>
            <w:tcW w:type="dxa" w:w="2160"/>
          </w:tcPr>
          <w:p>
            <w:r>
              <w:t>D2 Outcome measures</w:t>
            </w:r>
          </w:p>
        </w:tc>
        <w:tc>
          <w:tcPr>
            <w:tcW w:type="dxa" w:w="2160"/>
          </w:tcPr>
          <w:p>
            <w:r>
              <w:rPr>
                <w:b/>
              </w:rPr>
              <w:t>Emerging</w:t>
            </w:r>
          </w:p>
        </w:tc>
        <w:tc>
          <w:tcPr>
            <w:tcW w:type="dxa" w:w="2160"/>
          </w:tcPr>
          <w:p>
            <w:r>
              <w:t>Focus groups; SCN2A measurement literature</w:t>
            </w:r>
          </w:p>
        </w:tc>
        <w:tc>
          <w:tcPr>
            <w:tcW w:type="dxa" w:w="2160"/>
          </w:tcPr>
          <w:p>
            <w:r>
              <w:t>Validation for trial/HTA use; proxy-report methods</w:t>
            </w:r>
          </w:p>
        </w:tc>
      </w:tr>
      <w:tr>
        <w:tc>
          <w:tcPr>
            <w:tcW w:type="dxa" w:w="2160"/>
          </w:tcPr>
          <w:p>
            <w:r>
              <w:t>D3 Value/burden/preference</w:t>
            </w:r>
          </w:p>
        </w:tc>
        <w:tc>
          <w:tcPr>
            <w:tcW w:type="dxa" w:w="2160"/>
          </w:tcPr>
          <w:p>
            <w:r>
              <w:rPr>
                <w:b/>
              </w:rPr>
              <w:t>Emerging</w:t>
            </w:r>
          </w:p>
        </w:tc>
        <w:tc>
          <w:tcPr>
            <w:tcW w:type="dxa" w:w="2160"/>
          </w:tcPr>
          <w:p>
            <w:r>
              <w:t>Focus groups; survey; Senate evidence</w:t>
            </w:r>
          </w:p>
        </w:tc>
        <w:tc>
          <w:tcPr>
            <w:tcW w:type="dxa" w:w="2160"/>
          </w:tcPr>
          <w:p>
            <w:r>
              <w:t>Translation into utilities/burden-of-illness</w:t>
            </w:r>
          </w:p>
        </w:tc>
      </w:tr>
      <w:tr>
        <w:tc>
          <w:tcPr>
            <w:tcW w:type="dxa" w:w="2160"/>
          </w:tcPr>
          <w:p>
            <w:r>
              <w:t>Economic inputs (cross-cut)</w:t>
            </w:r>
          </w:p>
        </w:tc>
        <w:tc>
          <w:tcPr>
            <w:tcW w:type="dxa" w:w="2160"/>
          </w:tcPr>
          <w:p>
            <w:r>
              <w:rPr>
                <w:b/>
              </w:rPr>
              <w:t>Gap</w:t>
            </w:r>
          </w:p>
        </w:tc>
        <w:tc>
          <w:tcPr>
            <w:tcW w:type="dxa" w:w="2160"/>
          </w:tcPr>
          <w:p>
            <w:r>
              <w:t>—</w:t>
            </w:r>
          </w:p>
        </w:tc>
        <w:tc>
          <w:tcPr>
            <w:tcW w:type="dxa" w:w="2160"/>
          </w:tcPr>
          <w:p>
            <w:r>
              <w:t>No cost-utility, no HSUVs</w:t>
            </w:r>
          </w:p>
        </w:tc>
      </w:tr>
      <w:tr>
        <w:tc>
          <w:tcPr>
            <w:tcW w:type="dxa" w:w="2160"/>
          </w:tcPr>
          <w:p>
            <w:r>
              <w:t>D4 Trial-readiness</w:t>
            </w:r>
          </w:p>
        </w:tc>
        <w:tc>
          <w:tcPr>
            <w:tcW w:type="dxa" w:w="2160"/>
          </w:tcPr>
          <w:p>
            <w:r>
              <w:rPr>
                <w:b/>
              </w:rPr>
              <w:t>Emerging</w:t>
            </w:r>
          </w:p>
        </w:tc>
        <w:tc>
          <w:tcPr>
            <w:tcW w:type="dxa" w:w="2160"/>
          </w:tcPr>
          <w:p>
            <w:r>
              <w:t>Survey; navigator concept; Praxis trial-design input; SCN2A clinical-trials website</w:t>
            </w:r>
          </w:p>
        </w:tc>
        <w:tc>
          <w:tcPr>
            <w:tcW w:type="dxa" w:w="2160"/>
          </w:tcPr>
          <w:p>
            <w:r>
              <w:t>Long-term resourcing and reach</w:t>
            </w:r>
          </w:p>
        </w:tc>
      </w:tr>
      <w:tr>
        <w:tc>
          <w:tcPr>
            <w:tcW w:type="dxa" w:w="2160"/>
          </w:tcPr>
          <w:p>
            <w:r>
              <w:t>D5 HTA capability</w:t>
            </w:r>
          </w:p>
        </w:tc>
        <w:tc>
          <w:tcPr>
            <w:tcW w:type="dxa" w:w="2160"/>
          </w:tcPr>
          <w:p>
            <w:r>
              <w:rPr>
                <w:b/>
              </w:rPr>
              <w:t>Emerging</w:t>
            </w:r>
          </w:p>
        </w:tc>
        <w:tc>
          <w:tcPr>
            <w:tcW w:type="dxa" w:w="2160"/>
          </w:tcPr>
          <w:p>
            <w:r>
              <w:t>Meetings; HTAi; committee seat</w:t>
            </w:r>
          </w:p>
        </w:tc>
        <w:tc>
          <w:tcPr>
            <w:tcW w:type="dxa" w:w="2160"/>
          </w:tcPr>
          <w:p>
            <w:r>
              <w:t>Domestic funding; dependency on intermediary</w:t>
            </w:r>
          </w:p>
        </w:tc>
      </w:tr>
      <w:tr>
        <w:tc>
          <w:tcPr>
            <w:tcW w:type="dxa" w:w="2160"/>
          </w:tcPr>
          <w:p>
            <w:r>
              <w:t>D6 Relationships/standing</w:t>
            </w:r>
          </w:p>
        </w:tc>
        <w:tc>
          <w:tcPr>
            <w:tcW w:type="dxa" w:w="2160"/>
          </w:tcPr>
          <w:p>
            <w:r>
              <w:rPr>
                <w:b/>
              </w:rPr>
              <w:t>Established\</w:t>
            </w:r>
            <w:r>
              <w:t>*</w:t>
            </w:r>
          </w:p>
        </w:tc>
        <w:tc>
          <w:tcPr>
            <w:tcW w:type="dxa" w:w="2160"/>
          </w:tcPr>
          <w:p>
            <w:r>
              <w:t>Research/policy/committee standing; direct sponsor (Praxis) trial-design collaboration</w:t>
            </w:r>
          </w:p>
        </w:tc>
        <w:tc>
          <w:tcPr>
            <w:tcW w:type="dxa" w:w="2160"/>
          </w:tcPr>
          <w:p>
            <w:r>
              <w:t>Formalisation and funded sustainability (\*self-secured, not system-provided)</w:t>
            </w:r>
          </w:p>
        </w:tc>
      </w:tr>
    </w:tbl>
    <w:p/>
    <w:p>
      <w:pPr>
        <w:pStyle w:val="Heading3"/>
      </w:pPr>
      <w:r>
        <w:t>The portfolio read</w:t>
      </w:r>
    </w:p>
    <w:p>
      <w:r>
        <w:t>Read as a portfolio, SCN2A Australia is strongest exactly where readiness is hardest to retrofit — disease-course evidence, the family-priority and outcome-measurement foundations, and direct engagement with the trial sponsor on trial design. It is weakest where readiness depends on resources it does not control: health-economic evidence, and the sustained, domestically funded capacity that would make the rest durable. This is an encouraging pattern in one respect (the community has invested early in the assets that cannot be built late, and has reached upstream to the sponsor) and a sobering one in another (the remaining gaps — economic evidence and funded sustainability — are precisely those a consumer-led organisation cannot close alone).</w:t>
      </w:r>
    </w:p>
    <w:p>
      <w:pPr>
        <w:pStyle w:val="Heading2"/>
      </w:pPr>
      <w:r>
        <w:t>6. Discussion</w:t>
      </w:r>
    </w:p>
    <w:p>
      <w:pPr>
        <w:pStyle w:val="Heading3"/>
      </w:pPr>
      <w:r>
        <w:t>6.1 Is SCN2A Australia approaching the pathway the right way?</w:t>
      </w:r>
    </w:p>
    <w:p>
      <w:r>
        <w:t xml:space="preserve">On the evidence, largely yes — with defined and consequential gaps. The organisation has prioritised the assets that a non-standard HTA most needs and that are most path-dependent: a natural history capable of functioning as a comparator, and outcome and priority evidence aligned to what families value. It has done so </w:t>
      </w:r>
      <w:r>
        <w:rPr>
          <w:i/>
        </w:rPr>
        <w:t>before</w:t>
      </w:r>
      <w:r>
        <w:t xml:space="preserve"> a therapy has reached assessment, which is the correct sequencing — the window to shape assessable value closes as trials mature. This is what "approaching the pathway the right way" looks like: building D1–D3 early, using capability (D5) and relationships (D6) in their service.</w:t>
      </w:r>
    </w:p>
    <w:p>
      <w:pPr>
        <w:pStyle w:val="Heading3"/>
      </w:pPr>
      <w:r>
        <w:t>6.2 The gaps that matter, and whose they are</w:t>
      </w:r>
    </w:p>
    <w:p>
      <w:r>
        <w:t>Two gaps are decisive, and a third is a question of durability — and none is fully the organisation's to close:</w:t>
      </w:r>
    </w:p>
    <w:p>
      <w:pPr>
        <w:pStyle w:val="ListNumber"/>
      </w:pPr>
      <w:r>
        <w:rPr>
          <w:b/>
        </w:rPr>
        <w:t>Health-economic evidence.</w:t>
      </w:r>
      <w:r>
        <w:t xml:space="preserve"> The absence of elicited utilities and cost-effectiveness inputs is the weakest point of the portfolio and the domain least addressable by community effort. Closing it requires health-economics partnership and, realistically, sponsor collaboration during evidence generation.</w:t>
      </w:r>
    </w:p>
    <w:p>
      <w:pPr>
        <w:pStyle w:val="ListNumber"/>
      </w:pPr>
      <w:r>
        <w:rPr>
          <w:b/>
        </w:rPr>
        <w:t>Sustained domestic capability funding.</w:t>
      </w:r>
      <w:r>
        <w:t xml:space="preserve"> SCN2A Australia built its HTA capability through a US-based intermediary because no domestic funding exists for it. A readiness underwritten by an external workaround is fragile by construction, and unavailable to communities without that access.</w:t>
      </w:r>
    </w:p>
    <w:p>
      <w:pPr>
        <w:pStyle w:val="ListNumber"/>
      </w:pPr>
      <w:r>
        <w:rPr>
          <w:b/>
        </w:rPr>
        <w:t>Durability of upstream relationships.</w:t>
      </w:r>
      <w:r>
        <w:t xml:space="preserve"> SCN2A Australia has achieved what most communities never do — direct engagement with the trial sponsor on trial design (Section D6). The gap is not that this relationship is absent, but that it was secured by the organisation's own initiative rather than through any structured pathway, and its continuity is unfunded. The systemic failure is not that direct company–community engagement is impossible; it is that the system leaves it to chance and individual effort rather than building it into how therapies are developed and assessed.</w:t>
      </w:r>
    </w:p>
    <w:p>
      <w:r>
        <w:t>Framed as readiness, these are not complaints about engagement quality; they are exposures of where the Australian system makes durable readiness hard to reach for consumer-led organisations, however well they prepare.</w:t>
      </w:r>
    </w:p>
    <w:p>
      <w:pPr>
        <w:pStyle w:val="Heading3"/>
      </w:pPr>
      <w:r>
        <w:t>6.3 What this says about the system, in a reform window</w:t>
      </w:r>
    </w:p>
    <w:p>
      <w:r>
        <w:t xml:space="preserve">The reform window makes the gaps actionable. The system has committed to drawing consumer evidence in earlier — but earlier evidence presupposes that communities have built it, which presupposes capability and economic scaffolding that are currently unfunded. Three system changes follow directly from the gap analysis: (i) </w:t>
      </w:r>
      <w:r>
        <w:rPr>
          <w:b/>
        </w:rPr>
        <w:t>early health-economic and outcome-measurement scaffolding</w:t>
      </w:r>
      <w:r>
        <w:t xml:space="preserve"> made available to rare-disease communities during evidence generation, not at submission; (ii) </w:t>
      </w:r>
      <w:r>
        <w:rPr>
          <w:b/>
        </w:rPr>
        <w:t>funded, domestic capability-building</w:t>
      </w:r>
      <w:r>
        <w:t xml:space="preserve"> so readiness does not depend on international intermediaries; and (iii) </w:t>
      </w:r>
      <w:r>
        <w:rPr>
          <w:b/>
        </w:rPr>
        <w:t>structural facilitation of direct company–community engagement</w:t>
      </w:r>
      <w:r>
        <w:t xml:space="preserve"> in the countries where therapies will be assessed.</w:t>
      </w:r>
    </w:p>
    <w:p>
      <w:pPr>
        <w:pStyle w:val="Heading3"/>
      </w:pPr>
      <w:r>
        <w:t>6.4 A transferable readiness framework</w:t>
      </w:r>
    </w:p>
    <w:p>
      <w:r>
        <w:t>The framework in Section 3 is the portable contribution. Any rare-disease community preparing for HTA can use it to audit its own portfolio: which readiness domains are Established, which Emerging, which absent; which gaps are theirs to close and which require partnership or system change. The SCN2A case demonstrates the method and shows a characteristic rare-disease pattern — strong on path-dependent evidence assets, weak on resource- and relationship-dependent ones. Used prospectively, the framework is a planning tool; used as here, it is a self-assessment and an advocacy instrument.</w:t>
      </w:r>
    </w:p>
    <w:p>
      <w:pPr>
        <w:pStyle w:val="Heading3"/>
      </w:pPr>
      <w:r>
        <w:t>6.5 Limitations</w:t>
      </w:r>
    </w:p>
    <w:p>
      <w:r>
        <w:t>This case study has several limitations that shape how it should be read. It is a single-organisation account, and readiness patterns will differ across disease areas, geographies and organisational maturity. It is a retrospective, first-person assessment written by a participant who led the activities described; it was not designed prospectively as research, was not subject to prospective ethical review, and does not draw on independent evaluation. The reflexive standpoint is both the source of the account's authenticity and its principal limitation: judgements of what is Established versus Emerging reflect the authors' interpretation and may be subject to recall and positionality bias, and the authors have a direct interest in the organisation assessed. The status ratings are qualitative and framework-relative, not validated metrics. Finally, the account documents 2022–2025; readiness is dynamic, and sustainability is untested. Future work — ideally prospective, externally evaluated, and applied across multiple communities — should test the framework's transferability and calibrate its status criteria.</w:t>
      </w:r>
    </w:p>
    <w:p>
      <w:pPr>
        <w:pStyle w:val="Heading2"/>
      </w:pPr>
      <w:r>
        <w:t>7. Conclusion and call to action</w:t>
      </w:r>
    </w:p>
    <w:p>
      <w:r>
        <w:t>A consumer-led rare-disease organisation can build genuine HTA readiness before a therapy is assessed — but not a complete readiness under current conditions. SCN2A Australia is well prepared on the assets that cannot be built late, and demonstrably short on those that depend on funding and relationships it does not control. That pattern is the finding, and it is a system finding as much as an organisational one.</w:t>
      </w:r>
    </w:p>
    <w:p>
      <w:pPr>
        <w:pStyle w:val="ListBullet"/>
      </w:pPr>
      <w:r>
        <w:rPr>
          <w:b/>
        </w:rPr>
        <w:t>For companies:</w:t>
      </w:r>
      <w:r>
        <w:t xml:space="preserve"> a ready patient community is an evidence asset, not a stakeholder to consult. Engage on outcomes and trial design before recruitment, as SCN2A Australia's collaboration with its trial sponsor demonstrates — and make that engagement the funded, sustained norm rather than the product of one community's initiative.</w:t>
      </w:r>
    </w:p>
    <w:p>
      <w:pPr>
        <w:pStyle w:val="ListBullet"/>
      </w:pPr>
      <w:r>
        <w:rPr>
          <w:b/>
        </w:rPr>
        <w:t>For the Australian system:</w:t>
      </w:r>
      <w:r>
        <w:t xml:space="preserve"> consumer evidence is expected earlier but not resourced earlier. Fund domestic capability, and make health-economic and outcome-measurement scaffolding available to communities during evidence generation, so readiness does not depend on a US scholarship.</w:t>
      </w:r>
    </w:p>
    <w:p>
      <w:pPr>
        <w:pStyle w:val="ListBullet"/>
      </w:pPr>
      <w:r>
        <w:rPr>
          <w:b/>
        </w:rPr>
        <w:t>For other rare-disease organisations:</w:t>
      </w:r>
      <w:r>
        <w:t xml:space="preserve"> audit your portfolio against the readiness domains. Invest first in what cannot be retrofitted — natural history and outcome measures — and be clear-eyed about which gaps you cannot close alone.</w:t>
      </w:r>
    </w:p>
    <w:p>
      <w:r>
        <w:t>SCN2A Australia's trajectory shows what preparing the right way looks like, and exactly where preparation hits the limits of what a community can do without a system built to meet it. This case study is both a demonstration and a demand.</w:t>
      </w:r>
    </w:p>
    <w:p>
      <w:pPr>
        <w:pStyle w:val="Heading2"/>
      </w:pPr>
      <w:r>
        <w:t>8. GRIPP2-LF reporting checklist</w:t>
      </w:r>
    </w:p>
    <w:p>
      <w:pPr>
        <w:pStyle w:val="ListBullet"/>
      </w:pPr>
      <w:r>
        <w:rPr>
          <w:b/>
        </w:rPr>
        <w:t>Aim.</w:t>
      </w:r>
      <w:r>
        <w:t xml:space="preserve"> To assess whether SCN2A Australia is building the right evidence and capability to be ready for the regulatory and HTA pathway for emerging SCN2A precision therapies; to identify readiness gaps; and to offer a transferable readiness framework for rare-disease HTA preparation.</w:t>
      </w:r>
    </w:p>
    <w:p>
      <w:pPr>
        <w:pStyle w:val="ListBullet"/>
      </w:pPr>
      <w:r>
        <w:rPr>
          <w:b/>
        </w:rPr>
        <w:t>Rationale.</w:t>
      </w:r>
      <w:r>
        <w:t xml:space="preserve"> First-person, transparently reported assessments of how consumer-led rare-disease organisations prepare the evidence base for HTA are absent from the literature, which is written predominantly about patients rather than by them.</w:t>
      </w:r>
    </w:p>
    <w:p>
      <w:pPr>
        <w:pStyle w:val="ListBullet"/>
      </w:pPr>
      <w:r>
        <w:rPr>
          <w:b/>
        </w:rPr>
        <w:t>Design.</w:t>
      </w:r>
      <w:r>
        <w:t xml:space="preserve"> Reflective documentary case study using a six-domain readiness framework across the medicines lifecycle as the analytical lens; activities mapped to domains and assessed as Established/Emerging/Gap.</w:t>
      </w:r>
    </w:p>
    <w:p>
      <w:pPr>
        <w:pStyle w:val="ListBullet"/>
      </w:pPr>
      <w:r>
        <w:rPr>
          <w:b/>
        </w:rPr>
        <w:t>Context.</w:t>
      </w:r>
      <w:r>
        <w:t xml:space="preserve"> SCN2A-related DEE; a consumer-led not-for-profit run primarily by family caregivers; the Australian HTA system (PBAC, CCC [2017], CEEU [2019]) within the 2022–2027 reform window; implementation 2022–2025.</w:t>
      </w:r>
    </w:p>
    <w:p>
      <w:pPr>
        <w:pStyle w:val="ListBullet"/>
      </w:pPr>
      <w:r>
        <w:rPr>
          <w:b/>
        </w:rPr>
        <w:t>Involvement — who, how, what.</w:t>
      </w:r>
      <w:r>
        <w:t xml:space="preserve"> SCN2A Australia defined the question and framework, collected the underlying activity records, and authored the assessment; PVI was a capacity-building partner. No primary data were collected from families for this study beyond the organisation's own documented activities and public Senate submissions.</w:t>
      </w:r>
    </w:p>
    <w:p>
      <w:pPr>
        <w:pStyle w:val="ListBullet"/>
      </w:pPr>
      <w:r>
        <w:rPr>
          <w:b/>
        </w:rPr>
        <w:t>Outcomes.</w:t>
      </w:r>
      <w:r>
        <w:t xml:space="preserve"> A domain-by-domain readiness assessment (Table 2); identification of three decisive gaps (economic evidence, direct industry partnership, sustained funding); a transferable framework.</w:t>
      </w:r>
    </w:p>
    <w:p>
      <w:pPr>
        <w:pStyle w:val="ListBullet"/>
      </w:pPr>
      <w:r>
        <w:rPr>
          <w:b/>
        </w:rPr>
        <w:t>Reflections and critical perspective.</w:t>
      </w:r>
      <w:r>
        <w:t xml:space="preserve"> Readiness is achievable but incomplete under current conditions; the strongest domains are the least retrofittable and the weakest are those requiring resources and relationships beyond the community's control; the reflexive, participant-authored standpoint is both strength and limitation.</w:t>
      </w:r>
    </w:p>
    <w:p>
      <w:pPr>
        <w:pStyle w:val="Heading2"/>
      </w:pPr>
      <w:r>
        <w:t>9. Declarations</w:t>
      </w:r>
    </w:p>
    <w:p>
      <w:r>
        <w:rPr>
          <w:b/>
        </w:rPr>
        <w:t>Competing interests.</w:t>
      </w:r>
      <w:r>
        <w:t xml:space="preserve"> SCN2A Australia received partnership and capacity-building support from the Patient Voice Initiative (PVI). Author AS is affiliated with PVI. Author KP leads SCN2A Australia, the organisation assessed in this case study, and is the guarantor; the readiness assessment is therefore a self-assessment, and its judgements should be read in that light (see Limitations). The authors declare no other competing interests.</w:t>
      </w:r>
    </w:p>
    <w:p>
      <w:r>
        <w:rPr>
          <w:b/>
        </w:rPr>
        <w:t>Funding.</w:t>
      </w:r>
      <w:r>
        <w:t xml:space="preserve"> Conducted as service evaluation / quality improvement by SCN2A Australia. No external funding was received for manuscript preparation. SCN2A Australia's capability-building was supported by PVI as described.</w:t>
      </w:r>
    </w:p>
    <w:p>
      <w:r>
        <w:rPr>
          <w:b/>
        </w:rPr>
        <w:t>Author contributions.</w:t>
      </w:r>
      <w:r>
        <w:t xml:space="preserve"> KP conceived the manuscript, led the activities described, and drafted the paper; KP is the guarantor. DC and AS contributed to interpretation, critical revision and framing. </w:t>
      </w:r>
      <w:r>
        <w:rPr>
          <w:i/>
        </w:rPr>
        <w:t>[Contributions of additional co-authors to be specified per ICMJE criteria once the author group is finalised.]</w:t>
      </w:r>
      <w:r>
        <w:t xml:space="preserve"> All named authors will review and approve the final manuscript prior to submission.</w:t>
      </w:r>
    </w:p>
    <w:p>
      <w:r>
        <w:rPr>
          <w:b/>
        </w:rPr>
        <w:t>Acknowledgments.</w:t>
      </w:r>
      <w:r>
        <w:t xml:space="preserve"> We acknowledge the families affected by SCN2A-related disorders who contributed to focus groups, community consultation and Senate Inquiry evidence; the Murdoch Children's Research Institute (Catherine Howe) for partnership in the International SCN2A Natural History Study; the Patient Voice Initiative (Ann Single, Melanie Funk, Karen Van Gorp) for capability support; and the pharmaceutical and research partners whose engagement strengthened the organisation's readiness. We acknowledge the Department of Health and Aged Care for the reform vision of the 2022–2027 Strategic Agreement and call on the system to resource its realisation.</w:t>
      </w:r>
    </w:p>
    <w:p>
      <w:r>
        <w:rPr>
          <w:b/>
        </w:rPr>
        <w:t>Data and materials availability.</w:t>
      </w:r>
      <w:r>
        <w:t xml:space="preserve"> Organisational records documenting the activities assessed are held by SCN2A Australia and available to researchers on reasonable request. Publicly available materials (Senate Inquiry evidence, published literature, policy documents) are cited. No restricted data are presented.</w:t>
      </w:r>
    </w:p>
    <w:p>
      <w:pPr>
        <w:pStyle w:val="Heading2"/>
      </w:pPr>
      <w:r>
        <w:t>10. References</w:t>
      </w:r>
    </w:p>
    <w:p>
      <w:r>
        <w:rPr>
          <w:i/>
        </w:rPr>
        <w:t>APA 7th edition. All entries verified against PubMed/CrossRef or the authoritative publisher/agency source (July 2026). Note: the target journal (Research Involvement and Engagement) uses numbered Vancouver style at submission; convert if that remains the target.</w:t>
      </w:r>
    </w:p>
    <w:p>
      <w:r>
        <w:t xml:space="preserve">Australian Government Department of Health and Aged Care. (2024a). </w:t>
      </w:r>
      <w:r>
        <w:rPr>
          <w:i/>
        </w:rPr>
        <w:t>Enhance HTA: An enhanced consumer engagement process in Australian health technology assessment – A report of recommendations.</w:t>
      </w:r>
      <w:r>
        <w:t xml:space="preserve"> https://www.health.gov.au/resources/publications/enhance-hta-an-enhanced-consumer-engagement-process-in-australian-health-technology-assessment-a-report-of-recommendations</w:t>
      </w:r>
    </w:p>
    <w:p>
      <w:r>
        <w:t xml:space="preserve">Australian Government Department of Health and Aged Care. (2024b). </w:t>
      </w:r>
      <w:r>
        <w:rPr>
          <w:i/>
        </w:rPr>
        <w:t>Health technology assessment policy and methods review: Final report.</w:t>
      </w:r>
      <w:r>
        <w:t xml:space="preserve"> https://www.health.gov.au/resources/publications/health-technology-assessment-policy-and-methods-review-final-report</w:t>
      </w:r>
    </w:p>
    <w:p>
      <w:r>
        <w:t xml:space="preserve">Balfour, J., Cowley, L. B., Windsor, G., Dalby, E., Sibley, M., Hunter, A., &amp; Smith, R. M. (2025). The patient-driven Rare Disease Research Network: Turning research on its head. </w:t>
      </w:r>
      <w:r>
        <w:rPr>
          <w:i/>
        </w:rPr>
        <w:t>BMJ Open, 15</w:t>
      </w:r>
      <w:r>
        <w:t>(10), Article e105045. https://doi.org/10.1136/bmjopen-2025-105045</w:t>
      </w:r>
    </w:p>
    <w:p>
      <w:r>
        <w:t xml:space="preserve">Berg, A. T., Palac, H., Wilkening, G., Zelko, F., &amp; Schust Meyer, L. (2021). SCN2A-developmental and epileptic encephalopathies: Challenges to trial-readiness for non-seizure outcomes. </w:t>
      </w:r>
      <w:r>
        <w:rPr>
          <w:i/>
        </w:rPr>
        <w:t>Epilepsia, 62</w:t>
      </w:r>
      <w:r>
        <w:t>(1), 258–268. https://doi.org/10.1111/epi.16750</w:t>
      </w:r>
    </w:p>
    <w:p>
      <w:r>
        <w:t xml:space="preserve">Berg, A. T., Nili, A. N., Evans, L., Paltell, K. C., Kaiser, A. J. E., Anderson, E. L., Egan, S. M., Kaat, A. J., Nesbitt, G., &amp; Myers, L. S. (2025). Assessing communication impairments in a rare neurodevelopmental disorder: The SCN2A Clinical Trials Readiness Study. </w:t>
      </w:r>
      <w:r>
        <w:rPr>
          <w:i/>
        </w:rPr>
        <w:t>Neurology: Clinical Practice, 15</w:t>
      </w:r>
      <w:r>
        <w:t>(1), Article e200391. https://doi.org/10.1212/CPJ.0000000000200391</w:t>
      </w:r>
    </w:p>
    <w:p>
      <w:r>
        <w:t xml:space="preserve">Cohen, S. R., Helbig, I., Kaufman, M. C., Schust Myers, L., Conway, L., &amp; Helbig, K. L. (2022). Caregiver assessment of quality of life in individuals with genetic developmental and epileptic encephalopathies. </w:t>
      </w:r>
      <w:r>
        <w:rPr>
          <w:i/>
        </w:rPr>
        <w:t>Developmental Medicine &amp; Child Neurology, 64</w:t>
      </w:r>
      <w:r>
        <w:t>(8), 957–964. https://doi.org/10.1111/dmcn.15187</w:t>
      </w:r>
    </w:p>
    <w:p>
      <w:r>
        <w:t xml:space="preserve">Coombes, M. A., Morgan, K., Diaz, J., Oehrlein, E. M., Andersen, H., Gilardino, R., Helme, K., Pearce, F., &amp; Cardone, A. (2025). Plain language summaries supporting patient involvement: Lessons and guidance from HTAi Patient and Citizen Involvement Interest Group (PCIG). </w:t>
      </w:r>
      <w:r>
        <w:rPr>
          <w:i/>
        </w:rPr>
        <w:t>International Journal of Technology Assessment in Health Care, 41</w:t>
      </w:r>
      <w:r>
        <w:t>(1), Article e59. https://doi.org/10.1017/S0266462325100408</w:t>
      </w:r>
    </w:p>
    <w:p>
      <w:r>
        <w:t xml:space="preserve">Deane, K., Delbecque, L., Gorbenko, O., Hamoir, A. M., Hoos, A., Nafria, B., Pakarinen, C., Sargeant, I., Richards, D. P., Skovlund, S. E., &amp; Brooke, N. (2019). Co-creation of patient engagement quality guidance for medicines development: An international multistakeholder initiative. </w:t>
      </w:r>
      <w:r>
        <w:rPr>
          <w:i/>
        </w:rPr>
        <w:t>BMJ Innovations, 5</w:t>
      </w:r>
      <w:r>
        <w:t>(1), 43–55. https://doi.org/10.1136/bmjinnov-2018-000317</w:t>
      </w:r>
    </w:p>
    <w:p>
      <w:r>
        <w:t xml:space="preserve">Downs, J., Ludwig, N. N., Wojnaroski, M., Keeley, J., Schust Myers, L., Chapman, C. A. T., Hecker, J., Conecker, G., &amp; Berg, A. T. (2024). What does better look like in individuals with severe neurodevelopmental impairments? A qualitative descriptive study on SCN2A-related developmental and epileptic encephalopathy. </w:t>
      </w:r>
      <w:r>
        <w:rPr>
          <w:i/>
        </w:rPr>
        <w:t>Quality of Life Research, 33</w:t>
      </w:r>
      <w:r>
        <w:t>(2), 519–528. https://doi.org/10.1007/s11136-023-03543-6</w:t>
      </w:r>
    </w:p>
    <w:p>
      <w:r>
        <w:t xml:space="preserve">Janssens, A., Drachmann, D., Barnes-Cullen, K., Carrigg, A., Christesen, H. T., Futers, B., Lavery, Y. O., Palms, T., Petersen, J. S., Shah, P., Thornton, P., &amp; Wolfsdorf, J. (2024). An auto-ethnographic study of co-produced health research in a patient organisation: Unpacking the good, the bad, and the unspoken. </w:t>
      </w:r>
      <w:r>
        <w:rPr>
          <w:i/>
        </w:rPr>
        <w:t>Research Involvement and Engagement, 10</w:t>
      </w:r>
      <w:r>
        <w:t>(1), Article 76. https://doi.org/10.1186/s40900-024-00609-8</w:t>
      </w:r>
    </w:p>
    <w:p>
      <w:r>
        <w:t xml:space="preserve">Kaat, A. J., Evans, L., Nili, A. N., Paltell, K., Kaiser, A., Anderson, E., Myers, L. S., &amp; Berg, A. T. (2025). Vineland-3 growth scale values: Psychometric properties for clinical trial readiness in SCN2A. </w:t>
      </w:r>
      <w:r>
        <w:rPr>
          <w:i/>
        </w:rPr>
        <w:t>Journal of Child and Adolescent Psychopharmacology, 35</w:t>
      </w:r>
      <w:r>
        <w:t>(7), 416–423. https://doi.org/10.1089/cap.2024.0107</w:t>
      </w:r>
    </w:p>
    <w:p>
      <w:r>
        <w:t xml:space="preserve">Lopes, E., Street, J., Carter, D., &amp; Merlin, T. (2016). Involving patients in health technology funding decisions: Stakeholder perspectives on processes used in Australia. </w:t>
      </w:r>
      <w:r>
        <w:rPr>
          <w:i/>
        </w:rPr>
        <w:t>Health Expectations, 19</w:t>
      </w:r>
      <w:r>
        <w:t>(2), 331–344. https://doi.org/10.1111/hex.12356</w:t>
      </w:r>
    </w:p>
    <w:p>
      <w:r>
        <w:t xml:space="preserve">Nguyen, C. Q., Alba-Concepcion, K., Palmer, E. E., Scully, J. L., Millis, N., &amp; Farrar, M. A. (2022). The involvement of rare disease patient organisations in therapeutic innovation across rare paediatric neurological conditions: A narrative review. </w:t>
      </w:r>
      <w:r>
        <w:rPr>
          <w:i/>
        </w:rPr>
        <w:t>Orphanet Journal of Rare Diseases, 17</w:t>
      </w:r>
      <w:r>
        <w:t>(1), Article 167. https://doi.org/10.1186/s13023-022-02317-6</w:t>
      </w:r>
    </w:p>
    <w:p>
      <w:r>
        <w:t xml:space="preserve">Pierce, K., Single, A., Funk, M., &amp; Van Gorp, K. (2025). OP07 Shared learning: An alternative model for patient capacity development to participate in health technology assessment [Conference abstract]. </w:t>
      </w:r>
      <w:r>
        <w:rPr>
          <w:i/>
        </w:rPr>
        <w:t>International Journal of Technology Assessment in Health Care, 41</w:t>
      </w:r>
      <w:r>
        <w:t>(S1), S4. https://doi.org/10.1017/S0266462325100664</w:t>
      </w:r>
    </w:p>
    <w:p>
      <w:r>
        <w:t xml:space="preserve">Praxis Precision Medicines. (2024). </w:t>
      </w:r>
      <w:r>
        <w:rPr>
          <w:i/>
        </w:rPr>
        <w:t>SCN2A clinical trial readiness and patient/consumer engagement study</w:t>
      </w:r>
      <w:r>
        <w:t xml:space="preserve"> [Unpublished internal report]. </w:t>
      </w:r>
      <w:r>
        <w:rPr>
          <w:b/>
        </w:rPr>
        <w:t>[Provenance to confirm — see memo: not publicly retrievable; verify exact title, author organisation, and year, or reclassify as SCN2A Australia organisational record.]</w:t>
      </w:r>
    </w:p>
    <w:p>
      <w:r>
        <w:t xml:space="preserve">Scott, A. M., &amp; Wale, J. L. (2017). Patient advocate perspectives on involvement in HTA: An international snapshot. </w:t>
      </w:r>
      <w:r>
        <w:rPr>
          <w:i/>
        </w:rPr>
        <w:t>Research Involvement and Engagement, 3</w:t>
      </w:r>
      <w:r>
        <w:t>, Article 2. https://doi.org/10.1186/s40900-016-0052-9</w:t>
      </w:r>
    </w:p>
    <w:p>
      <w:r>
        <w:t xml:space="preserve">Sevinc, G., Knox, K., George, M., Evans, L., Kaiser, A., Paltell, K. C., Myers, L. S., Ludwig, N. N., Wojnaroski, M., Conecker, G., Hecker, J., Downs, J., Chapman, C. A. T., &amp; Berg, A. T. (2025). The feasibility of personalized endpoints in assessing treatment outcomes for rare diseases: A pilot study of goal attainment scaling in SCN2A-associated developmental epileptic encephalopathy. </w:t>
      </w:r>
      <w:r>
        <w:rPr>
          <w:i/>
        </w:rPr>
        <w:t>Value in Health, 28</w:t>
      </w:r>
      <w:r>
        <w:t>(3), 441–448. https://doi.org/10.1016/j.jval.2024.12.004</w:t>
      </w:r>
    </w:p>
    <w:p>
      <w:r>
        <w:t xml:space="preserve">Staniszewska, S., Brett, J., Simera, I., Seers, K., Mockford, C., Goodlad, S., Altman, D. G., Moher, D., Barber, R., Denegri, S., Entwistle, A., Littlejohns, P., Morris, C., Suleman, R., Thomas, V., &amp; Tysall, C. (2017). GRIPP2 reporting checklists: Tools to improve reporting of patient and public involvement in research. </w:t>
      </w:r>
      <w:r>
        <w:rPr>
          <w:i/>
        </w:rPr>
        <w:t>BMJ, 358</w:t>
      </w:r>
      <w:r>
        <w:t>, Article j3453. https://doi.org/10.1136/bmj.j3453</w:t>
      </w:r>
    </w:p>
    <w:p>
      <w:r>
        <w:t xml:space="preserve">Tjeuw, E., &amp; Wonder, M. J. (2022). Analysis of consumer comments into PBAC decision-making (2014–9). </w:t>
      </w:r>
      <w:r>
        <w:rPr>
          <w:i/>
        </w:rPr>
        <w:t>International Journal of Technology Assessment in Health Care, 38</w:t>
      </w:r>
      <w:r>
        <w:t>(1), Article e18. https://doi.org/10.1017/S0266462321001744</w:t>
      </w:r>
    </w:p>
    <w:p>
      <w:r>
        <w:t xml:space="preserve">Wagner, M., Berecki, G., Fazeli, W., Nussbaum, C., Flemmer, A. W., Frizzo, S., Heer, F., Heinen, F., Horton, R., Jacotin, H., Motel, W., Spar, B., Klein, C., Siegel, C., Hübener, C., Stöcklein, S., Paolini, M., Staudt, M., Wolff, M., . . . Borggraefe, I. (2025). Antisense oligonucleotide treatment in a preterm infant with early-onset SCN2A developmental and epileptic encephalopathy. </w:t>
      </w:r>
      <w:r>
        <w:rPr>
          <w:i/>
        </w:rPr>
        <w:t>Nature Medicine, 31</w:t>
      </w:r>
      <w:r>
        <w:t>(7), 2174–2178. https://doi.org/10.1038/s41591-025-03656-0</w:t>
      </w:r>
    </w:p>
    <w:p>
      <w:r>
        <w:t xml:space="preserve">Wale, J. L., Thomas, S., Hamerlijnck, D., &amp; Hollander, R. (2021). Patients and public are important stakeholders in health technology assessment but the level of involvement is low—A call to action. </w:t>
      </w:r>
      <w:r>
        <w:rPr>
          <w:i/>
        </w:rPr>
        <w:t>Research Involvement and Engagement, 7</w:t>
      </w:r>
      <w:r>
        <w:t>(1), Article 1. https://doi.org/10.1186/s40900-020-00248-9</w:t>
      </w:r>
    </w:p>
    <w:p>
      <w:r>
        <w:t xml:space="preserve">Whittal, A., Meregaglia, M., &amp; Nicod, E. (2021). The use of patient-reported outcome measures in rare diseases and implications for health technology assessment. </w:t>
      </w:r>
      <w:r>
        <w:rPr>
          <w:i/>
        </w:rPr>
        <w:t>The Patient, 14</w:t>
      </w:r>
      <w:r>
        <w:t>(5), 485–503. https://doi.org/10.1007/s40271-020-00493-w</w:t>
      </w:r>
    </w:p>
    <w:p>
      <w:r>
        <w:rPr>
          <w:i/>
        </w:rPr>
        <w:t>[TO CONFIRM] Quality-of-life paper (lead author Lauren Kaleda) — full citation, journal, year and DOI needed for D2/D3. Not located on PubMed under this spelling; please supply the reference or a link and it will be inserted.</w:t>
      </w:r>
    </w:p>
    <w:p>
      <w:pPr>
        <w:pStyle w:val="Heading2"/>
      </w:pPr>
      <w:r>
        <w:t>Supplementary material</w:t>
      </w:r>
    </w:p>
    <w:p>
      <w:pPr>
        <w:pStyle w:val="ListBullet"/>
      </w:pPr>
      <w:r>
        <w:rPr>
          <w:b/>
        </w:rPr>
        <w:t>Figure 1.</w:t>
      </w:r>
      <w:r>
        <w:t xml:space="preserve"> Readiness map — the six domains × Established/Emerging/Gap status, with contributing activities and lifecycle position </w:t>
      </w:r>
      <w:r>
        <w:rPr>
          <w:i/>
        </w:rPr>
        <w:t>(to be prepared as a standalone visual; replaces the earlier pillar timeline, which may be retained as Supplementary Figure S1 to show sequencing 2022–2025).</w:t>
      </w:r>
    </w:p>
    <w:p>
      <w:pPr>
        <w:pStyle w:val="ListBullet"/>
      </w:pPr>
      <w:r>
        <w:rPr>
          <w:b/>
        </w:rPr>
        <w:t>Appendix A.</w:t>
      </w:r>
      <w:r>
        <w:t xml:space="preserve"> GRIPP2-LF full checklist.</w:t>
      </w:r>
    </w:p>
    <w:p>
      <w:pPr>
        <w:pStyle w:val="ListBullet"/>
      </w:pPr>
      <w:r>
        <w:rPr>
          <w:b/>
        </w:rPr>
        <w:t>Appendix B.</w:t>
      </w:r>
      <w:r>
        <w:t xml:space="preserve"> Organisational records inventory (confidential; to editors/reviewers on request).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