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SCN2A HTA Package — Verified Reference List (APA 7th edition)</w:t>
      </w:r>
    </w:p>
    <w:p>
      <w:r>
        <w:rPr>
          <w:b/>
        </w:rPr>
        <w:t>Verification method.</w:t>
      </w:r>
      <w:r>
        <w:t xml:space="preserve"> Every reference cited across the manuscript, literature review, and study protocol was checked against an authoritative source — PubMed/CrossRef for indexed journal articles, and the publisher or issuing agency for grey literature and conference abstracts (July 2026).</w:t>
      </w:r>
    </w:p>
    <w:p>
      <w:r>
        <w:rPr>
          <w:b/>
        </w:rPr>
        <w:t>Outcome:</w:t>
      </w:r>
      <w:r>
        <w:t xml:space="preserve"> 35 references checked · </w:t>
      </w:r>
      <w:r>
        <w:rPr>
          <w:b/>
        </w:rPr>
        <w:t>0 fabricated</w:t>
      </w:r>
      <w:r>
        <w:t xml:space="preserve"> · 21 confirmed as drafted · 13 corrected · 1 (Praxis report) not publicly verifiable.</w:t>
      </w:r>
    </w:p>
    <w:p>
      <w:r>
        <w:t xml:space="preserve">&gt; </w:t>
      </w:r>
      <w:r>
        <w:rPr>
          <w:b/>
        </w:rPr>
        <w:t>Style note.</w:t>
      </w:r>
      <w:r>
        <w:t xml:space="preserve"> APA 7th is applied here as requested. </w:t>
      </w:r>
      <w:r>
        <w:rPr>
          <w:i/>
        </w:rPr>
        <w:t>Research Involvement and Engagement</w:t>
      </w:r>
      <w:r>
        <w:t xml:space="preserve"> (the current target journal) uses </w:t>
      </w:r>
      <w:r>
        <w:rPr>
          <w:b/>
        </w:rPr>
        <w:t>numbered Vancouver</w:t>
      </w:r>
      <w:r>
        <w:t xml:space="preserve"> style — if that remains the target, these will need converting. The manuscript's own reference section has been set to this APA list.</w:t>
      </w:r>
    </w:p>
    <w:p>
      <w:pPr>
        <w:pStyle w:val="Heading2"/>
      </w:pPr>
      <w:r>
        <w:t>Corrections made during verification (action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Reference</w:t>
            </w:r>
          </w:p>
        </w:tc>
        <w:tc>
          <w:tcPr>
            <w:tcW w:type="dxa" w:w="2160"/>
          </w:tcPr>
          <w:p>
            <w:r>
              <w:t>What was wrong in the draft(s)</w:t>
            </w:r>
          </w:p>
        </w:tc>
        <w:tc>
          <w:tcPr>
            <w:tcW w:type="dxa" w:w="2160"/>
          </w:tcPr>
          <w:p>
            <w:r>
              <w:t>Corrected to</w:t>
            </w:r>
          </w:p>
        </w:tc>
      </w:tr>
      <w:tr>
        <w:tc>
          <w:tcPr>
            <w:tcW w:type="dxa" w:w="2160"/>
          </w:tcPr>
          <w:p>
            <w:r>
              <w:t>1</w:t>
            </w:r>
          </w:p>
        </w:tc>
        <w:tc>
          <w:tcPr>
            <w:tcW w:type="dxa" w:w="2160"/>
          </w:tcPr>
          <w:p>
            <w:r>
              <w:rPr>
                <w:b/>
              </w:rPr>
              <w:t>"Call to action"</w:t>
            </w:r>
          </w:p>
        </w:tc>
        <w:tc>
          <w:tcPr>
            <w:tcW w:type="dxa" w:w="2160"/>
          </w:tcPr>
          <w:p>
            <w:r>
              <w:t xml:space="preserve">Original position paper attributed it to </w:t>
            </w:r>
            <w:r>
              <w:rPr>
                <w:b/>
              </w:rPr>
              <w:t>"Single ANV et al., *Res Involv Engagem* 2021;7:8"</w:t>
            </w:r>
            <w:r>
              <w:t xml:space="preserve"> — a </w:t>
            </w:r>
            <w:r>
              <w:rPr>
                <w:b/>
              </w:rPr>
              <w:t>false attribution</w:t>
            </w:r>
            <w:r>
              <w:t>. No author "Single ANV"; 7:8 is a different paper (Ludwig et al., ethics of engaging frail patients).</w:t>
            </w:r>
          </w:p>
        </w:tc>
        <w:tc>
          <w:tcPr>
            <w:tcW w:type="dxa" w:w="2160"/>
          </w:tcPr>
          <w:p>
            <w:r>
              <w:t xml:space="preserve">Wale, J. L., Thomas, S., Hamerlijnck, D., &amp; Hollander, R. (2021), </w:t>
            </w:r>
            <w:r>
              <w:rPr>
                <w:i/>
              </w:rPr>
              <w:t>RIE, 7</w:t>
            </w:r>
            <w:r>
              <w:t>(1), Article 1.</w:t>
            </w:r>
          </w:p>
        </w:tc>
      </w:tr>
      <w:tr>
        <w:tc>
          <w:tcPr>
            <w:tcW w:type="dxa" w:w="2160"/>
          </w:tcPr>
          <w:p>
            <w:r>
              <w:t>2</w:t>
            </w:r>
          </w:p>
        </w:tc>
        <w:tc>
          <w:tcPr>
            <w:tcW w:type="dxa" w:w="2160"/>
          </w:tcPr>
          <w:p>
            <w:r>
              <w:rPr>
                <w:b/>
              </w:rPr>
              <w:t>Scott &amp; Wale 2017</w:t>
            </w:r>
          </w:p>
        </w:tc>
        <w:tc>
          <w:tcPr>
            <w:tcW w:type="dxa" w:w="2160"/>
          </w:tcPr>
          <w:p>
            <w:r>
              <w:t xml:space="preserve">Cited with </w:t>
            </w:r>
            <w:r>
              <w:rPr>
                <w:b/>
              </w:rPr>
              <w:t>two different DOIs</w:t>
            </w:r>
            <w:r>
              <w:t>, both wrong (</w:t>
            </w:r>
            <w:r>
              <w:rPr>
                <w:rFonts w:ascii="Consolas" w:hAnsi="Consolas"/>
              </w:rPr>
              <w:t>…017-0014-5</w:t>
            </w:r>
            <w:r>
              <w:t xml:space="preserve">, </w:t>
            </w:r>
            <w:r>
              <w:rPr>
                <w:rFonts w:ascii="Consolas" w:hAnsi="Consolas"/>
              </w:rPr>
              <w:t>…016-0051-x</w:t>
            </w:r>
            <w:r>
              <w:t>).</w:t>
            </w:r>
          </w:p>
        </w:tc>
        <w:tc>
          <w:tcPr>
            <w:tcW w:type="dxa" w:w="2160"/>
          </w:tcPr>
          <w:p>
            <w:r>
              <w:t xml:space="preserve">Correct DOI: </w:t>
            </w:r>
            <w:r>
              <w:rPr>
                <w:rFonts w:ascii="Consolas" w:hAnsi="Consolas"/>
              </w:rPr>
              <w:t>10.1186/s40900-016-0052-9</w:t>
            </w:r>
            <w:r>
              <w:t>.</w:t>
            </w:r>
          </w:p>
        </w:tc>
      </w:tr>
      <w:tr>
        <w:tc>
          <w:tcPr>
            <w:tcW w:type="dxa" w:w="2160"/>
          </w:tcPr>
          <w:p>
            <w:r>
              <w:t>3</w:t>
            </w:r>
          </w:p>
        </w:tc>
        <w:tc>
          <w:tcPr>
            <w:tcW w:type="dxa" w:w="2160"/>
          </w:tcPr>
          <w:p>
            <w:r>
              <w:rPr>
                <w:b/>
              </w:rPr>
              <w:t>Adelaide scoping review 2025</w:t>
            </w:r>
          </w:p>
        </w:tc>
        <w:tc>
          <w:tcPr>
            <w:tcW w:type="dxa" w:w="2160"/>
          </w:tcPr>
          <w:p>
            <w:r>
              <w:t>Author given as institution "Adelaide Health Technology Assessment"; missing locators.</w:t>
            </w:r>
          </w:p>
        </w:tc>
        <w:tc>
          <w:tcPr>
            <w:tcW w:type="dxa" w:w="2160"/>
          </w:tcPr>
          <w:p>
            <w:r>
              <w:t xml:space="preserve">Named authors: </w:t>
            </w:r>
            <w:r>
              <w:rPr>
                <w:b/>
              </w:rPr>
              <w:t>Carter, Laka, Gao, Choi, Tamblyn, &amp; Merlin (2025)</w:t>
            </w:r>
            <w:r>
              <w:t xml:space="preserve">, </w:t>
            </w:r>
            <w:r>
              <w:rPr>
                <w:i/>
              </w:rPr>
              <w:t>IJTAHC, 41</w:t>
            </w:r>
            <w:r>
              <w:t>(1), e69.</w:t>
            </w:r>
          </w:p>
        </w:tc>
      </w:tr>
      <w:tr>
        <w:tc>
          <w:tcPr>
            <w:tcW w:type="dxa" w:w="2160"/>
          </w:tcPr>
          <w:p>
            <w:r>
              <w:t>4</w:t>
            </w:r>
          </w:p>
        </w:tc>
        <w:tc>
          <w:tcPr>
            <w:tcW w:type="dxa" w:w="2160"/>
          </w:tcPr>
          <w:p>
            <w:r>
              <w:rPr>
                <w:b/>
              </w:rPr>
              <w:t>"Groft… ELSI agenda 2024"</w:t>
            </w:r>
          </w:p>
        </w:tc>
        <w:tc>
          <w:tcPr>
            <w:tcW w:type="dxa" w:w="2160"/>
          </w:tcPr>
          <w:p>
            <w:r>
              <w:rPr>
                <w:b/>
              </w:rPr>
              <w:t>Groft is not an author at all</w:t>
            </w:r>
            <w:r>
              <w:t>; wrong article number (30).</w:t>
            </w:r>
          </w:p>
        </w:tc>
        <w:tc>
          <w:tcPr>
            <w:tcW w:type="dxa" w:w="2160"/>
          </w:tcPr>
          <w:p>
            <w:r>
              <w:rPr>
                <w:b/>
              </w:rPr>
              <w:t>Berrios, C., et al. (2024)</w:t>
            </w:r>
            <w:r>
              <w:t xml:space="preserve">, </w:t>
            </w:r>
            <w:r>
              <w:rPr>
                <w:i/>
              </w:rPr>
              <w:t>Orphanet JRD, 19</w:t>
            </w:r>
            <w:r>
              <w:t xml:space="preserve">(1), Article 23, DOI </w:t>
            </w:r>
            <w:r>
              <w:rPr>
                <w:rFonts w:ascii="Consolas" w:hAnsi="Consolas"/>
              </w:rPr>
              <w:t>10.1186/s13023-023-02986-x</w:t>
            </w:r>
            <w:r>
              <w:t>.</w:t>
            </w:r>
          </w:p>
        </w:tc>
      </w:tr>
      <w:tr>
        <w:tc>
          <w:tcPr>
            <w:tcW w:type="dxa" w:w="2160"/>
          </w:tcPr>
          <w:p>
            <w:r>
              <w:t>5</w:t>
            </w:r>
          </w:p>
        </w:tc>
        <w:tc>
          <w:tcPr>
            <w:tcW w:type="dxa" w:w="2160"/>
          </w:tcPr>
          <w:p>
            <w:r>
              <w:rPr>
                <w:b/>
              </w:rPr>
              <w:t>PARADIGM</w:t>
            </w:r>
          </w:p>
        </w:tc>
        <w:tc>
          <w:tcPr>
            <w:tcW w:type="dxa" w:w="2160"/>
          </w:tcPr>
          <w:p>
            <w:r>
              <w:t>Cited as a project webpage with no author/year.</w:t>
            </w:r>
          </w:p>
        </w:tc>
        <w:tc>
          <w:tcPr>
            <w:tcW w:type="dxa" w:w="2160"/>
          </w:tcPr>
          <w:p>
            <w:r>
              <w:t xml:space="preserve">Peer-reviewed output: </w:t>
            </w:r>
            <w:r>
              <w:rPr>
                <w:b/>
              </w:rPr>
              <w:t>Faulkner, S. D., et al. (2021)</w:t>
            </w:r>
            <w:r>
              <w:t xml:space="preserve">, </w:t>
            </w:r>
            <w:r>
              <w:rPr>
                <w:i/>
              </w:rPr>
              <w:t>Health Expectations, 24</w:t>
            </w:r>
            <w:r>
              <w:t>(2), 601–616.</w:t>
            </w:r>
          </w:p>
        </w:tc>
      </w:tr>
      <w:tr>
        <w:tc>
          <w:tcPr>
            <w:tcW w:type="dxa" w:w="2160"/>
          </w:tcPr>
          <w:p>
            <w:r>
              <w:t>6</w:t>
            </w:r>
          </w:p>
        </w:tc>
        <w:tc>
          <w:tcPr>
            <w:tcW w:type="dxa" w:w="2160"/>
          </w:tcPr>
          <w:p>
            <w:r>
              <w:rPr>
                <w:b/>
              </w:rPr>
              <w:t>Janssens/Drachmann 2024</w:t>
            </w:r>
          </w:p>
        </w:tc>
        <w:tc>
          <w:tcPr>
            <w:tcW w:type="dxa" w:w="2160"/>
          </w:tcPr>
          <w:p>
            <w:r>
              <w:t>Article number given as 78 and 88 across docs — both wrong.</w:t>
            </w:r>
          </w:p>
        </w:tc>
        <w:tc>
          <w:tcPr>
            <w:tcW w:type="dxa" w:w="2160"/>
          </w:tcPr>
          <w:p>
            <w:r>
              <w:t xml:space="preserve">Correct: </w:t>
            </w:r>
            <w:r>
              <w:rPr>
                <w:b/>
              </w:rPr>
              <w:t>Article 76</w:t>
            </w:r>
            <w:r>
              <w:t>.</w:t>
            </w:r>
          </w:p>
        </w:tc>
      </w:tr>
      <w:tr>
        <w:tc>
          <w:tcPr>
            <w:tcW w:type="dxa" w:w="2160"/>
          </w:tcPr>
          <w:p>
            <w:r>
              <w:t>7</w:t>
            </w:r>
          </w:p>
        </w:tc>
        <w:tc>
          <w:tcPr>
            <w:tcW w:type="dxa" w:w="2160"/>
          </w:tcPr>
          <w:p>
            <w:r>
              <w:rPr>
                <w:b/>
              </w:rPr>
              <w:t>Coombes/PCIG 2025</w:t>
            </w:r>
          </w:p>
        </w:tc>
        <w:tc>
          <w:tcPr>
            <w:tcW w:type="dxa" w:w="2160"/>
          </w:tcPr>
          <w:p>
            <w:r>
              <w:t>Elsewhere first author listed as "Single A" — wrong.</w:t>
            </w:r>
          </w:p>
        </w:tc>
        <w:tc>
          <w:tcPr>
            <w:tcW w:type="dxa" w:w="2160"/>
          </w:tcPr>
          <w:p>
            <w:r>
              <w:t xml:space="preserve">First author is </w:t>
            </w:r>
            <w:r>
              <w:rPr>
                <w:b/>
              </w:rPr>
              <w:t>Coombes, M. A.</w:t>
            </w:r>
            <w:r>
              <w:t xml:space="preserve"> (Single not on this paper); </w:t>
            </w:r>
            <w:r>
              <w:rPr>
                <w:i/>
              </w:rPr>
              <w:t>IJTAHC, 41</w:t>
            </w:r>
            <w:r>
              <w:t>(1), e59.</w:t>
            </w:r>
          </w:p>
        </w:tc>
      </w:tr>
      <w:tr>
        <w:tc>
          <w:tcPr>
            <w:tcW w:type="dxa" w:w="2160"/>
          </w:tcPr>
          <w:p>
            <w:r>
              <w:t>8</w:t>
            </w:r>
          </w:p>
        </w:tc>
        <w:tc>
          <w:tcPr>
            <w:tcW w:type="dxa" w:w="2160"/>
          </w:tcPr>
          <w:p>
            <w:r>
              <w:rPr>
                <w:b/>
              </w:rPr>
              <w:t>PEQG guidance</w:t>
            </w:r>
          </w:p>
        </w:tc>
        <w:tc>
          <w:tcPr>
            <w:tcW w:type="dxa" w:w="2160"/>
          </w:tcPr>
          <w:p>
            <w:r>
              <w:t xml:space="preserve">Lit review cited "Hoos, </w:t>
            </w:r>
            <w:r>
              <w:rPr>
                <w:i/>
              </w:rPr>
              <w:t>BMJ Open</w:t>
            </w:r>
            <w:r>
              <w:t xml:space="preserve"> e028871" (not retrievable).</w:t>
            </w:r>
          </w:p>
        </w:tc>
        <w:tc>
          <w:tcPr>
            <w:tcW w:type="dxa" w:w="2160"/>
          </w:tcPr>
          <w:p>
            <w:r>
              <w:rPr>
                <w:b/>
              </w:rPr>
              <w:t>Deane, K., et al. (2019)</w:t>
            </w:r>
            <w:r>
              <w:t xml:space="preserve">, </w:t>
            </w:r>
            <w:r>
              <w:rPr>
                <w:i/>
              </w:rPr>
              <w:t>BMJ Innovations, 5</w:t>
            </w:r>
            <w:r>
              <w:t>(1), 43–55 (Hoos is 5th author here).</w:t>
            </w:r>
          </w:p>
        </w:tc>
      </w:tr>
      <w:tr>
        <w:tc>
          <w:tcPr>
            <w:tcW w:type="dxa" w:w="2160"/>
          </w:tcPr>
          <w:p>
            <w:r>
              <w:t>9</w:t>
            </w:r>
          </w:p>
        </w:tc>
        <w:tc>
          <w:tcPr>
            <w:tcW w:type="dxa" w:w="2160"/>
          </w:tcPr>
          <w:p>
            <w:r>
              <w:rPr>
                <w:b/>
              </w:rPr>
              <w:t>CEEU 2025</w:t>
            </w:r>
          </w:p>
        </w:tc>
        <w:tc>
          <w:tcPr>
            <w:tcW w:type="dxa" w:w="2160"/>
          </w:tcPr>
          <w:p>
            <w:r>
              <w:t>Cited by PMC id only, no author.</w:t>
            </w:r>
          </w:p>
        </w:tc>
        <w:tc>
          <w:tcPr>
            <w:tcW w:type="dxa" w:w="2160"/>
          </w:tcPr>
          <w:p>
            <w:r>
              <w:t xml:space="preserve">Conference abstract </w:t>
            </w:r>
            <w:r>
              <w:rPr>
                <w:b/>
              </w:rPr>
              <w:t>Watson, J., &amp; Trowman, R. (2025)</w:t>
            </w:r>
            <w:r>
              <w:t xml:space="preserve">, PD238, </w:t>
            </w:r>
            <w:r>
              <w:rPr>
                <w:i/>
              </w:rPr>
              <w:t>IJTAHC, 40</w:t>
            </w:r>
            <w:r>
              <w:t>(S1), S185.</w:t>
            </w:r>
          </w:p>
        </w:tc>
      </w:tr>
      <w:tr>
        <w:tc>
          <w:tcPr>
            <w:tcW w:type="dxa" w:w="2160"/>
          </w:tcPr>
          <w:p>
            <w:r>
              <w:t>10</w:t>
            </w:r>
          </w:p>
        </w:tc>
        <w:tc>
          <w:tcPr>
            <w:tcW w:type="dxa" w:w="2160"/>
          </w:tcPr>
          <w:p>
            <w:r>
              <w:rPr>
                <w:b/>
              </w:rPr>
              <w:t>Global Genes ELPFDD</w:t>
            </w:r>
          </w:p>
        </w:tc>
        <w:tc>
          <w:tcPr>
            <w:tcW w:type="dxa" w:w="2160"/>
          </w:tcPr>
          <w:p>
            <w:r>
              <w:t xml:space="preserve">Year </w:t>
            </w:r>
            <w:r>
              <w:rPr>
                <w:b/>
              </w:rPr>
              <w:t>2026</w:t>
            </w:r>
            <w:r>
              <w:t xml:space="preserve"> was wrong.</w:t>
            </w:r>
          </w:p>
        </w:tc>
        <w:tc>
          <w:tcPr>
            <w:tcW w:type="dxa" w:w="2160"/>
          </w:tcPr>
          <w:p>
            <w:r>
              <w:rPr>
                <w:b/>
              </w:rPr>
              <w:t>2025</w:t>
            </w:r>
            <w:r>
              <w:t xml:space="preserve"> (session held June 2025).</w:t>
            </w:r>
          </w:p>
        </w:tc>
      </w:tr>
      <w:tr>
        <w:tc>
          <w:tcPr>
            <w:tcW w:type="dxa" w:w="2160"/>
          </w:tcPr>
          <w:p>
            <w:r>
              <w:t>11</w:t>
            </w:r>
          </w:p>
        </w:tc>
        <w:tc>
          <w:tcPr>
            <w:tcW w:type="dxa" w:w="2160"/>
          </w:tcPr>
          <w:p>
            <w:r>
              <w:rPr>
                <w:b/>
              </w:rPr>
              <w:t>Wale &amp; Sullivan 2020; Kaat 2025; Wagner 2025; Berg 2021; Cohen 2022; Nguyen; Downs; Berg 2025; Sevinc</w:t>
            </w:r>
          </w:p>
        </w:tc>
        <w:tc>
          <w:tcPr>
            <w:tcW w:type="dxa" w:w="2160"/>
          </w:tcPr>
          <w:p>
            <w:r>
              <w:t>Missing volume/issue/pages and/or "et al." abbreviations.</w:t>
            </w:r>
          </w:p>
        </w:tc>
        <w:tc>
          <w:tcPr>
            <w:tcW w:type="dxa" w:w="2160"/>
          </w:tcPr>
          <w:p>
            <w:r>
              <w:t>Full locators and author lists supplied below.</w:t>
            </w:r>
          </w:p>
        </w:tc>
      </w:tr>
      <w:tr>
        <w:tc>
          <w:tcPr>
            <w:tcW w:type="dxa" w:w="2160"/>
          </w:tcPr>
          <w:p>
            <w:r>
              <w:t>12</w:t>
            </w:r>
          </w:p>
        </w:tc>
        <w:tc>
          <w:tcPr>
            <w:tcW w:type="dxa" w:w="2160"/>
          </w:tcPr>
          <w:p>
            <w:r>
              <w:rPr>
                <w:b/>
              </w:rPr>
              <w:t>Grey-lit URLs</w:t>
            </w:r>
            <w:r>
              <w:t xml:space="preserve"> (Enhance HTA, HTA Review, IAP2, EPA, FDA, NORD, IQVIA, CCC)</w:t>
            </w:r>
          </w:p>
        </w:tc>
        <w:tc>
          <w:tcPr>
            <w:tcW w:type="dxa" w:w="2160"/>
          </w:tcPr>
          <w:p>
            <w:r>
              <w:t>Bare domains / no year.</w:t>
            </w:r>
          </w:p>
        </w:tc>
        <w:tc>
          <w:tcPr>
            <w:tcW w:type="dxa" w:w="2160"/>
          </w:tcPr>
          <w:p>
            <w:r>
              <w:t>Stable URLs and years supplied.</w:t>
            </w:r>
          </w:p>
        </w:tc>
      </w:tr>
      <w:tr>
        <w:tc>
          <w:tcPr>
            <w:tcW w:type="dxa" w:w="2160"/>
          </w:tcPr>
          <w:p>
            <w:r>
              <w:t>13</w:t>
            </w:r>
          </w:p>
        </w:tc>
        <w:tc>
          <w:tcPr>
            <w:tcW w:type="dxa" w:w="2160"/>
          </w:tcPr>
          <w:p>
            <w:r>
              <w:rPr>
                <w:b/>
              </w:rPr>
              <w:t>Pierce OP07 2025</w:t>
            </w:r>
          </w:p>
        </w:tc>
        <w:tc>
          <w:tcPr>
            <w:tcW w:type="dxa" w:w="2160"/>
          </w:tcPr>
          <w:p>
            <w:r>
              <w:t>Suspected unverifiable (self-citation, conference abstract).</w:t>
            </w:r>
          </w:p>
        </w:tc>
        <w:tc>
          <w:tcPr>
            <w:tcW w:type="dxa" w:w="2160"/>
          </w:tcPr>
          <w:p>
            <w:r>
              <w:rPr>
                <w:b/>
              </w:rPr>
              <w:t>Confirmed real</w:t>
            </w:r>
            <w:r>
              <w:t xml:space="preserve"> — HTAi 2025 abstract, </w:t>
            </w:r>
            <w:r>
              <w:rPr>
                <w:i/>
              </w:rPr>
              <w:t>IJTAHC, 41</w:t>
            </w:r>
            <w:r>
              <w:t>(S1), S4 (PMC12768695 / Cambridge Core).</w:t>
            </w:r>
          </w:p>
        </w:tc>
      </w:tr>
    </w:tbl>
    <w:p/>
    <w:p>
      <w:pPr>
        <w:pStyle w:val="Heading3"/>
      </w:pPr>
      <w:r>
        <w:t>⚠ One reference could not be verified</w:t>
      </w:r>
    </w:p>
    <w:p>
      <w:r>
        <w:rPr>
          <w:b/>
        </w:rPr>
        <w:t>Praxis Precision Medicines (2024), "SCN2A Clinical Trial Readiness and Patient/Consumer Engagement Study."</w:t>
      </w:r>
      <w:r>
        <w:t xml:space="preserve"> No public record (no URL, DOI, or registry ID) matches a Praxis-authored study with this title/year. A closely related, genuinely public study — the </w:t>
      </w:r>
      <w:r>
        <w:rPr>
          <w:b/>
        </w:rPr>
        <w:t>SCN2A Clinical Trial Readiness Study (CTRS)</w:t>
      </w:r>
      <w:r>
        <w:t xml:space="preserve"> — is run by the </w:t>
      </w:r>
      <w:r>
        <w:rPr>
          <w:b/>
        </w:rPr>
        <w:t>FamilieSCN2A Foundation</w:t>
      </w:r>
      <w:r>
        <w:t xml:space="preserve"> (not Praxis), begun ~2021. </w:t>
      </w:r>
      <w:r>
        <w:rPr>
          <w:b/>
        </w:rPr>
        <w:t>Action needed:</w:t>
      </w:r>
      <w:r>
        <w:t xml:space="preserve"> confirm whether your survey/focus-group data (the 75%/65%/80%/70% figures) come from (a) a genuine internal Praxis report SCN2A Australia holds, or (b) the FamilieSCN2A CTRS, and cite accordingly. As an unpublished internal document it can be cited as an organisational record, but the title/author/year must be exact.</w:t>
      </w:r>
    </w:p>
    <w:p>
      <w:pPr>
        <w:pStyle w:val="Heading2"/>
      </w:pPr>
      <w:r>
        <w:t>Consolidated reference list (APA 7th, alphabetical)</w:t>
      </w:r>
    </w:p>
    <w:p>
      <w:r>
        <w:t xml:space="preserve">Australian Government Department of Health and Aged Care. (n.d.). </w:t>
      </w:r>
      <w:r>
        <w:rPr>
          <w:i/>
        </w:rPr>
        <w:t>Health Technology Assessment Consumer Consultative Committee.</w:t>
      </w:r>
      <w:r>
        <w:t xml:space="preserve"> Retrieved July 3, 2026, from https://www.health.gov.au/committees-and-groups/health-technology-assessment-consumer-consultative-committee</w:t>
      </w:r>
    </w:p>
    <w:p>
      <w:r>
        <w:t xml:space="preserve">Australian Government Department of Health and Aged Care. (2024a). </w:t>
      </w:r>
      <w:r>
        <w:rPr>
          <w:i/>
        </w:rPr>
        <w:t>Enhance HTA: An enhanced consumer engagement process in Australian health technology assessment – A report of recommendations.</w:t>
      </w:r>
      <w:r>
        <w:t xml:space="preserve"> https://www.health.gov.au/resources/publications/enhance-hta-an-enhanced-consumer-engagement-process-in-australian-health-technology-assessment-a-report-of-recommendations</w:t>
      </w:r>
    </w:p>
    <w:p>
      <w:r>
        <w:t xml:space="preserve">Australian Government Department of Health and Aged Care. (2024b). </w:t>
      </w:r>
      <w:r>
        <w:rPr>
          <w:i/>
        </w:rPr>
        <w:t>Health technology assessment policy and methods review: Final report.</w:t>
      </w:r>
      <w:r>
        <w:t xml:space="preserve"> https://www.health.gov.au/resources/publications/health-technology-assessment-policy-and-methods-review-final-report</w:t>
      </w:r>
    </w:p>
    <w:p>
      <w:r>
        <w:t xml:space="preserve">Balfour, J., Cowley, L. B., Windsor, G., Dalby, E., Sibley, M., Hunter, A., &amp; Smith, R. M. (2025). The patient-driven Rare Disease Research Network: Turning research on its head. </w:t>
      </w:r>
      <w:r>
        <w:rPr>
          <w:i/>
        </w:rPr>
        <w:t>BMJ Open, 15</w:t>
      </w:r>
      <w:r>
        <w:t>(10), Article e105045. https://doi.org/10.1136/bmjopen-2025-105045</w:t>
      </w:r>
    </w:p>
    <w:p>
      <w:r>
        <w:t xml:space="preserve">Berg, A. T., Palac, H., Wilkening, G., Zelko, F., &amp; Schust Meyer, L. (2021). SCN2A-developmental and epileptic encephalopathies: Challenges to trial-readiness for non-seizure outcomes. </w:t>
      </w:r>
      <w:r>
        <w:rPr>
          <w:i/>
        </w:rPr>
        <w:t>Epilepsia, 62</w:t>
      </w:r>
      <w:r>
        <w:t>(1), 258–268. https://doi.org/10.1111/epi.16750</w:t>
      </w:r>
    </w:p>
    <w:p>
      <w:r>
        <w:t xml:space="preserve">Berg, A. T., Nili, A. N., Evans, L., Paltell, K. C., Kaiser, A. J. E., Anderson, E. L., Egan, S. M., Kaat, A. J., Nesbitt, G., &amp; Myers, L. S. (2025). Assessing communication impairments in a rare neurodevelopmental disorder: The SCN2A Clinical Trials Readiness Study. </w:t>
      </w:r>
      <w:r>
        <w:rPr>
          <w:i/>
        </w:rPr>
        <w:t>Neurology: Clinical Practice, 15</w:t>
      </w:r>
      <w:r>
        <w:t>(1), Article e200391. https://doi.org/10.1212/CPJ.0000000000200391</w:t>
      </w:r>
    </w:p>
    <w:p>
      <w:r>
        <w:t xml:space="preserve">Berrios, C., McBeth, M., Bradley-Ewing, A., Schuetz, N., Campbell, A., Talebizadeh, Z., Garrett, J. R., Falicov, T., Martinez, F., &amp; Hurley, E. A. (2024). Developing a community-led rare disease ELSI research agenda. </w:t>
      </w:r>
      <w:r>
        <w:rPr>
          <w:i/>
        </w:rPr>
        <w:t>Orphanet Journal of Rare Diseases, 19</w:t>
      </w:r>
      <w:r>
        <w:t>(1), Article 23. https://doi.org/10.1186/s13023-023-02986-x</w:t>
      </w:r>
    </w:p>
    <w:p>
      <w:r>
        <w:t xml:space="preserve">Carter, D., Laka, M., Gao, Y., Choi, O., Tamblyn, D., &amp; Merlin, T. (2025). Engaging stakeholders along health technology assessment pathways: A scoping review of international practice. </w:t>
      </w:r>
      <w:r>
        <w:rPr>
          <w:i/>
        </w:rPr>
        <w:t>International Journal of Technology Assessment in Health Care, 41</w:t>
      </w:r>
      <w:r>
        <w:t>(1), Article e69. https://doi.org/10.1017/S0266462325100494</w:t>
      </w:r>
    </w:p>
    <w:p>
      <w:r>
        <w:t xml:space="preserve">Cohen, S. R., Helbig, I., Kaufman, M. C., Schust Myers, L., Conway, L., &amp; Helbig, K. L. (2022). Caregiver assessment of quality of life in individuals with genetic developmental and epileptic encephalopathies. </w:t>
      </w:r>
      <w:r>
        <w:rPr>
          <w:i/>
        </w:rPr>
        <w:t>Developmental Medicine &amp; Child Neurology, 64</w:t>
      </w:r>
      <w:r>
        <w:t>(8), 957–964. https://doi.org/10.1111/dmcn.15187</w:t>
      </w:r>
    </w:p>
    <w:p>
      <w:r>
        <w:t xml:space="preserve">Coombes, M. A., Morgan, K., Diaz, J., Oehrlein, E. M., Andersen, H., Gilardino, R., Helme, K., Pearce, F., &amp; Cardone, A. (2025). Plain language summaries supporting patient involvement: Lessons and guidance from HTAi Patient and Citizen Involvement Interest Group (PCIG). </w:t>
      </w:r>
      <w:r>
        <w:rPr>
          <w:i/>
        </w:rPr>
        <w:t>International Journal of Technology Assessment in Health Care, 41</w:t>
      </w:r>
      <w:r>
        <w:t>(1), Article e59. https://doi.org/10.1017/S0266462325100408</w:t>
      </w:r>
    </w:p>
    <w:p>
      <w:r>
        <w:t xml:space="preserve">Deane, K., Delbecque, L., Gorbenko, O., Hamoir, A. M., Hoos, A., Nafria, B., Pakarinen, C., Sargeant, I., Richards, D. P., Skovlund, S. E., &amp; Brooke, N. (2019). Co-creation of patient engagement quality guidance for medicines development: An international multistakeholder initiative. </w:t>
      </w:r>
      <w:r>
        <w:rPr>
          <w:i/>
        </w:rPr>
        <w:t>BMJ Innovations, 5</w:t>
      </w:r>
      <w:r>
        <w:t>(1), 43–55. https://doi.org/10.1136/bmjinnov-2018-000317</w:t>
      </w:r>
    </w:p>
    <w:p>
      <w:r>
        <w:t xml:space="preserve">Downs, J., Ludwig, N. N., Wojnaroski, M., Keeley, J., Schust Myers, L., Chapman, C. A. T., Hecker, J., Conecker, G., &amp; Berg, A. T. (2024). What does better look like in individuals with severe neurodevelopmental impairments? A qualitative descriptive study on SCN2A-related developmental and epileptic encephalopathy. </w:t>
      </w:r>
      <w:r>
        <w:rPr>
          <w:i/>
        </w:rPr>
        <w:t>Quality of Life Research, 33</w:t>
      </w:r>
      <w:r>
        <w:t>(2), 519–528. https://doi.org/10.1007/s11136-023-03543-6</w:t>
      </w:r>
    </w:p>
    <w:p>
      <w:r>
        <w:t xml:space="preserve">Faulkner, S. D., Sayuri Ii, S., Pakarinen, C., Somers, F., Jose Vicente Edo, M., Prieto Remon, L., Diaz Ponce, A., Gove, D., Ferrer, E., Nafria, B., Bertelsen, N., Boudes, M., Brooke, N., Moutet, A., &amp; Fahy, N. (2021). Understanding multi-stakeholder needs, preferences and expectations to define effective practices and processes of patient engagement in medicine development: A mixed-methods study. </w:t>
      </w:r>
      <w:r>
        <w:rPr>
          <w:i/>
        </w:rPr>
        <w:t>Health Expectations, 24</w:t>
      </w:r>
      <w:r>
        <w:t>(2), 601–616. https://doi.org/10.1111/hex.13207</w:t>
      </w:r>
    </w:p>
    <w:p>
      <w:r>
        <w:t xml:space="preserve">Global Genes. (2025). </w:t>
      </w:r>
      <w:r>
        <w:rPr>
          <w:i/>
        </w:rPr>
        <w:t>RARE Advocacy Exchange session 5: Interacting with FDA — PFDD and listening sessions.</w:t>
      </w:r>
      <w:r>
        <w:t xml:space="preserve"> https://globalgenes.org/blog/rare-advocacy-exchange-session-5-pfdd/</w:t>
      </w:r>
    </w:p>
    <w:p>
      <w:r>
        <w:t xml:space="preserve">International Association for Public Participation. (2018). </w:t>
      </w:r>
      <w:r>
        <w:rPr>
          <w:i/>
        </w:rPr>
        <w:t>IAP2 spectrum of public participation.</w:t>
      </w:r>
      <w:r>
        <w:t xml:space="preserve"> https://www.iap2.org/page/pillars</w:t>
      </w:r>
    </w:p>
    <w:p>
      <w:r>
        <w:t xml:space="preserve">IQVIA. (2025, November). </w:t>
      </w:r>
      <w:r>
        <w:rPr>
          <w:i/>
        </w:rPr>
        <w:t>Patient-led research: How patient advocacy organizations drive rare disease innovation.</w:t>
      </w:r>
      <w:r>
        <w:t xml:space="preserve"> https://www.iqvia.com/blogs/2025/11/patient-led-research-how-patient-advocacy-organizations-drive-rare-disease-innovation</w:t>
      </w:r>
    </w:p>
    <w:p>
      <w:r>
        <w:t xml:space="preserve">Janssens, A., Drachmann, D., Barnes-Cullen, K., Carrigg, A., Christesen, H. T., Futers, B., Lavery, Y. O., Palms, T., Petersen, J. S., Shah, P., Thornton, P., &amp; Wolfsdorf, J. (2024). An auto-ethnographic study of co-produced health research in a patient organisation: Unpacking the good, the bad, and the unspoken. </w:t>
      </w:r>
      <w:r>
        <w:rPr>
          <w:i/>
        </w:rPr>
        <w:t>Research Involvement and Engagement, 10</w:t>
      </w:r>
      <w:r>
        <w:t>(1), Article 76. https://doi.org/10.1186/s40900-024-00609-8</w:t>
      </w:r>
    </w:p>
    <w:p>
      <w:r>
        <w:t xml:space="preserve">Kaat, A. J., Evans, L., Nili, A. N., Paltell, K., Kaiser, A., Anderson, E., Myers, L. S., &amp; Berg, A. T. (2025). Vineland-3 growth scale values: Psychometric properties for clinical trial readiness in SCN2A. </w:t>
      </w:r>
      <w:r>
        <w:rPr>
          <w:i/>
        </w:rPr>
        <w:t>Journal of Child and Adolescent Psychopharmacology, 35</w:t>
      </w:r>
      <w:r>
        <w:t>(7), 416–423. https://doi.org/10.1089/cap.2024.0107</w:t>
      </w:r>
    </w:p>
    <w:p>
      <w:r>
        <w:t xml:space="preserve">Lopes, E., Street, J., Carter, D., &amp; Merlin, T. (2016). Involving patients in health technology funding decisions: Stakeholder perspectives on processes used in Australia. </w:t>
      </w:r>
      <w:r>
        <w:rPr>
          <w:i/>
        </w:rPr>
        <w:t>Health Expectations, 19</w:t>
      </w:r>
      <w:r>
        <w:t>(2), 331–344. https://doi.org/10.1111/hex.12356</w:t>
      </w:r>
    </w:p>
    <w:p>
      <w:r>
        <w:t xml:space="preserve">National Organization for Rare Disorders. (n.d.). </w:t>
      </w:r>
      <w:r>
        <w:rPr>
          <w:i/>
        </w:rPr>
        <w:t>Patient-focused drug development.</w:t>
      </w:r>
      <w:r>
        <w:t xml:space="preserve"> Retrieved July 3, 2026, from https://rarediseases.org/living-with-a-rare-disease/patient-focused-drug-development/</w:t>
      </w:r>
    </w:p>
    <w:p>
      <w:r>
        <w:t xml:space="preserve">Nguyen, C. Q., Alba-Concepcion, K., Palmer, E. E., Scully, J. L., Millis, N., &amp; Farrar, M. A. (2022). The involvement of rare disease patient organisations in therapeutic innovation across rare paediatric neurological conditions: A narrative review. </w:t>
      </w:r>
      <w:r>
        <w:rPr>
          <w:i/>
        </w:rPr>
        <w:t>Orphanet Journal of Rare Diseases, 17</w:t>
      </w:r>
      <w:r>
        <w:t>(1), Article 167. https://doi.org/10.1186/s13023-022-02317-6</w:t>
      </w:r>
    </w:p>
    <w:p>
      <w:r>
        <w:t xml:space="preserve">Ogden, T., de Graaf, B., &amp; Hymers, T. (2025). Engaging patient-led rare disease organizations to advance research – Through the lens of Bardet–Biedl syndrome. </w:t>
      </w:r>
      <w:r>
        <w:rPr>
          <w:i/>
        </w:rPr>
        <w:t>Journal of Cell Science, 138</w:t>
      </w:r>
      <w:r>
        <w:t>(20), Article jcs264320. https://doi.org/10.1242/jcs.264320</w:t>
      </w:r>
    </w:p>
    <w:p>
      <w:r>
        <w:t xml:space="preserve">Pierce, K., Single, A., Funk, M., &amp; Van Gorp, K. (2025). OP07 Shared learning: An alternative model for patient capacity development to participate in health technology assessment [Conference abstract]. </w:t>
      </w:r>
      <w:r>
        <w:rPr>
          <w:i/>
        </w:rPr>
        <w:t>International Journal of Technology Assessment in Health Care, 41</w:t>
      </w:r>
      <w:r>
        <w:t>(S1), S4. https://doi.org/10.1017/S0266462325100664</w:t>
      </w:r>
    </w:p>
    <w:p>
      <w:r>
        <w:t xml:space="preserve">Praxis Precision Medicines. (2024). </w:t>
      </w:r>
      <w:r>
        <w:rPr>
          <w:i/>
        </w:rPr>
        <w:t>SCN2A clinical trial readiness and patient/consumer engagement study</w:t>
      </w:r>
      <w:r>
        <w:t xml:space="preserve"> [Unpublished internal report]. </w:t>
      </w:r>
      <w:r>
        <w:rPr>
          <w:b/>
        </w:rPr>
        <w:t>[Provenance to confirm — see corrections above.]</w:t>
      </w:r>
    </w:p>
    <w:p>
      <w:r>
        <w:t xml:space="preserve">Scott, A. M., &amp; Wale, J. L. (2017). Patient advocate perspectives on involvement in HTA: An international snapshot. </w:t>
      </w:r>
      <w:r>
        <w:rPr>
          <w:i/>
        </w:rPr>
        <w:t>Research Involvement and Engagement, 3</w:t>
      </w:r>
      <w:r>
        <w:t>, Article 2. https://doi.org/10.1186/s40900-016-0052-9</w:t>
      </w:r>
    </w:p>
    <w:p>
      <w:r>
        <w:t xml:space="preserve">Sevinc, G., Knox, K., George, M., Evans, L., Kaiser, A., Paltell, K. C., Myers, L. S., Ludwig, N. N., Wojnaroski, M., Conecker, G., Hecker, J., Downs, J., Chapman, C. A. T., &amp; Berg, A. T. (2025). The feasibility of personalized endpoints in assessing treatment outcomes for rare diseases: A pilot study of goal attainment scaling in SCN2A-associated developmental epileptic encephalopathy. </w:t>
      </w:r>
      <w:r>
        <w:rPr>
          <w:i/>
        </w:rPr>
        <w:t>Value in Health, 28</w:t>
      </w:r>
      <w:r>
        <w:t>(3), 441–448. https://doi.org/10.1016/j.jval.2024.12.004</w:t>
      </w:r>
    </w:p>
    <w:p>
      <w:r>
        <w:t xml:space="preserve">Staniszewska, S., Brett, J., Simera, I., Seers, K., Mockford, C., Goodlad, S., Altman, D. G., Moher, D., Barber, R., Denegri, S., Entwistle, A., Littlejohns, P., Morris, C., Suleman, R., Thomas, V., &amp; Tysall, C. (2017). GRIPP2 reporting checklists: Tools to improve reporting of patient and public involvement in research. </w:t>
      </w:r>
      <w:r>
        <w:rPr>
          <w:i/>
        </w:rPr>
        <w:t>BMJ, 358</w:t>
      </w:r>
      <w:r>
        <w:t>, Article j3453. https://doi.org/10.1136/bmj.j3453</w:t>
      </w:r>
    </w:p>
    <w:p>
      <w:r>
        <w:t xml:space="preserve">Tjeuw, E., &amp; Wonder, M. J. (2022). Analysis of consumer comments into PBAC decision-making (2014–9). </w:t>
      </w:r>
      <w:r>
        <w:rPr>
          <w:i/>
        </w:rPr>
        <w:t>International Journal of Technology Assessment in Health Care, 38</w:t>
      </w:r>
      <w:r>
        <w:t>(1), Article e18. https://doi.org/10.1017/S0266462321001744</w:t>
      </w:r>
    </w:p>
    <w:p>
      <w:r>
        <w:t xml:space="preserve">U.S. Environmental Protection Agency. (2014). </w:t>
      </w:r>
      <w:r>
        <w:rPr>
          <w:i/>
        </w:rPr>
        <w:t>Public participation guide: Selecting the right level of public participation.</w:t>
      </w:r>
      <w:r>
        <w:t xml:space="preserve"> https://www.epa.gov/international-cooperation/public-participation-guide-selecting-right-level-public-participation</w:t>
      </w:r>
    </w:p>
    <w:p>
      <w:r>
        <w:t xml:space="preserve">U.S. Food and Drug Administration. (n.d.). </w:t>
      </w:r>
      <w:r>
        <w:rPr>
          <w:i/>
        </w:rPr>
        <w:t>CDER patient-focused drug development.</w:t>
      </w:r>
      <w:r>
        <w:t xml:space="preserve"> U.S. Department of Health and Human Services. Retrieved July 3, 2026, from https://www.fda.gov/drugs/development-approval-process-drugs/cder-patient-focused-drug-development</w:t>
      </w:r>
    </w:p>
    <w:p>
      <w:r>
        <w:t xml:space="preserve">Wagner, M., Berecki, G., Fazeli, W., Nussbaum, C., Flemmer, A. W., Frizzo, S., Heer, F., Heinen, F., Horton, R., Jacotin, H., Motel, W., Spar, B., Klein, C., Siegel, C., Hübener, C., Stöcklein, S., Paolini, M., Staudt, M., Wolff, M., . . . Borggraefe, I. (2025). Antisense oligonucleotide treatment in a preterm infant with early-onset SCN2A developmental and epileptic encephalopathy. </w:t>
      </w:r>
      <w:r>
        <w:rPr>
          <w:i/>
        </w:rPr>
        <w:t>Nature Medicine, 31</w:t>
      </w:r>
      <w:r>
        <w:t>(7), 2174–2178. https://doi.org/10.1038/s41591-025-03656-0</w:t>
      </w:r>
    </w:p>
    <w:p>
      <w:r>
        <w:t xml:space="preserve">Wale, J. L., &amp; Sullivan, M. (2020). Exploration of the visibility of patient input in final recommendation documentation for three health technology assessment bodies. </w:t>
      </w:r>
      <w:r>
        <w:rPr>
          <w:i/>
        </w:rPr>
        <w:t>International Journal of Technology Assessment in Health Care, 36</w:t>
      </w:r>
      <w:r>
        <w:t>(3), 197–203. https://doi.org/10.1017/S0266462320000240</w:t>
      </w:r>
    </w:p>
    <w:p>
      <w:r>
        <w:t xml:space="preserve">Wale, J. L., Thomas, S., Hamerlijnck, D., &amp; Hollander, R. (2021). Patients and public are important stakeholders in health technology assessment but the level of involvement is low—A call to action. </w:t>
      </w:r>
      <w:r>
        <w:rPr>
          <w:i/>
        </w:rPr>
        <w:t>Research Involvement and Engagement, 7</w:t>
      </w:r>
      <w:r>
        <w:t>(1), Article 1. https://doi.org/10.1186/s40900-020-00248-9</w:t>
      </w:r>
    </w:p>
    <w:p>
      <w:r>
        <w:t xml:space="preserve">Watson, J., &amp; Trowman, R. (2025). PD238 Evolution of the Consumer Evidence and Engagement Unit and contribution to consumer input in Australian health technology assessment processes [Conference abstract]. </w:t>
      </w:r>
      <w:r>
        <w:rPr>
          <w:i/>
        </w:rPr>
        <w:t>International Journal of Technology Assessment in Health Care, 40</w:t>
      </w:r>
      <w:r>
        <w:t>(S1), S185. https://doi.org/10.1017/S0266462324004550</w:t>
      </w:r>
    </w:p>
    <w:p>
      <w:r>
        <w:t xml:space="preserve">Whittal, A., Meregaglia, M., &amp; Nicod, E. (2021). The use of patient-reported outcome measures in rare diseases and implications for health technology assessment. </w:t>
      </w:r>
      <w:r>
        <w:rPr>
          <w:i/>
        </w:rPr>
        <w:t>The Patient, 14</w:t>
      </w:r>
      <w:r>
        <w:t>(5), 485–503. https://doi.org/10.1007/s40271-020-00493-w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