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5krr5gj02ij" w:id="0"/>
      <w:bookmarkEnd w:id="0"/>
      <w:r w:rsidDel="00000000" w:rsidR="00000000" w:rsidRPr="00000000">
        <w:rPr>
          <w:rtl w:val="0"/>
        </w:rPr>
        <w:t xml:space="preserve">Exercise 1: awk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following questions could be answered by parsing the record attached.  Answer by showing the command and the results (You may use screenshots as answers)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Print all the countries in the Australia and Oceania region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Print all the countries in the Central America and the Caribbean region that starts with H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What are the items sold online to the Philippines?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How many transactions/sales does Europe have?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5) What is the total cost incurred by Japan on cosmetics?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6) How many units of fruits and vegetables were sold to Canada?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7) What are the countries who bought more than 9900 units of meat?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8) What is the total profit made from China from snacks?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9) Starting from the oldest, list the dates when clothes are ordered for South Africa? (Note: use sort options)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10) Print the country, item, and total profit of the transaction with the largest total profit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Record source: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http://eforexcel.com/wp/downloads-18-sample-csv-files-data-sets-for-testing-sales/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trHeight w:val="20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spacing w:line="240" w:lineRule="auto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Institute of Computer Science | UPLB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Revised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Feb 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rPr>
        <w:rFonts w:ascii="Source Sans Pro" w:cs="Source Sans Pro" w:eastAsia="Source Sans Pro" w:hAnsi="Source Sans Pro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0.0" w:type="pct"/>
      <w:tblLayout w:type="fixed"/>
      <w:tblLook w:val="0600"/>
    </w:tblPr>
    <w:tblGrid>
      <w:gridCol w:w="4275"/>
      <w:gridCol w:w="2925"/>
      <w:gridCol w:w="3600"/>
      <w:tblGridChange w:id="0">
        <w:tblGrid>
          <w:gridCol w:w="4275"/>
          <w:gridCol w:w="2925"/>
          <w:gridCol w:w="360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CMSC 1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29</w:t>
          </w: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           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Principles of Compiler Design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Exercise 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spacing w:line="240" w:lineRule="auto"/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color w:val="98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ource Sans Pro" w:cs="Source Sans Pro" w:eastAsia="Source Sans Pro" w:hAnsi="Source Sans Pro"/>
      <w:b w:val="1"/>
      <w:color w:val="98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forexcel.com/wp/downloads-18-sample-csv-files-data-sets-for-testing-sale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