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Discussion 10 - 2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to (Mis)Read UMAP] </w:t>
      </w:r>
      <w:hyperlink r:id="rId7">
        <w:r w:rsidDel="00000000" w:rsidR="00000000" w:rsidRPr="00000000">
          <w:rPr>
            <w:color w:val="1155cc"/>
            <w:u w:val="single"/>
            <w:rtl w:val="0"/>
          </w:rPr>
          <w:t xml:space="preserve">This article</w:t>
        </w:r>
      </w:hyperlink>
      <w:r w:rsidDel="00000000" w:rsidR="00000000" w:rsidRPr="00000000">
        <w:rPr>
          <w:rtl w:val="0"/>
        </w:rPr>
        <w:t xml:space="preserve"> includes a section titled "How to (Mis)Read UMAP," which provides five practical takeaways for reading UMAP visualizations. In this problem, you will study one of these takeaways (e.g., "Hyperparameters really Matter") in detail.</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Provide relevant screenshots from the interactive displays that illustrate the point you have chosen. Explain how the screenshot communicates the main takeaway.</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Imagine one real-world data analysis problem where failing to follow these recommendations could have serious consequences. Justify your claim.</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air-code.github.io/understanding-umap/"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t16QeCDIDBmdqp+XEVs2AwGERg==">CgMxLjA4AHIhMUlZc2dianM5SE9kcWhZX0NfcDQ2aDdJakhQNjFleUxz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