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w:t>
      </w:r>
      <w:proofErr w:type="gramStart"/>
      <w:r w:rsidRPr="00EC58FD">
        <w:rPr>
          <w:rStyle w:val="Aucun"/>
          <w:rFonts w:ascii="Arial" w:hAnsi="Arial" w:cs="Arial"/>
          <w:color w:val="262626" w:themeColor="text1" w:themeTint="D9"/>
          <w:sz w:val="22"/>
          <w:szCs w:val="22"/>
        </w:rPr>
        <w:t>program</w:t>
      </w:r>
      <w:proofErr w:type="gramEnd"/>
      <w:r w:rsidRPr="00EC58FD">
        <w:rPr>
          <w:rStyle w:val="Aucun"/>
          <w:rFonts w:ascii="Arial" w:hAnsi="Arial" w:cs="Arial"/>
          <w:color w:val="262626" w:themeColor="text1" w:themeTint="D9"/>
          <w:sz w:val="22"/>
          <w:szCs w:val="22"/>
        </w:rPr>
        <w:t xml:space="preserve">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03C774F0"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C56E65">
        <w:rPr>
          <w:rFonts w:ascii="Arial" w:hAnsi="Arial" w:cs="Arial"/>
          <w:color w:val="262626" w:themeColor="text1" w:themeTint="D9"/>
          <w:sz w:val="22"/>
          <w:szCs w:val="22"/>
        </w:rPr>
        <w:t xml:space="preserve">1131 </w:t>
      </w:r>
      <w:proofErr w:type="spellStart"/>
      <w:r w:rsidR="00C56E65">
        <w:rPr>
          <w:rFonts w:ascii="Arial" w:hAnsi="Arial" w:cs="Arial"/>
          <w:color w:val="262626" w:themeColor="text1" w:themeTint="D9"/>
          <w:sz w:val="22"/>
          <w:szCs w:val="22"/>
        </w:rPr>
        <w:t>Mosse</w:t>
      </w:r>
      <w:proofErr w:type="spellEnd"/>
      <w:r w:rsidR="00C56E65">
        <w:rPr>
          <w:rFonts w:ascii="Arial" w:hAnsi="Arial" w:cs="Arial"/>
          <w:color w:val="262626" w:themeColor="text1" w:themeTint="D9"/>
          <w:sz w:val="22"/>
          <w:szCs w:val="22"/>
        </w:rPr>
        <w:t xml:space="preserve"> Humanities Building</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 xml:space="preserve">The credit standard for this course is met by an expectation of a total of 135 hours of student </w:t>
      </w:r>
      <w:proofErr w:type="gramStart"/>
      <w:r w:rsidRPr="00EC58FD">
        <w:rPr>
          <w:rStyle w:val="Aucun"/>
          <w:rFonts w:ascii="Arial" w:hAnsi="Arial" w:cs="Arial"/>
          <w:color w:val="262626" w:themeColor="text1" w:themeTint="D9"/>
          <w:sz w:val="22"/>
          <w:szCs w:val="22"/>
        </w:rPr>
        <w:t>engagement</w:t>
      </w:r>
      <w:proofErr w:type="gramEnd"/>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FC32F81" w:rsidR="00AA27EC" w:rsidRPr="0046348B" w:rsidRDefault="000D4DB7">
      <w:pPr>
        <w:pStyle w:val="Corps"/>
        <w:rPr>
          <w:rStyle w:val="Aucun"/>
          <w:rFonts w:ascii="Arial" w:hAnsi="Arial" w:cs="Arial"/>
          <w:strike/>
          <w:color w:val="262626" w:themeColor="text1" w:themeTint="D9"/>
          <w:sz w:val="22"/>
          <w:szCs w:val="22"/>
        </w:rPr>
      </w:pPr>
      <w:r w:rsidRPr="0046348B">
        <w:rPr>
          <w:rStyle w:val="Aucun"/>
          <w:rFonts w:ascii="Arial" w:hAnsi="Arial" w:cs="Arial"/>
          <w:strike/>
          <w:color w:val="262626" w:themeColor="text1" w:themeTint="D9"/>
          <w:sz w:val="22"/>
          <w:szCs w:val="22"/>
        </w:rPr>
        <w:t xml:space="preserve">Office Hours will be set by </w:t>
      </w:r>
      <w:hyperlink r:id="rId9" w:history="1">
        <w:r w:rsidRPr="0046348B">
          <w:rPr>
            <w:rStyle w:val="Hyperlink"/>
            <w:rFonts w:ascii="Arial" w:hAnsi="Arial" w:cs="Arial"/>
            <w:strike/>
            <w:sz w:val="22"/>
            <w:szCs w:val="22"/>
          </w:rPr>
          <w:t>this poll</w:t>
        </w:r>
      </w:hyperlink>
      <w:r w:rsidRPr="0046348B">
        <w:rPr>
          <w:rStyle w:val="Aucun"/>
          <w:rFonts w:ascii="Arial" w:hAnsi="Arial" w:cs="Arial"/>
          <w:strike/>
          <w:color w:val="262626" w:themeColor="text1" w:themeTint="D9"/>
          <w:sz w:val="22"/>
          <w:szCs w:val="22"/>
        </w:rPr>
        <w:t>.</w:t>
      </w:r>
    </w:p>
    <w:p w14:paraId="500BAB9C" w14:textId="505CFFDF" w:rsidR="00373B38" w:rsidRDefault="0046348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Fridays</w:t>
      </w:r>
      <w:r w:rsidR="00373B38">
        <w:rPr>
          <w:rStyle w:val="Aucun"/>
          <w:rFonts w:ascii="Arial" w:hAnsi="Arial" w:cs="Arial"/>
          <w:color w:val="262626" w:themeColor="text1" w:themeTint="D9"/>
          <w:sz w:val="22"/>
          <w:szCs w:val="22"/>
        </w:rPr>
        <w:t xml:space="preserve"> 3:</w:t>
      </w:r>
      <w:r>
        <w:rPr>
          <w:rStyle w:val="Aucun"/>
          <w:rFonts w:ascii="Arial" w:hAnsi="Arial" w:cs="Arial"/>
          <w:color w:val="262626" w:themeColor="text1" w:themeTint="D9"/>
          <w:sz w:val="22"/>
          <w:szCs w:val="22"/>
        </w:rPr>
        <w:t xml:space="preserve">30 </w:t>
      </w:r>
      <w:r w:rsidR="00373B38">
        <w:rPr>
          <w:rStyle w:val="Aucun"/>
          <w:rFonts w:ascii="Arial" w:hAnsi="Arial" w:cs="Arial"/>
          <w:color w:val="262626" w:themeColor="text1" w:themeTint="D9"/>
          <w:sz w:val="22"/>
          <w:szCs w:val="22"/>
        </w:rPr>
        <w:t>–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0EE9905E" w:rsidR="006D30B4" w:rsidRDefault="006D30B4">
      <w:pPr>
        <w:pStyle w:val="Corps"/>
        <w:rPr>
          <w:rStyle w:val="Aucun"/>
          <w:rFonts w:ascii="Arial" w:hAnsi="Arial" w:cs="Arial"/>
          <w:color w:val="262626" w:themeColor="text1" w:themeTint="D9"/>
          <w:sz w:val="22"/>
          <w:szCs w:val="22"/>
        </w:rPr>
      </w:pPr>
      <w:proofErr w:type="spellStart"/>
      <w:r>
        <w:rPr>
          <w:rStyle w:val="Aucun"/>
          <w:rFonts w:ascii="Arial" w:hAnsi="Arial" w:cs="Arial"/>
          <w:color w:val="262626" w:themeColor="text1" w:themeTint="D9"/>
          <w:sz w:val="22"/>
          <w:szCs w:val="22"/>
        </w:rPr>
        <w:t>Yuliang</w:t>
      </w:r>
      <w:proofErr w:type="spellEnd"/>
      <w:r>
        <w:rPr>
          <w:rStyle w:val="Aucun"/>
          <w:rFonts w:ascii="Arial" w:hAnsi="Arial" w:cs="Arial"/>
          <w:color w:val="262626" w:themeColor="text1" w:themeTint="D9"/>
          <w:sz w:val="22"/>
          <w:szCs w:val="22"/>
        </w:rPr>
        <w:t xml:space="preserve"> Peng</w:t>
      </w:r>
    </w:p>
    <w:p w14:paraId="3F553DCB" w14:textId="5BAD4965" w:rsidR="00A24944" w:rsidRDefault="00A2494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Mondays 4 – 5:30pm</w:t>
      </w:r>
    </w:p>
    <w:p w14:paraId="3FB8048A" w14:textId="1499F9D7"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Medical Sciences Center</w:t>
      </w:r>
      <w:r w:rsidR="00A24944">
        <w:rPr>
          <w:rStyle w:val="Aucun"/>
          <w:rFonts w:ascii="Arial" w:hAnsi="Arial" w:cs="Arial"/>
          <w:color w:val="262626" w:themeColor="text1" w:themeTint="D9"/>
          <w:sz w:val="22"/>
          <w:szCs w:val="22"/>
        </w:rPr>
        <w:t xml:space="preserve"> 1219</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32E76D35" w:rsidR="003C2E94" w:rsidRPr="003C2E94" w:rsidRDefault="00000000" w:rsidP="00A633BD">
      <w:pPr>
        <w:pStyle w:val="Corps"/>
        <w:jc w:val="both"/>
        <w:rPr>
          <w:rFonts w:ascii="Arial" w:hAnsi="Arial" w:cs="Arial"/>
          <w:sz w:val="22"/>
          <w:szCs w:val="22"/>
        </w:rPr>
      </w:pPr>
      <w:hyperlink r:id="rId12" w:history="1">
        <w:r w:rsidR="003C2E94" w:rsidRPr="003C2E94">
          <w:rPr>
            <w:rStyle w:val="Hyperlink"/>
            <w:rFonts w:ascii="Arial" w:hAnsi="Arial" w:cs="Arial"/>
            <w:sz w:val="22"/>
            <w:szCs w:val="22"/>
          </w:rPr>
          <w:t>https://canvas.wisc.edu/courses/396861</w:t>
        </w:r>
      </w:hyperlink>
    </w:p>
    <w:p w14:paraId="54EB8658" w14:textId="6F914F85" w:rsidR="00636749" w:rsidRPr="00EC58FD" w:rsidRDefault="00000000" w:rsidP="00A633BD">
      <w:pPr>
        <w:pStyle w:val="Corps"/>
        <w:jc w:val="both"/>
        <w:rPr>
          <w:rStyle w:val="Aucun"/>
          <w:rFonts w:ascii="Arial" w:hAnsi="Arial" w:cs="Arial"/>
          <w:color w:val="262626" w:themeColor="text1" w:themeTint="D9"/>
          <w:sz w:val="22"/>
          <w:szCs w:val="22"/>
        </w:rPr>
      </w:pPr>
      <w:hyperlink r:id="rId13" w:history="1">
        <w:r w:rsidR="003C2E94" w:rsidRPr="003C2E94">
          <w:rPr>
            <w:rStyle w:val="Hyperlink"/>
            <w:rFonts w:ascii="Arial" w:hAnsi="Arial" w:cs="Arial"/>
            <w:sz w:val="22"/>
            <w:szCs w:val="22"/>
          </w:rPr>
          <w:t>https://piazza.com/class/lqzxjo9hr8318f</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6"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02DA4529" w:rsidR="00486E2E" w:rsidRPr="00EC58FD" w:rsidRDefault="00B34EDD">
      <w:pPr>
        <w:pStyle w:val="ListParagraph"/>
        <w:numPr>
          <w:ilvl w:val="0"/>
          <w:numId w:val="8"/>
        </w:numPr>
        <w:rPr>
          <w:color w:val="262626" w:themeColor="text1" w:themeTint="D9"/>
        </w:rPr>
      </w:pPr>
      <w:r>
        <w:rPr>
          <w:color w:val="262626" w:themeColor="text1" w:themeTint="D9"/>
        </w:rPr>
        <w:t>Each project group will prepare a short a team share 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18"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19"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0"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1"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2"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3"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4"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5"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6"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7"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28"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29"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0"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1"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4"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6"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49"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5"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w:t>
      </w:r>
      <w:r w:rsidR="005C37B5" w:rsidRPr="00EC58FD">
        <w:rPr>
          <w:rStyle w:val="Aucun"/>
          <w:rFonts w:ascii="Arial" w:hAnsi="Arial" w:cs="Arial"/>
          <w:color w:val="262626" w:themeColor="text1" w:themeTint="D9"/>
          <w:sz w:val="22"/>
          <w:szCs w:val="22"/>
        </w:rPr>
        <w:lastRenderedPageBreak/>
        <w:t xml:space="preserve">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7"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58"/>
      <w:footerReference w:type="default" r:id="rId5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4CD9" w14:textId="77777777" w:rsidR="00043411" w:rsidRDefault="00043411">
      <w:r>
        <w:separator/>
      </w:r>
    </w:p>
  </w:endnote>
  <w:endnote w:type="continuationSeparator" w:id="0">
    <w:p w14:paraId="23B5343F" w14:textId="77777777" w:rsidR="00043411" w:rsidRDefault="0004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C1D2" w14:textId="77777777" w:rsidR="00043411" w:rsidRDefault="00043411">
      <w:r>
        <w:separator/>
      </w:r>
    </w:p>
  </w:footnote>
  <w:footnote w:type="continuationSeparator" w:id="0">
    <w:p w14:paraId="210AD542" w14:textId="77777777" w:rsidR="00043411" w:rsidRDefault="00043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3A88F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9F6A6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4B634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B2487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22462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0C61C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FAE0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5B410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5C022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3A88F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9F6A6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4B634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B2487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22462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0C61C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DFAE0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5B410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5C022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43411"/>
    <w:rsid w:val="00062F96"/>
    <w:rsid w:val="00063502"/>
    <w:rsid w:val="00066008"/>
    <w:rsid w:val="00070CF3"/>
    <w:rsid w:val="000717DB"/>
    <w:rsid w:val="0007430C"/>
    <w:rsid w:val="00095416"/>
    <w:rsid w:val="000962A1"/>
    <w:rsid w:val="000D27F5"/>
    <w:rsid w:val="000D490A"/>
    <w:rsid w:val="000D4DB7"/>
    <w:rsid w:val="000D7F02"/>
    <w:rsid w:val="000E5D2F"/>
    <w:rsid w:val="000F600B"/>
    <w:rsid w:val="0010233D"/>
    <w:rsid w:val="00102F3B"/>
    <w:rsid w:val="00107361"/>
    <w:rsid w:val="00112AA8"/>
    <w:rsid w:val="0012124D"/>
    <w:rsid w:val="00126C89"/>
    <w:rsid w:val="00132533"/>
    <w:rsid w:val="00134690"/>
    <w:rsid w:val="001355F2"/>
    <w:rsid w:val="00135616"/>
    <w:rsid w:val="00143677"/>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90709"/>
    <w:rsid w:val="0029310F"/>
    <w:rsid w:val="00295D58"/>
    <w:rsid w:val="002B52C6"/>
    <w:rsid w:val="002B70A4"/>
    <w:rsid w:val="002C2075"/>
    <w:rsid w:val="002D0C9B"/>
    <w:rsid w:val="002D7914"/>
    <w:rsid w:val="00304103"/>
    <w:rsid w:val="003069A7"/>
    <w:rsid w:val="00307A27"/>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6348B"/>
    <w:rsid w:val="004807FB"/>
    <w:rsid w:val="00481A39"/>
    <w:rsid w:val="0048576B"/>
    <w:rsid w:val="00486E2E"/>
    <w:rsid w:val="00493505"/>
    <w:rsid w:val="004A4BF1"/>
    <w:rsid w:val="004B323C"/>
    <w:rsid w:val="004C5A7F"/>
    <w:rsid w:val="004D4B9C"/>
    <w:rsid w:val="004D5622"/>
    <w:rsid w:val="004D76B8"/>
    <w:rsid w:val="004F432C"/>
    <w:rsid w:val="00500B6F"/>
    <w:rsid w:val="00505C1C"/>
    <w:rsid w:val="00507034"/>
    <w:rsid w:val="00507846"/>
    <w:rsid w:val="00510B40"/>
    <w:rsid w:val="00513569"/>
    <w:rsid w:val="00514A79"/>
    <w:rsid w:val="00520E65"/>
    <w:rsid w:val="0054599A"/>
    <w:rsid w:val="00546692"/>
    <w:rsid w:val="00551738"/>
    <w:rsid w:val="0057190F"/>
    <w:rsid w:val="005866A9"/>
    <w:rsid w:val="005B20E0"/>
    <w:rsid w:val="005B6148"/>
    <w:rsid w:val="005C270A"/>
    <w:rsid w:val="005C3118"/>
    <w:rsid w:val="005C37B5"/>
    <w:rsid w:val="005D61CB"/>
    <w:rsid w:val="005E34A7"/>
    <w:rsid w:val="005E594E"/>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3143"/>
    <w:rsid w:val="006C7EFF"/>
    <w:rsid w:val="006D30B4"/>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B5B7F"/>
    <w:rsid w:val="007C3571"/>
    <w:rsid w:val="007D30F3"/>
    <w:rsid w:val="007D3469"/>
    <w:rsid w:val="007D3BF2"/>
    <w:rsid w:val="007D5AE6"/>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2C6C"/>
    <w:rsid w:val="009172F1"/>
    <w:rsid w:val="00922704"/>
    <w:rsid w:val="00925975"/>
    <w:rsid w:val="009458F9"/>
    <w:rsid w:val="00954054"/>
    <w:rsid w:val="00955A59"/>
    <w:rsid w:val="00966C31"/>
    <w:rsid w:val="009737BE"/>
    <w:rsid w:val="00996678"/>
    <w:rsid w:val="009B6F5E"/>
    <w:rsid w:val="009D037E"/>
    <w:rsid w:val="009D1695"/>
    <w:rsid w:val="009D20AC"/>
    <w:rsid w:val="009D4049"/>
    <w:rsid w:val="009D5693"/>
    <w:rsid w:val="009D5BAF"/>
    <w:rsid w:val="009E38F6"/>
    <w:rsid w:val="00A03ACA"/>
    <w:rsid w:val="00A10B42"/>
    <w:rsid w:val="00A17B9B"/>
    <w:rsid w:val="00A21855"/>
    <w:rsid w:val="00A23524"/>
    <w:rsid w:val="00A24944"/>
    <w:rsid w:val="00A2679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3023"/>
    <w:rsid w:val="00AE4F9F"/>
    <w:rsid w:val="00AF24B3"/>
    <w:rsid w:val="00B00A41"/>
    <w:rsid w:val="00B02ADA"/>
    <w:rsid w:val="00B16B58"/>
    <w:rsid w:val="00B23AAB"/>
    <w:rsid w:val="00B34EDD"/>
    <w:rsid w:val="00B35BAD"/>
    <w:rsid w:val="00B5350B"/>
    <w:rsid w:val="00B55CF2"/>
    <w:rsid w:val="00B71C3A"/>
    <w:rsid w:val="00B8340B"/>
    <w:rsid w:val="00B86141"/>
    <w:rsid w:val="00B963E4"/>
    <w:rsid w:val="00BA34F1"/>
    <w:rsid w:val="00BA4A10"/>
    <w:rsid w:val="00BB1FD1"/>
    <w:rsid w:val="00BC3282"/>
    <w:rsid w:val="00BC73F6"/>
    <w:rsid w:val="00BE0730"/>
    <w:rsid w:val="00BF345C"/>
    <w:rsid w:val="00C00440"/>
    <w:rsid w:val="00C03B27"/>
    <w:rsid w:val="00C0613B"/>
    <w:rsid w:val="00C20D42"/>
    <w:rsid w:val="00C232E8"/>
    <w:rsid w:val="00C405A3"/>
    <w:rsid w:val="00C5157A"/>
    <w:rsid w:val="00C53AA8"/>
    <w:rsid w:val="00C567BC"/>
    <w:rsid w:val="00C56E65"/>
    <w:rsid w:val="00C5706E"/>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7EA0"/>
    <w:rsid w:val="00D25312"/>
    <w:rsid w:val="00D27C3D"/>
    <w:rsid w:val="00D32E46"/>
    <w:rsid w:val="00D4228D"/>
    <w:rsid w:val="00D42AB5"/>
    <w:rsid w:val="00D42B88"/>
    <w:rsid w:val="00D61237"/>
    <w:rsid w:val="00D62B29"/>
    <w:rsid w:val="00D72DB4"/>
    <w:rsid w:val="00D85B24"/>
    <w:rsid w:val="00DA6020"/>
    <w:rsid w:val="00DB79EB"/>
    <w:rsid w:val="00DD15AD"/>
    <w:rsid w:val="00DE72A9"/>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50B6"/>
    <w:rsid w:val="00E9625F"/>
    <w:rsid w:val="00EA0EAB"/>
    <w:rsid w:val="00EC1BAA"/>
    <w:rsid w:val="00EC58FD"/>
    <w:rsid w:val="00ED25D1"/>
    <w:rsid w:val="00EE10C5"/>
    <w:rsid w:val="00EE670C"/>
    <w:rsid w:val="00EE6FA8"/>
    <w:rsid w:val="00EF0D6B"/>
    <w:rsid w:val="00EF57D3"/>
    <w:rsid w:val="00F0683A"/>
    <w:rsid w:val="00F203EF"/>
    <w:rsid w:val="00F3389B"/>
    <w:rsid w:val="00F36F8D"/>
    <w:rsid w:val="00F44D69"/>
    <w:rsid w:val="00F52402"/>
    <w:rsid w:val="00F5707A"/>
    <w:rsid w:val="00F62066"/>
    <w:rsid w:val="00F63928"/>
    <w:rsid w:val="00F83FEE"/>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lqzxjo9hr8318f" TargetMode="External"/><Relationship Id="rId18" Type="http://schemas.openxmlformats.org/officeDocument/2006/relationships/hyperlink" Target="https://clauswilke.com/dataviz/aesthetic-mapping.html" TargetMode="External"/><Relationship Id="rId26" Type="http://schemas.openxmlformats.org/officeDocument/2006/relationships/hyperlink" Target="https://mastering-shiny.org/basic-reactivity.html" TargetMode="External"/><Relationship Id="rId39" Type="http://schemas.openxmlformats.org/officeDocument/2006/relationships/hyperlink" Target="https://pair-code.github.io/understanding-umap/" TargetMode="External"/><Relationship Id="rId21" Type="http://schemas.openxmlformats.org/officeDocument/2006/relationships/hyperlink" Target="https://clauswilke.com/dataviz/directory-of-visualizations.html" TargetMode="External"/><Relationship Id="rId34" Type="http://schemas.openxmlformats.org/officeDocument/2006/relationships/hyperlink" Target="https://rafalab.github.io/dsbook/clustering.html" TargetMode="External"/><Relationship Id="rId42" Type="http://schemas.openxmlformats.org/officeDocument/2006/relationships/hyperlink" Target="http://ema.drwhy.ai/partialDependenceProfiles.html" TargetMode="External"/><Relationship Id="rId47" Type="http://schemas.openxmlformats.org/officeDocument/2006/relationships/hyperlink" Target="https://www.datasketch.es/project/655-frustrations-doing-data-visualization" TargetMode="External"/><Relationship Id="rId50" Type="http://schemas.openxmlformats.org/officeDocument/2006/relationships/hyperlink" Target="https://teachlearn.provost.wisc.edu/learning-analytics/" TargetMode="External"/><Relationship Id="rId55" Type="http://schemas.openxmlformats.org/officeDocument/2006/relationships/hyperlink" Target="https://diversity.wi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emilyriederer.github.io/demo-crosstalk/tutorial/tutorial-rmd.html" TargetMode="External"/><Relationship Id="rId11" Type="http://schemas.openxmlformats.org/officeDocument/2006/relationships/image" Target="media/image2.png"/><Relationship Id="rId24" Type="http://schemas.openxmlformats.org/officeDocument/2006/relationships/hyperlink" Target="https://rafalab.github.io/dsbook/gapminder.html" TargetMode="External"/><Relationship Id="rId32" Type="http://schemas.openxmlformats.org/officeDocument/2006/relationships/hyperlink" Target="https://search.library.wisc.edu/catalog/9911196629502121" TargetMode="External"/><Relationship Id="rId37" Type="http://schemas.openxmlformats.org/officeDocument/2006/relationships/hyperlink" Target="https://idyll.pub/post/visxai-dimensionality-reduction-1dbad0a67a092b007c526a45/" TargetMode="External"/><Relationship Id="rId40" Type="http://schemas.openxmlformats.org/officeDocument/2006/relationships/hyperlink" Target="https://www.tidytextmining.com/topicmodeling.html" TargetMode="External"/><Relationship Id="rId45" Type="http://schemas.openxmlformats.org/officeDocument/2006/relationships/hyperlink" Target="https://jjallaire.github.io/deep-learning-with-r-notebooks/notebooks/5.4-visualizing-what-convnets-learn.nb.html" TargetMode="External"/><Relationship Id="rId53" Type="http://schemas.openxmlformats.org/officeDocument/2006/relationships/hyperlink" Target="https://kb.wisc.edu/luwmad/page.php?id=8106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afalab.github.io/dsbook/ggplot2.html" TargetMode="External"/><Relationship Id="rId14" Type="http://schemas.openxmlformats.org/officeDocument/2006/relationships/hyperlink" Target="https://www.r-project.org/" TargetMode="External"/><Relationship Id="rId22" Type="http://schemas.openxmlformats.org/officeDocument/2006/relationships/hyperlink" Target="https://r4ds.had.co.nz/tidy-data.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otexts.com/fpp3/graphics.html" TargetMode="External"/><Relationship Id="rId35" Type="http://schemas.openxmlformats.org/officeDocument/2006/relationships/hyperlink" Target="https://rlbarter.github.io/superheat/basic-usage.html" TargetMode="External"/><Relationship Id="rId43" Type="http://schemas.openxmlformats.org/officeDocument/2006/relationships/hyperlink" Target="https://arxiv.org/abs/1709.01449" TargetMode="External"/><Relationship Id="rId48" Type="http://schemas.openxmlformats.org/officeDocument/2006/relationships/hyperlink" Target="https://simplystatistics.org/2019/04/17/tukey-design-thinking-and-better-questions/" TargetMode="External"/><Relationship Id="rId56" Type="http://schemas.openxmlformats.org/officeDocument/2006/relationships/hyperlink" Target="https://mcburney.wisc.edu/" TargetMode="External"/><Relationship Id="rId8" Type="http://schemas.openxmlformats.org/officeDocument/2006/relationships/hyperlink" Target="mailto:ksankaran@wisc.edu" TargetMode="External"/><Relationship Id="rId51" Type="http://schemas.openxmlformats.org/officeDocument/2006/relationships/hyperlink" Target="https://teachlearn.provost.wisc.edu/teaching-and-learning-data-transparency-statement/" TargetMode="External"/><Relationship Id="rId3" Type="http://schemas.openxmlformats.org/officeDocument/2006/relationships/settings" Target="settings.xml"/><Relationship Id="rId12" Type="http://schemas.openxmlformats.org/officeDocument/2006/relationships/hyperlink" Target="https://canvas.wisc.edu/courses/396861"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search.library.wisc.edu/catalog/9911196629502121" TargetMode="External"/><Relationship Id="rId33" Type="http://schemas.openxmlformats.org/officeDocument/2006/relationships/hyperlink" Target="http://web.stanford.edu/class/bios221/book/Chap-Graphs.html" TargetMode="External"/><Relationship Id="rId38" Type="http://schemas.openxmlformats.org/officeDocument/2006/relationships/hyperlink" Target="https://juliasilge.com/blog/cocktail-recipes-umap/" TargetMode="External"/><Relationship Id="rId46" Type="http://schemas.openxmlformats.org/officeDocument/2006/relationships/hyperlink" Target="https://www-proquest-com.ezproxy.library.wisc.edu/docview/1626773318/E4C6F4FD50AF4437PQ/1?accountid=465" TargetMode="External"/><Relationship Id="rId59" Type="http://schemas.openxmlformats.org/officeDocument/2006/relationships/footer" Target="footer1.xml"/><Relationship Id="rId20" Type="http://schemas.openxmlformats.org/officeDocument/2006/relationships/hyperlink" Target="http://giorgialupi.com/data-humanism-my-manifesto-for-a-new-data-wold" TargetMode="External"/><Relationship Id="rId41" Type="http://schemas.openxmlformats.org/officeDocument/2006/relationships/hyperlink" Target="https://journals.plos.org/plosgenetics/article?id=10.1371/journal.pgen.1006599" TargetMode="External"/><Relationship Id="rId54" Type="http://schemas.openxmlformats.org/officeDocument/2006/relationships/hyperlink" Target="https://guide.wisc.edu/undergradu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multi-panel-figures.html" TargetMode="External"/><Relationship Id="rId28" Type="http://schemas.openxmlformats.org/officeDocument/2006/relationships/hyperlink" Target="https://mastering-shiny.org/action-graphics.html?q=time%20ser" TargetMode="External"/><Relationship Id="rId36" Type="http://schemas.openxmlformats.org/officeDocument/2006/relationships/hyperlink" Target="http://users.umiacs.umd.edu/~hcorrada/CMSC702/readings/Solutions_ch13.pdf" TargetMode="External"/><Relationship Id="rId49" Type="http://schemas.openxmlformats.org/officeDocument/2006/relationships/hyperlink" Target="https://datavis.ca/papers/hbook.pdf" TargetMode="External"/><Relationship Id="rId57"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31" Type="http://schemas.openxmlformats.org/officeDocument/2006/relationships/hyperlink" Target="https://geocompr.robinlovelace.net/spatial-class.html" TargetMode="External"/><Relationship Id="rId44" Type="http://schemas.openxmlformats.org/officeDocument/2006/relationships/hyperlink" Target="https://distill.pub/2016/handwriting/" TargetMode="External"/><Relationship Id="rId52" Type="http://schemas.openxmlformats.org/officeDocument/2006/relationships/hyperlink" Target="https://registrar.wisc.edu/ferpa-facstaf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en2meet.com/?23075977-25R1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243</cp:revision>
  <cp:lastPrinted>2022-01-17T21:01:00Z</cp:lastPrinted>
  <dcterms:created xsi:type="dcterms:W3CDTF">2022-01-17T21:01:00Z</dcterms:created>
  <dcterms:modified xsi:type="dcterms:W3CDTF">2024-01-29T20:46:00Z</dcterms:modified>
</cp:coreProperties>
</file>