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13276732" w:rsidR="00AA27EC" w:rsidRPr="00EC58FD" w:rsidRDefault="00164B3F">
      <w:pPr>
        <w:pStyle w:val="Corps"/>
        <w:rPr>
          <w:rStyle w:val="Aucun"/>
          <w:rFonts w:ascii="Arial" w:hAnsi="Arial" w:cs="Arial"/>
          <w:b/>
          <w:bCs/>
          <w:color w:val="262626" w:themeColor="text1" w:themeTint="D9"/>
          <w:sz w:val="22"/>
          <w:szCs w:val="22"/>
        </w:rPr>
      </w:pPr>
      <w:r>
        <w:rPr>
          <w:rStyle w:val="Aucun"/>
          <w:rFonts w:ascii="Arial" w:hAnsi="Arial" w:cs="Arial"/>
          <w:b/>
          <w:bCs/>
          <w:color w:val="262626" w:themeColor="text1" w:themeTint="D9"/>
          <w:sz w:val="22"/>
          <w:szCs w:val="22"/>
        </w:rPr>
        <w:t>1</w:t>
      </w:r>
      <w:r w:rsidR="005C37B5" w:rsidRPr="00EC58FD">
        <w:rPr>
          <w:rStyle w:val="Aucun"/>
          <w:rFonts w:ascii="Arial" w:hAnsi="Arial" w:cs="Arial"/>
          <w:b/>
          <w:bCs/>
          <w:color w:val="262626" w:themeColor="text1" w:themeTint="D9"/>
          <w:sz w:val="22"/>
          <w:szCs w:val="22"/>
        </w:rPr>
        <w:t xml:space="preserve"> Credit</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E82CD0" w:rsidRDefault="00A212DE" w:rsidP="00A212DE">
      <w:pPr>
        <w:pStyle w:val="Corps"/>
        <w:rPr>
          <w:rStyle w:val="Aucun"/>
          <w:rFonts w:ascii="Arial" w:hAnsi="Arial" w:cs="Arial"/>
          <w:color w:val="262626" w:themeColor="text1" w:themeTint="D9"/>
          <w:sz w:val="22"/>
          <w:szCs w:val="22"/>
        </w:rPr>
      </w:pPr>
      <w:r w:rsidRPr="00E82CD0">
        <w:rPr>
          <w:rStyle w:val="Aucun"/>
          <w:rFonts w:ascii="Arial" w:hAnsi="Arial" w:cs="Arial"/>
          <w:color w:val="262626" w:themeColor="text1" w:themeTint="D9"/>
          <w:sz w:val="22"/>
          <w:szCs w:val="22"/>
        </w:rPr>
        <w:t>In-person an</w:t>
      </w:r>
      <w:r w:rsidR="007A49A5" w:rsidRPr="00E82CD0">
        <w:rPr>
          <w:rStyle w:val="Aucun"/>
          <w:rFonts w:ascii="Arial" w:hAnsi="Arial" w:cs="Arial"/>
          <w:color w:val="262626" w:themeColor="text1" w:themeTint="D9"/>
          <w:sz w:val="22"/>
          <w:szCs w:val="22"/>
        </w:rPr>
        <w:t>d</w:t>
      </w:r>
      <w:r w:rsidRPr="00E82CD0">
        <w:rPr>
          <w:rStyle w:val="Aucun"/>
          <w:rFonts w:ascii="Arial" w:hAnsi="Arial" w:cs="Arial"/>
          <w:color w:val="262626" w:themeColor="text1" w:themeTint="D9"/>
          <w:sz w:val="22"/>
          <w:szCs w:val="22"/>
        </w:rPr>
        <w:t xml:space="preserve"> virtual office hours will be </w:t>
      </w:r>
      <w:r w:rsidR="007A49A5" w:rsidRPr="00E82CD0">
        <w:rPr>
          <w:rStyle w:val="Aucun"/>
          <w:rFonts w:ascii="Arial" w:hAnsi="Arial" w:cs="Arial"/>
          <w:color w:val="262626" w:themeColor="text1" w:themeTint="D9"/>
          <w:sz w:val="22"/>
          <w:szCs w:val="22"/>
        </w:rPr>
        <w:t xml:space="preserve">arranged following the results of </w:t>
      </w:r>
      <w:hyperlink r:id="rId9" w:history="1">
        <w:r w:rsidR="007A49A5" w:rsidRPr="00E82CD0">
          <w:rPr>
            <w:rStyle w:val="Hyperlink"/>
            <w:rFonts w:ascii="Arial" w:hAnsi="Arial" w:cs="Arial"/>
            <w:sz w:val="22"/>
            <w:szCs w:val="22"/>
          </w:rPr>
          <w:t>this poll</w:t>
        </w:r>
      </w:hyperlink>
      <w:r w:rsidR="007A49A5" w:rsidRPr="00E82CD0">
        <w:rPr>
          <w:rStyle w:val="Aucun"/>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578D08DD"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multi-omic</w:t>
      </w:r>
      <w:r w:rsidR="00034FEA">
        <w:rPr>
          <w:color w:val="262626" w:themeColor="text1" w:themeTint="D9"/>
        </w:rPr>
        <w:t>s</w:t>
      </w:r>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5899E85D"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multi-omic</w:t>
      </w:r>
      <w:r w:rsidR="00034FEA">
        <w:rPr>
          <w:color w:val="262626" w:themeColor="text1" w:themeTint="D9"/>
        </w:rPr>
        <w:t>s</w:t>
      </w:r>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25F010EF"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0EF6D471" w14:textId="2F23B24B"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0A0CF0">
        <w:rPr>
          <w:rStyle w:val="Aucun"/>
          <w:rFonts w:ascii="Arial" w:hAnsi="Arial" w:cs="Arial"/>
          <w:color w:val="262626" w:themeColor="text1" w:themeTint="D9"/>
          <w:sz w:val="22"/>
          <w:szCs w:val="22"/>
        </w:rPr>
        <w:t>50</w:t>
      </w:r>
      <w:r w:rsidR="00AF24B3" w:rsidRPr="00EC58FD">
        <w:rPr>
          <w:rStyle w:val="Aucun"/>
          <w:rFonts w:ascii="Arial" w:hAnsi="Arial" w:cs="Arial"/>
          <w:color w:val="262626" w:themeColor="text1" w:themeTint="D9"/>
          <w:sz w:val="22"/>
          <w:szCs w:val="22"/>
        </w:rPr>
        <w:t>%</w:t>
      </w:r>
    </w:p>
    <w:p w14:paraId="0E56410C" w14:textId="267A15ED" w:rsidR="00AA27EC" w:rsidRPr="00EC58FD" w:rsidRDefault="00B71DE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Final Project</w:t>
      </w:r>
      <w:r w:rsidR="005C37B5" w:rsidRPr="00EC58FD">
        <w:rPr>
          <w:rStyle w:val="Aucun"/>
          <w:rFonts w:ascii="Arial" w:hAnsi="Arial" w:cs="Arial"/>
          <w:color w:val="262626" w:themeColor="text1" w:themeTint="D9"/>
          <w:sz w:val="22"/>
          <w:szCs w:val="22"/>
        </w:rPr>
        <w:t xml:space="preserve">: </w:t>
      </w:r>
      <w:r w:rsidR="00347D7E">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0"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1"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2"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3"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4"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4E97DC3"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s. Your</w:t>
      </w:r>
      <w:r w:rsidR="00984C79">
        <w:rPr>
          <w:rStyle w:val="PageNumber"/>
          <w:color w:val="262626" w:themeColor="text1" w:themeTint="D9"/>
        </w:rPr>
        <w:t xml:space="preserve"> participation in</w:t>
      </w:r>
      <w:r w:rsidR="00E11F02">
        <w:rPr>
          <w:rStyle w:val="PageNumber"/>
          <w:color w:val="262626" w:themeColor="text1" w:themeTint="D9"/>
        </w:rPr>
        <w:t xml:space="preserve"> each session will be scored </w:t>
      </w:r>
      <w:r w:rsidR="00984C79">
        <w:rPr>
          <w:rStyle w:val="PageNumber"/>
          <w:color w:val="262626" w:themeColor="text1" w:themeTint="D9"/>
        </w:rPr>
        <w:t>for completeness</w:t>
      </w:r>
      <w:r w:rsidR="00E11F02">
        <w:rPr>
          <w:rStyle w:val="PageNumber"/>
          <w:color w:val="262626" w:themeColor="text1" w:themeTint="D9"/>
        </w:rPr>
        <w:t>.</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67E9C638"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t>There will be</w:t>
      </w:r>
      <w:r w:rsidR="00540CEC">
        <w:rPr>
          <w:rStyle w:val="PageNumber"/>
          <w:color w:val="262626" w:themeColor="text1" w:themeTint="D9"/>
        </w:rPr>
        <w:t xml:space="preserve"> two</w:t>
      </w:r>
      <w:r w:rsidRPr="00B26071">
        <w:rPr>
          <w:rStyle w:val="PageNumber"/>
          <w:color w:val="262626" w:themeColor="text1" w:themeTint="D9"/>
        </w:rPr>
        <w:t xml:space="preserve"> </w:t>
      </w:r>
      <w:r w:rsidR="001108CE">
        <w:rPr>
          <w:rStyle w:val="PageNumber"/>
          <w:color w:val="262626" w:themeColor="text1" w:themeTint="D9"/>
        </w:rPr>
        <w:t xml:space="preserve">at-home </w:t>
      </w:r>
      <w:r w:rsidRPr="00B26071">
        <w:rPr>
          <w:rStyle w:val="PageNumber"/>
          <w:color w:val="262626" w:themeColor="text1" w:themeTint="D9"/>
        </w:rPr>
        <w:t xml:space="preserve">assignments over the duration of the course. </w:t>
      </w:r>
      <w:r w:rsidR="00FD6BFF">
        <w:rPr>
          <w:rStyle w:val="PageNumber"/>
          <w:color w:val="262626" w:themeColor="text1" w:themeTint="D9"/>
        </w:rPr>
        <w:t xml:space="preserve">For the first, you will have the option of </w:t>
      </w:r>
      <w:r w:rsidR="00224398">
        <w:rPr>
          <w:rStyle w:val="PageNumber"/>
          <w:color w:val="262626" w:themeColor="text1" w:themeTint="D9"/>
        </w:rPr>
        <w:t xml:space="preserve">preparing </w:t>
      </w:r>
      <w:r w:rsidR="00FD6BFF">
        <w:rPr>
          <w:rStyle w:val="PageNumber"/>
          <w:color w:val="262626" w:themeColor="text1" w:themeTint="D9"/>
        </w:rPr>
        <w:t>one of the following</w:t>
      </w:r>
      <w:r w:rsidR="00794A93">
        <w:rPr>
          <w:rStyle w:val="PageNumber"/>
          <w:color w:val="262626" w:themeColor="text1" w:themeTint="D9"/>
        </w:rPr>
        <w:t xml:space="preserve">: </w:t>
      </w:r>
      <w:r w:rsidRPr="00B26071">
        <w:rPr>
          <w:rStyle w:val="PageNumber"/>
          <w:color w:val="262626" w:themeColor="text1" w:themeTint="D9"/>
        </w:rPr>
        <w:t xml:space="preserve">a real-data case study, </w:t>
      </w:r>
      <w:r w:rsidR="003E7E16">
        <w:rPr>
          <w:rStyle w:val="PageNumber"/>
          <w:color w:val="262626" w:themeColor="text1" w:themeTint="D9"/>
        </w:rPr>
        <w:t xml:space="preserve">or </w:t>
      </w:r>
      <w:r w:rsidRPr="00B26071">
        <w:rPr>
          <w:rStyle w:val="PageNumber"/>
          <w:color w:val="262626" w:themeColor="text1" w:themeTint="D9"/>
        </w:rPr>
        <w:t xml:space="preserve">a benchmarking </w:t>
      </w:r>
      <w:r w:rsidRPr="00B26071">
        <w:rPr>
          <w:rStyle w:val="PageNumber"/>
          <w:color w:val="262626" w:themeColor="text1" w:themeTint="D9"/>
        </w:rPr>
        <w:lastRenderedPageBreak/>
        <w:t>experiment</w:t>
      </w:r>
      <w:r w:rsidR="00787A09">
        <w:rPr>
          <w:rStyle w:val="PageNumber"/>
          <w:color w:val="262626" w:themeColor="text1" w:themeTint="D9"/>
        </w:rPr>
        <w:t>, or a technical review</w:t>
      </w:r>
      <w:r w:rsidR="00A90058">
        <w:rPr>
          <w:rStyle w:val="PageNumber"/>
          <w:color w:val="262626" w:themeColor="text1" w:themeTint="D9"/>
        </w:rPr>
        <w:t>. For the second, you will prepare</w:t>
      </w:r>
      <w:r w:rsidR="00EF29F9">
        <w:rPr>
          <w:rStyle w:val="PageNumber"/>
          <w:color w:val="262626" w:themeColor="text1" w:themeTint="D9"/>
        </w:rPr>
        <w:t xml:space="preserve"> either</w:t>
      </w:r>
      <w:r w:rsidR="00E96E01">
        <w:rPr>
          <w:rStyle w:val="PageNumber"/>
          <w:color w:val="262626" w:themeColor="text1" w:themeTint="D9"/>
        </w:rPr>
        <w:t xml:space="preserve"> a research proposal or an expository essay</w:t>
      </w:r>
      <w:r w:rsidRPr="00B26071">
        <w:rPr>
          <w:rStyle w:val="PageNumber"/>
          <w:color w:val="262626" w:themeColor="text1" w:themeTint="D9"/>
        </w:rPr>
        <w:t>.</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722BBD" w:rsidRPr="0003510C">
        <w:rPr>
          <w:rStyle w:val="PageNumber"/>
          <w:b/>
          <w:bCs/>
          <w:color w:val="262626" w:themeColor="text1" w:themeTint="D9"/>
        </w:rPr>
        <w:t>March 11</w:t>
      </w:r>
      <w:r w:rsidR="000B5E94">
        <w:rPr>
          <w:rStyle w:val="PageNumber"/>
          <w:color w:val="262626" w:themeColor="text1" w:themeTint="D9"/>
        </w:rPr>
        <w:t xml:space="preserve"> and </w:t>
      </w:r>
      <w:r w:rsidR="00722BBD">
        <w:rPr>
          <w:rStyle w:val="PageNumber"/>
          <w:b/>
          <w:bCs/>
          <w:color w:val="262626" w:themeColor="text1" w:themeTint="D9"/>
        </w:rPr>
        <w:t>May 7</w:t>
      </w:r>
      <w:r w:rsidR="00567E03">
        <w:rPr>
          <w:rStyle w:val="PageNumber"/>
          <w:color w:val="262626" w:themeColor="text1" w:themeTint="D9"/>
        </w:rPr>
        <w:t>.</w:t>
      </w:r>
    </w:p>
    <w:p w14:paraId="4B6F1A40" w14:textId="7AF53827"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5" w:history="1">
        <w:proofErr w:type="spellStart"/>
        <w:r w:rsidR="00487E59" w:rsidRPr="00711BCE">
          <w:rPr>
            <w:rStyle w:val="Hyperlink"/>
          </w:rPr>
          <w:t>Gradescope</w:t>
        </w:r>
        <w:proofErr w:type="spellEnd"/>
      </w:hyperlink>
      <w:r w:rsidR="005C37B5" w:rsidRPr="00EC58FD">
        <w:rPr>
          <w:rStyle w:val="PageNumber"/>
          <w:color w:val="262626" w:themeColor="text1" w:themeTint="D9"/>
        </w:rPr>
        <w:t>.</w:t>
      </w:r>
      <w:r w:rsidR="00C84122">
        <w:rPr>
          <w:rStyle w:val="PageNumber"/>
          <w:color w:val="262626" w:themeColor="text1" w:themeTint="D9"/>
        </w:rPr>
        <w:t xml:space="preserve"> You can join the course </w:t>
      </w:r>
      <w:r w:rsidR="004B5A52">
        <w:rPr>
          <w:rStyle w:val="PageNumber"/>
          <w:color w:val="262626" w:themeColor="text1" w:themeTint="D9"/>
        </w:rPr>
        <w:t xml:space="preserve">using the code </w:t>
      </w:r>
      <w:r w:rsidR="004B5A52" w:rsidRPr="004B5A52">
        <w:rPr>
          <w:b/>
          <w:bCs/>
          <w:color w:val="262626" w:themeColor="text1" w:themeTint="D9"/>
        </w:rPr>
        <w:t>WV4PJN</w:t>
      </w:r>
      <w:r w:rsidR="005C37B5" w:rsidRPr="00EC58FD">
        <w:rPr>
          <w:rStyle w:val="PageNumber"/>
          <w:color w:val="262626" w:themeColor="text1" w:themeTint="D9"/>
        </w:rPr>
        <w:t xml:space="preserve"> </w:t>
      </w:r>
    </w:p>
    <w:p w14:paraId="4536D192" w14:textId="0CF51081"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6" w:tooltip="A1: Visualization with R" w:history="1"/>
            <w:r w:rsidR="00F33DD1" w:rsidRPr="00F33DD1">
              <w:rPr>
                <w:rFonts w:ascii="Arial" w:hAnsi="Arial" w:cs="Arial"/>
                <w:color w:val="auto"/>
                <w:sz w:val="22"/>
                <w:szCs w:val="22"/>
              </w:rPr>
              <w:t>Orientation</w:t>
            </w:r>
          </w:p>
        </w:tc>
      </w:tr>
      <w:tr w:rsidR="00931CF5" w:rsidRPr="00EC58FD" w14:paraId="2BDDE799"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03373" w14:textId="1FA611BF" w:rsidR="00931CF5" w:rsidRDefault="00931CF5" w:rsidP="00931CF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2798D" w14:textId="73BBCEC2" w:rsidR="00931CF5" w:rsidRDefault="00931CF5" w:rsidP="00931CF5">
            <w:pPr>
              <w:pStyle w:val="Corps"/>
            </w:pPr>
            <w:hyperlink r:id="rId17" w:tooltip="A1: Visualization with R" w:history="1"/>
            <w:r>
              <w:rPr>
                <w:rFonts w:ascii="Arial" w:hAnsi="Arial" w:cs="Arial"/>
                <w:color w:val="auto"/>
                <w:sz w:val="22"/>
                <w:szCs w:val="22"/>
              </w:rPr>
              <w:t>Scientific Motivation</w:t>
            </w:r>
          </w:p>
        </w:tc>
      </w:tr>
      <w:tr w:rsidR="00931CF5"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953C38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Data Management</w:t>
            </w:r>
          </w:p>
        </w:tc>
      </w:tr>
      <w:tr w:rsidR="00931CF5"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rPr>
              <w:t xml:space="preserve">February 14 </w:t>
            </w:r>
            <w:r>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 xml:space="preserve">Hypothesis Testing </w:t>
            </w:r>
          </w:p>
        </w:tc>
      </w:tr>
      <w:tr w:rsidR="00931CF5"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931CF5" w:rsidRPr="00F33DD1" w:rsidRDefault="00931CF5" w:rsidP="00931CF5">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931CF5"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Generative Models</w:t>
            </w:r>
          </w:p>
        </w:tc>
      </w:tr>
      <w:tr w:rsidR="00931CF5"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Networks</w:t>
            </w:r>
          </w:p>
        </w:tc>
      </w:tr>
      <w:tr w:rsidR="00931CF5"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931CF5"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8"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19"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0"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 xml:space="preserve">s express written permission. Unauthorized use of these copyrighted lecture materials and recordings constitutes copyright </w:t>
      </w:r>
      <w:r w:rsidRPr="00EC58FD">
        <w:rPr>
          <w:rStyle w:val="Aucun"/>
          <w:rFonts w:ascii="Arial" w:hAnsi="Arial" w:cs="Arial"/>
          <w:color w:val="262626" w:themeColor="text1" w:themeTint="D9"/>
          <w:sz w:val="22"/>
          <w:szCs w:val="22"/>
        </w:rPr>
        <w:lastRenderedPageBreak/>
        <w:t>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1"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2"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3"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4"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5"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6"/>
      <w:footerReference w:type="default" r:id="rId2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0022" w14:textId="77777777" w:rsidR="00745F24" w:rsidRDefault="00745F24">
      <w:r>
        <w:separator/>
      </w:r>
    </w:p>
  </w:endnote>
  <w:endnote w:type="continuationSeparator" w:id="0">
    <w:p w14:paraId="32326449" w14:textId="77777777" w:rsidR="00745F24" w:rsidRDefault="0074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F078" w14:textId="77777777" w:rsidR="00745F24" w:rsidRDefault="00745F24">
      <w:r>
        <w:separator/>
      </w:r>
    </w:p>
  </w:footnote>
  <w:footnote w:type="continuationSeparator" w:id="0">
    <w:p w14:paraId="43EA22BE" w14:textId="77777777" w:rsidR="00745F24" w:rsidRDefault="00745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E07E05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3FC16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A98B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960C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3A60D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77CBF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CAE2F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F16A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BF8A6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E07E05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3FC16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A98B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960C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3A60D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77CBF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CAE2F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F16A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BF8A6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4BD1"/>
    <w:rsid w:val="00034FEA"/>
    <w:rsid w:val="0003510C"/>
    <w:rsid w:val="000379CA"/>
    <w:rsid w:val="000551AD"/>
    <w:rsid w:val="00062F96"/>
    <w:rsid w:val="00063502"/>
    <w:rsid w:val="000708BD"/>
    <w:rsid w:val="00070CF3"/>
    <w:rsid w:val="0007430C"/>
    <w:rsid w:val="00076A73"/>
    <w:rsid w:val="0008713E"/>
    <w:rsid w:val="000976AF"/>
    <w:rsid w:val="000A0CF0"/>
    <w:rsid w:val="000A684D"/>
    <w:rsid w:val="000A76C9"/>
    <w:rsid w:val="000B23CD"/>
    <w:rsid w:val="000B5275"/>
    <w:rsid w:val="000B5E94"/>
    <w:rsid w:val="000B769F"/>
    <w:rsid w:val="000C1D94"/>
    <w:rsid w:val="000C2C3F"/>
    <w:rsid w:val="000C750B"/>
    <w:rsid w:val="000D6281"/>
    <w:rsid w:val="000D6C35"/>
    <w:rsid w:val="000E5D2F"/>
    <w:rsid w:val="000E5EEF"/>
    <w:rsid w:val="000F600B"/>
    <w:rsid w:val="00100A84"/>
    <w:rsid w:val="00101B22"/>
    <w:rsid w:val="0010233D"/>
    <w:rsid w:val="00102F3B"/>
    <w:rsid w:val="00103359"/>
    <w:rsid w:val="001108CE"/>
    <w:rsid w:val="00111026"/>
    <w:rsid w:val="00112AA8"/>
    <w:rsid w:val="00116709"/>
    <w:rsid w:val="0012124D"/>
    <w:rsid w:val="00125197"/>
    <w:rsid w:val="00126C89"/>
    <w:rsid w:val="00132B00"/>
    <w:rsid w:val="00133DE2"/>
    <w:rsid w:val="0013526E"/>
    <w:rsid w:val="001355F2"/>
    <w:rsid w:val="00135616"/>
    <w:rsid w:val="001418D6"/>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439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7762"/>
    <w:rsid w:val="00347D7E"/>
    <w:rsid w:val="00350949"/>
    <w:rsid w:val="003540E8"/>
    <w:rsid w:val="0035668D"/>
    <w:rsid w:val="00365681"/>
    <w:rsid w:val="00371081"/>
    <w:rsid w:val="0037188E"/>
    <w:rsid w:val="00374C43"/>
    <w:rsid w:val="0038225B"/>
    <w:rsid w:val="003825E7"/>
    <w:rsid w:val="003873E7"/>
    <w:rsid w:val="00393559"/>
    <w:rsid w:val="003A24FA"/>
    <w:rsid w:val="003A65E6"/>
    <w:rsid w:val="003A735A"/>
    <w:rsid w:val="003A7CEA"/>
    <w:rsid w:val="003B6616"/>
    <w:rsid w:val="003B7F77"/>
    <w:rsid w:val="003C0075"/>
    <w:rsid w:val="003C53F4"/>
    <w:rsid w:val="003E468B"/>
    <w:rsid w:val="003E599F"/>
    <w:rsid w:val="003E7E16"/>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0CEC"/>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2BBD"/>
    <w:rsid w:val="00724BCE"/>
    <w:rsid w:val="007365C5"/>
    <w:rsid w:val="00736AD5"/>
    <w:rsid w:val="007420AD"/>
    <w:rsid w:val="00745F24"/>
    <w:rsid w:val="0074779B"/>
    <w:rsid w:val="0075452F"/>
    <w:rsid w:val="007573B6"/>
    <w:rsid w:val="00765C66"/>
    <w:rsid w:val="007666CC"/>
    <w:rsid w:val="00770C3A"/>
    <w:rsid w:val="00787A09"/>
    <w:rsid w:val="00794A93"/>
    <w:rsid w:val="007A21B1"/>
    <w:rsid w:val="007A2B61"/>
    <w:rsid w:val="007A479C"/>
    <w:rsid w:val="007A49A5"/>
    <w:rsid w:val="007B404E"/>
    <w:rsid w:val="007B5B82"/>
    <w:rsid w:val="007C1F67"/>
    <w:rsid w:val="007C27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5238D"/>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4745"/>
    <w:rsid w:val="008E5CEC"/>
    <w:rsid w:val="008F3179"/>
    <w:rsid w:val="00903884"/>
    <w:rsid w:val="00910CF4"/>
    <w:rsid w:val="009114E7"/>
    <w:rsid w:val="00911765"/>
    <w:rsid w:val="00912663"/>
    <w:rsid w:val="00914CF4"/>
    <w:rsid w:val="009172F1"/>
    <w:rsid w:val="00921B92"/>
    <w:rsid w:val="00922D9D"/>
    <w:rsid w:val="00924012"/>
    <w:rsid w:val="00924A20"/>
    <w:rsid w:val="00931CF5"/>
    <w:rsid w:val="00933558"/>
    <w:rsid w:val="00934290"/>
    <w:rsid w:val="00936A7D"/>
    <w:rsid w:val="00941FCD"/>
    <w:rsid w:val="0094405D"/>
    <w:rsid w:val="009458F9"/>
    <w:rsid w:val="00954C78"/>
    <w:rsid w:val="00955A59"/>
    <w:rsid w:val="00956C9B"/>
    <w:rsid w:val="00962163"/>
    <w:rsid w:val="009661B0"/>
    <w:rsid w:val="00973C17"/>
    <w:rsid w:val="009749A8"/>
    <w:rsid w:val="0098434B"/>
    <w:rsid w:val="00984C79"/>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96E01"/>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29F9"/>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bioconductor.org/help/course-materials/" TargetMode="External"/><Relationship Id="rId18" Type="http://schemas.openxmlformats.org/officeDocument/2006/relationships/hyperlink" Target="https://teachlearn.provost.wisc.edu/learning-analytic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kb.wisc.edu/luwmad/page.php?id=81069" TargetMode="Externa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hyperlink" Target="https://canvas.wisc.edu/courses/321152/modules/688542" TargetMode="External"/><Relationship Id="rId25" Type="http://schemas.openxmlformats.org/officeDocument/2006/relationships/hyperlink" Target="https://secfac.wisc.edu/academic-calendar/" TargetMode="External"/><Relationship Id="rId2" Type="http://schemas.openxmlformats.org/officeDocument/2006/relationships/styles" Target="styles.xml"/><Relationship Id="rId16" Type="http://schemas.openxmlformats.org/officeDocument/2006/relationships/hyperlink" Target="https://canvas.wisc.edu/courses/321152/modules/688542" TargetMode="External"/><Relationship Id="rId20" Type="http://schemas.openxmlformats.org/officeDocument/2006/relationships/hyperlink" Target="https://registrar.wisc.edu/ferpa-facstaf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descope.com/courses/479037" TargetMode="External"/><Relationship Id="rId24" Type="http://schemas.openxmlformats.org/officeDocument/2006/relationships/hyperlink" Target="https://mcburney.wisc.edu/" TargetMode="External"/><Relationship Id="rId5" Type="http://schemas.openxmlformats.org/officeDocument/2006/relationships/footnotes" Target="footnotes.xml"/><Relationship Id="rId15" Type="http://schemas.openxmlformats.org/officeDocument/2006/relationships/hyperlink" Target="https://www.gradescope.com/courses/479037" TargetMode="External"/><Relationship Id="rId23" Type="http://schemas.openxmlformats.org/officeDocument/2006/relationships/hyperlink" Target="https://diversity.wisc.edu/" TargetMode="External"/><Relationship Id="rId28" Type="http://schemas.openxmlformats.org/officeDocument/2006/relationships/fontTable" Target="fontTable.xml"/><Relationship Id="rId10" Type="http://schemas.openxmlformats.org/officeDocument/2006/relationships/hyperlink" Target="https://krisrs1128.github.io/stat992_s23/" TargetMode="External"/><Relationship Id="rId19" Type="http://schemas.openxmlformats.org/officeDocument/2006/relationships/hyperlink" Target="https://teachlearn.provost.wisc.edu/teaching-and-learning-data-transparency-statement/"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it.wisc.edu/learn/guides/learning-online-technology-tips-tools/" TargetMode="External"/><Relationship Id="rId22" Type="http://schemas.openxmlformats.org/officeDocument/2006/relationships/hyperlink" Target="https://guide.wisc.edu/undergraduat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527</cp:revision>
  <cp:lastPrinted>2022-01-17T21:01:00Z</cp:lastPrinted>
  <dcterms:created xsi:type="dcterms:W3CDTF">2022-01-17T21:01:00Z</dcterms:created>
  <dcterms:modified xsi:type="dcterms:W3CDTF">2023-01-23T02:53:00Z</dcterms:modified>
</cp:coreProperties>
</file>