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b/>
          <w:bCs/>
          <w:color w:val="00B4D8"/>
          <w:sz w:val="20"/>
          <w:szCs w:val="20"/>
          <w:rFonts w:ascii="Arial" w:cs="Arial" w:eastAsia="Arial" w:hAnsi="Arial"/>
        </w:rPr>
        <w:t xml:space="preserve">ANTIGRAVITY INC.</w:t>
      </w:r>
    </w:p>
    <w:p>
      <w:pPr>
        <w:spacing w:before="0" w:after="200"/>
      </w:pPr>
      <w:r>
        <w:rPr>
          <w:b/>
          <w:bCs/>
          <w:color w:val="1A2D5A"/>
          <w:sz w:val="56"/>
          <w:szCs w:val="56"/>
          <w:rFonts w:ascii="Arial" w:cs="Arial" w:eastAsia="Arial" w:hAnsi="Arial"/>
        </w:rPr>
        <w:t xml:space="preserve">JARVIS 2025</w:t>
      </w:r>
    </w:p>
    <w:p>
      <w:pPr>
        <w:spacing w:before="0" w:after="100"/>
      </w:pPr>
      <w:r>
        <w:rPr>
          <w:b w:val="false"/>
          <w:bCs w:val="false"/>
          <w:color w:val="0D1B2A"/>
          <w:sz w:val="32"/>
          <w:szCs w:val="32"/>
          <w:rFonts w:ascii="Arial" w:cs="Arial" w:eastAsia="Arial" w:hAnsi="Arial"/>
        </w:rPr>
        <w:t xml:space="preserve">Enterprise AI Assistant Platform</w:t>
      </w:r>
    </w:p>
    <w:p>
      <w:pPr>
        <w:spacing w:before="0" w:after="400"/>
      </w:pPr>
      <w:r>
        <w:rPr>
          <w:b w:val="false"/>
          <w:bCs w:val="false"/>
          <w:color w:val="6B7280"/>
          <w:sz w:val="22"/>
          <w:szCs w:val="22"/>
          <w:rFonts w:ascii="Arial" w:cs="Arial" w:eastAsia="Arial" w:hAnsi="Arial"/>
        </w:rPr>
        <w:t xml:space="preserve">Product Requirements Document — v1.0   |   June 2025</w:t>
      </w:r>
    </w:p>
    <w:p>
      <w:pPr>
        <w:pBdr>
          <w:bottom w:val="single" w:color="00B4D8" w:sz="4"/>
        </w:pBdr>
        <w:spacing w:before="200" w:after="200"/>
      </w:pP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1. Executive Summary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Jarvis-2025 is an enterprise-grade AI desktop assistant that merges voice-activated command processing, real-time facial biometric authentication, and large language model (LLM) reasoning into a single unified platform. Built on Python + Eel, it exposes a web-native UI consumed locally, enabling rich interactivity without cloud round-trips for core interactions.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This PRD defines the product scope, feature roadmap, system architecture, and success criteria required to evolve the current open-source prototype into a commercially deployable, multi-tenant, enterprise product branded under Antigravity Inc.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2. Problem Statement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Enterprises today operate with fragmented toolchains: separate chat interfaces, separate identity management systems, and siloed automation pipelines. Knowledge workers lose an estimated 30–40% of productive time switching contexts or repeating commands across tools.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Existing AI assistant solutions (Cortana, Alexa for Business, Google Assistant) suffer from: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Dependency on cloud processing, raising data sovereignty concerns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Lack of biometric security — simple wake-words can be spoofed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No deep integration with internal enterprise data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One-size-fits-all personalities with no personalization layer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3. Product Vision &amp;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A2D5A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Vision: "An always-on, biometrically-secured, AI-powered enterprise co-pilot that operates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color w:val="FFFFFF"/>
                <w:sz w:val="21"/>
                <w:szCs w:val="21"/>
                <w:rFonts w:ascii="Arial" w:cs="Arial" w:eastAsia="Arial" w:hAnsi="Arial"/>
              </w:rPr>
              <w:t xml:space="preserve">with near-zero latency and integrates natively with every tool in your organization."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G1 — Security First: Replace password-based login with face recognition + voice biometrics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G2 — Offline Capable: Core reasoning &amp; authentication must function without internet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G3 — Enterprise Integrations: Slack, Jira, Confluence, Google Workspace, SAP connectors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G4 — Extensible Skill Engine: Plugin marketplace for domain-specific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G5 — Compliance Ready: SOC 2 Type II, ISO 27001, GDPR, HIPAA pathways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4. Scope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4.1 In Scope — MVP (Q3 2025)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Face recognition authentication (OpenCV + face_recognition library)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Hotword detection (PocketSphinx / Snowboy)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Speech-to-text (Whisper local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LLM chat integration (local Mistral 7B + cloud fallback to Claude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Text-to-speech responses (pyttsx3 + ElevenLabs cloud)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SQLite user profile &amp; session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Eel-based web UI (HTML/CSS/JS frontend)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GitHub Actions CI/CD pipeline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4.2 In Scope — Enterprise (Q4 2025 – Q1 2026)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Multi-user role-based access control (RBAC)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Enterprise SSO (SAML 2.0, OIDC)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Plugin/skill SDK with marketplace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Audit logging &amp; compliance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Admin dashboard (React SPA)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REST + WebSocket API for third-party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Docker / Kubernetes deployment manifests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Antigravity Vibe Coding Engine — AI-assisted code generation within the assistant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4.3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Mobile native apps (Phase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Custom ASICs for on-device ML acceleration (Research track)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Blockchain-based credential management (Evaluation only)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5. User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Persona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Primary Use Cases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Power User (Dev/Engineer)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Uses Jarvis for code generation, PR reviews, terminal commands via voice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Executive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Uses Jarvis for meeting summaries, email drafts, KPI dashboards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IT Admin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Manages user onboarding, audit logs, plugin approvals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Security Officer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Reviews biometric logs, configures auth policies, runs compliance reports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New Employee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Onboarding guide, policy Q&amp;A, HR bot integration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6. Functional Requirements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6.1 Authentication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FR-A1: System shall detect faces within 500ms of camera 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FR-A2: System shall support enrollment of up to 50 faces per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FR-A3: False acceptance rate (FAR) shall be &lt; 0.1%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FR-A4: System shall fall back to PIN after 3 failed face attempts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FR-A5: All biometric data shall be stored encrypted (AES-256) locally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6.2 Voice Processing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FR-V1: Hotword detection shall run continuously with &lt; 2% CPU overhead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FR-V2: STT accuracy shall exceed 95% for English in quiet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FR-V3: System shall handle commands up to 60 seconds in length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FR-V4: TTS response latency shall be &lt; 800ms for &lt; 50 word responses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6.3 LLM Reasoning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FR-L1: System shall support pluggable LLM backends (local &amp; cloud)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FR-L2: Context window shall maintain last 20 conversation 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FR-L3: System shall stream tokens to UI for perceived responsiveness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FR-L4: System shall cite sources when drawing from indexed documents</w:t>
      </w:r>
    </w:p>
    <w:p>
      <w:pPr>
        <w:pStyle w:val="Heading2"/>
        <w:spacing w:before="320" w:after="160"/>
      </w:pPr>
      <w:r>
        <w:rPr>
          <w:b/>
          <w:bCs/>
          <w:color w:val="1A2D5A"/>
          <w:sz w:val="28"/>
          <w:szCs w:val="28"/>
          <w:rFonts w:ascii="Arial" w:cs="Arial" w:eastAsia="Arial" w:hAnsi="Arial"/>
        </w:rPr>
        <w:t xml:space="preserve">6.4 Antigravity Vibe Coding Engine</w:t>
      </w:r>
    </w:p>
    <w:p>
      <w:pPr>
        <w:spacing w:before="80" w:after="8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The Vibe Coding Engine is Antigravity's proprietary differentiator — an embedded AI pair-programmer accessible via voice: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FR-VC1: User can say 'Jarvis, write a Python function to...' and receive streaming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FR-VC2: Engine shall execute sandboxed code snippets and return stdout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FR-VC3: Engine shall integrate with VS Code extension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FR-VC4: Engine shall support 20+ programming languages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7.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NFR Category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Performance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Cold start &lt; 5s; command response &lt; 2s P95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Availability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99.9% uptime for cloud services; offline degraded mode for core features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Security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AES-256 at rest; TLS 1.3 in transit; OWASP Top 10 mitigated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Scalability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Multi-tenant SaaS: 10,000+ concurrent users per cluster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Accessibility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WCAG 2.1 AA for web UI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Observability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OpenTelemetry traces, Prometheus metrics, Loki logs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8. Success Metrics &amp; KPIs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DAU/MAU ratio &gt; 60% (strong retention)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Authentication success rate &gt; 98% in controlled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NPS &gt; 45 in enterprise pilot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Command completion rate &gt; 92% (intent correctly resolved)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Time-to-first-command &lt; 30 seconds from cold boot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1F2937"/>
          <w:sz w:val="22"/>
          <w:szCs w:val="22"/>
          <w:rFonts w:ascii="Arial" w:cs="Arial" w:eastAsia="Arial" w:hAnsi="Arial"/>
        </w:rPr>
        <w:t xml:space="preserve">Zero critical security incidents in first 12 months post-launch</w:t>
      </w:r>
    </w:p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9. Roadmap &amp;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Milestone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Target Date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M1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Q2 2025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Open-source prototype stabilization, CI/CD, unit tests &gt; 80% coverage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M2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Q3 2025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MVP launch: face auth + voice + LLM, beta with 5 design partners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M3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Q4 2025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Enterprise features: RBAC, SSO, plugin SDK, admin dashboard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M4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Q1 2026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Antigravity Vibe Coding Engine GA, VS Code extension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M5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Q2 2026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SOC 2 Type II audit completion, Series A fundraise readiness</w:t>
            </w:r>
          </w:p>
        </w:tc>
      </w:tr>
    </w:tbl>
    <w:p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A2D5A"/>
          <w:sz w:val="36"/>
          <w:szCs w:val="36"/>
          <w:rFonts w:ascii="Arial" w:cs="Arial" w:eastAsia="Arial" w:hAnsi="Arial"/>
        </w:rPr>
        <w:t xml:space="preserve">10.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Risk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Likelihood</w:t>
            </w:r>
          </w:p>
        </w:tc>
        <w:tc>
          <w:tcPr>
            <w:shd w:color="1A2D5A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  <w:rFonts w:ascii="Arial" w:cs="Arial" w:eastAsia="Arial" w:hAnsi="Arial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Face recognition bias in diverse populations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High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Use InsightFace multi-ethnic dataset; third-party bias audit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Local LLM hardware requirements limit adoption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Medium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Cloud fallback; optimize with GGUF quantization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Privacy regulations block biometric use in EU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High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Consent-first architecture; GDPR DPA agreements</w:t>
            </w:r>
          </w:p>
        </w:tc>
      </w:tr>
      <w:tr>
        <w:trPr>
          <w:tblHeader w:val="false"/>
        </w:trPr>
        <w:tc>
          <w:tcPr>
            <w:shd w:color="F3F4F6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Open-source fork competition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Low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F2937"/>
                <w:sz w:val="21"/>
                <w:szCs w:val="21"/>
                <w:rFonts w:ascii="Arial" w:cs="Arial" w:eastAsia="Arial" w:hAnsi="Arial"/>
              </w:rPr>
              <w:t xml:space="preserve">Speed to enterprise features; Antigravity brand moat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color w:val="6B7280"/>
        <w:sz w:val="18"/>
        <w:szCs w:val="18"/>
        <w:rFonts w:ascii="Arial" w:cs="Arial" w:eastAsia="Arial" w:hAnsi="Arial"/>
      </w:rPr>
      <w:t xml:space="preserve">Confidential — Antigravity Inc.  |  Page </w:t>
    </w:r>
    <w:r>
      <w:rPr>
        <w:b w:val="false"/>
        <w:bCs w:val="false"/>
        <w:color w:val="6B7280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color w:val="6B7280"/>
        <w:sz w:val="18"/>
        <w:szCs w:val="18"/>
        <w:rFonts w:ascii="Arial" w:cs="Arial" w:eastAsia="Arial" w:hAnsi="Arial"/>
      </w:rPr>
      <w:t xml:space="preserve">JARVIS 2025 — Enterprise AI Assistant |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A2D5A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b/>
      <w:bCs/>
      <w:color w:val="1A2D5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0D1B2A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2026-06-26T18:37:25.170Z</dcterms:created>
  <dcterms:modified xsi:type="dcterms:W3CDTF">2026-06-26T18:37:25.177Z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