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b/>
          <w:bCs/>
          <w:color w:val="00B4D8"/>
          <w:sz w:val="22"/>
          <w:szCs w:val="22"/>
          <w:rFonts w:ascii="Arial" w:cs="Arial" w:eastAsia="Arial" w:hAnsi="Arial"/>
        </w:rPr>
        <w:t xml:space="preserve">ANTIGRAVITY INC.</w:t>
      </w:r>
    </w:p>
    <w:p>
      <w:pPr>
        <w:spacing w:before="0" w:after="100"/>
      </w:pPr>
      <w:r>
        <w:rPr>
          <w:b/>
          <w:bCs/>
          <w:color w:val="1A2D5A"/>
          <w:sz w:val="48"/>
          <w:szCs w:val="48"/>
          <w:rFonts w:ascii="Arial" w:cs="Arial" w:eastAsia="Arial" w:hAnsi="Arial"/>
        </w:rPr>
        <w:t xml:space="preserve">Enterprise Business Plan</w:t>
      </w:r>
    </w:p>
    <w:p>
      <w:pPr>
        <w:spacing w:before="0" w:after="80"/>
      </w:pPr>
      <w:r>
        <w:rPr>
          <w:b w:val="false"/>
          <w:bCs w:val="false"/>
          <w:color w:val="0D1B2A"/>
          <w:sz w:val="26"/>
          <w:szCs w:val="26"/>
          <w:rFonts w:ascii="Arial" w:cs="Arial" w:eastAsia="Arial" w:hAnsi="Arial"/>
        </w:rPr>
        <w:t xml:space="preserve">Jarvis-2025: The AI Assistant Platform for the Enterprise</w:t>
      </w:r>
    </w:p>
    <w:p>
      <w:pPr>
        <w:spacing w:before="0" w:after="400"/>
      </w:pPr>
      <w:r>
        <w:rPr>
          <w:b w:val="false"/>
          <w:bCs w:val="false"/>
          <w:color w:val="6B7280"/>
          <w:sz w:val="20"/>
          <w:szCs w:val="20"/>
          <w:rFonts w:ascii="Arial" w:cs="Arial" w:eastAsia="Arial" w:hAnsi="Arial"/>
        </w:rPr>
        <w:t xml:space="preserve">Confidential — June 2025   |   For Investor and Partner Review</w:t>
      </w:r>
    </w:p>
    <w:p>
      <w:pPr>
        <w:pBdr>
          <w:bottom w:val="single" w:color="00B4D8" w:sz="4"/>
        </w:pBdr>
        <w:spacing w:before="200" w:after="200"/>
      </w:pPr>
    </w:p>
    <w:p>
      <w:r>
        <w:t xml:space="preserve"/>
      </w:r>
    </w:p>
    <w:p>
      <w:pPr>
        <w:pStyle w:val="Heading1"/>
        <w:spacing w:before="400" w:after="200"/>
      </w:pPr>
      <w:r>
        <w:rPr>
          <w:b/>
          <w:bCs/>
          <w:color w:val="1A2D5A"/>
          <w:sz w:val="36"/>
          <w:szCs w:val="36"/>
          <w:rFonts w:ascii="Arial" w:cs="Arial" w:eastAsia="Arial" w:hAnsi="Arial"/>
        </w:rPr>
        <w:t xml:space="preserve">1. Company Overview</w:t>
      </w:r>
    </w:p>
    <w:p>
      <w:pPr>
        <w:spacing w:before="80" w:after="80"/>
      </w:pPr>
      <w:r>
        <w:rPr>
          <w:b w:val="false"/>
          <w:bCs w:val="false"/>
          <w:color w:val="1F2937"/>
          <w:sz w:val="22"/>
          <w:szCs w:val="22"/>
          <w:rFonts w:ascii="Arial" w:cs="Arial" w:eastAsia="Arial" w:hAnsi="Arial"/>
        </w:rPr>
        <w:t xml:space="preserve">Antigravity Inc. is a deep-tech AI company building enterprise-grade AI assistant infrastructure. Our flagship product, Jarvis-2025, combines biometric security, edge AI inference, and a proprietary Vibe Coding Engine to deliver a voice-first productivity platform for knowledge workers.</w:t>
      </w:r>
    </w:p>
    <w:p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color="1A2D5A" w:val="solid"/>
            <w:tcMar>
              <w:top w:type="dxa" w:w="200"/>
              <w:left w:type="dxa" w:w="300"/>
              <w:bottom w:type="dxa" w:w="200"/>
              <w:right w:type="dxa" w:w="300"/>
            </w:tcMar>
          </w:tcPr>
          <w:p>
            <w:pPr>
              <w:spacing w:before="60" w:after="60"/>
            </w:pPr>
            <w:r>
              <w:rPr>
                <w:b w:val="false"/>
                <w:bCs w:val="false"/>
                <w:color w:val="FFFFFF"/>
                <w:sz w:val="21"/>
                <w:szCs w:val="21"/>
                <w:rFonts w:ascii="Arial" w:cs="Arial" w:eastAsia="Arial" w:hAnsi="Arial"/>
              </w:rPr>
              <w:t xml:space="preserve">Mission: Eliminate the friction between human intent and software action.</w:t>
            </w:r>
          </w:p>
          <w:p>
            <w:pPr>
              <w:spacing w:before="60" w:after="60"/>
            </w:pPr>
            <w:r>
              <w:rPr>
                <w:b w:val="false"/>
                <w:bCs w:val="false"/>
                <w:color w:val="FFFFFF"/>
                <w:sz w:val="21"/>
                <w:szCs w:val="21"/>
                <w:rFonts w:ascii="Arial" w:cs="Arial" w:eastAsia="Arial" w:hAnsi="Arial"/>
              </w:rPr>
              <w:t xml:space="preserve">Headquarters: [City, Country]</w:t>
            </w:r>
          </w:p>
          <w:p>
            <w:pPr>
              <w:spacing w:before="60" w:after="60"/>
            </w:pPr>
            <w:r>
              <w:rPr>
                <w:b w:val="false"/>
                <w:bCs w:val="false"/>
                <w:color w:val="FFFFFF"/>
                <w:sz w:val="21"/>
                <w:szCs w:val="21"/>
                <w:rFonts w:ascii="Arial" w:cs="Arial" w:eastAsia="Arial" w:hAnsi="Arial"/>
              </w:rPr>
              <w:t xml:space="preserve">Founded: 2025</w:t>
            </w:r>
          </w:p>
          <w:p>
            <w:pPr>
              <w:spacing w:before="60" w:after="60"/>
            </w:pPr>
            <w:r>
              <w:rPr>
                <w:b w:val="false"/>
                <w:bCs w:val="false"/>
                <w:color w:val="FFFFFF"/>
                <w:sz w:val="21"/>
                <w:szCs w:val="21"/>
                <w:rFonts w:ascii="Arial" w:cs="Arial" w:eastAsia="Arial" w:hAnsi="Arial"/>
              </w:rPr>
              <w:t xml:space="preserve">Stage: Seed / Pre-Series A</w:t>
            </w:r>
          </w:p>
          <w:p>
            <w:pPr>
              <w:spacing w:before="60" w:after="60"/>
            </w:pPr>
            <w:r>
              <w:rPr>
                <w:b w:val="false"/>
                <w:bCs w:val="false"/>
                <w:color w:val="FFFFFF"/>
                <w:sz w:val="21"/>
                <w:szCs w:val="21"/>
                <w:rFonts w:ascii="Arial" w:cs="Arial" w:eastAsia="Arial" w:hAnsi="Arial"/>
              </w:rPr>
              <w:t xml:space="preserve">Team: [X] engineers, [Y] advisors</w:t>
            </w:r>
          </w:p>
        </w:tc>
      </w:tr>
    </w:tbl>
    <w:p>
      <w:r>
        <w:t xml:space="preserve"/>
      </w:r>
    </w:p>
    <w:p>
      <w:pPr>
        <w:pStyle w:val="Heading1"/>
        <w:spacing w:before="400" w:after="200"/>
      </w:pPr>
      <w:r>
        <w:rPr>
          <w:b/>
          <w:bCs/>
          <w:color w:val="1A2D5A"/>
          <w:sz w:val="36"/>
          <w:szCs w:val="36"/>
          <w:rFonts w:ascii="Arial" w:cs="Arial" w:eastAsia="Arial" w:hAnsi="Arial"/>
        </w:rPr>
        <w:t xml:space="preserve">2. Market Opportunity</w:t>
      </w:r>
    </w:p>
    <w:p>
      <w:pPr>
        <w:pStyle w:val="Heading2"/>
        <w:spacing w:before="320" w:after="160"/>
      </w:pPr>
      <w:r>
        <w:rPr>
          <w:b/>
          <w:bCs/>
          <w:color w:val="1A2D5A"/>
          <w:sz w:val="28"/>
          <w:szCs w:val="28"/>
          <w:rFonts w:ascii="Arial" w:cs="Arial" w:eastAsia="Arial" w:hAnsi="Arial"/>
        </w:rPr>
        <w:t xml:space="preserve">2.1 Total Addressable Market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1A2D5A" w:val="solid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  <w:rFonts w:ascii="Arial" w:cs="Arial" w:eastAsia="Arial" w:hAnsi="Arial"/>
              </w:rPr>
              <w:t xml:space="preserve">Segment</w:t>
            </w:r>
          </w:p>
        </w:tc>
        <w:tc>
          <w:tcPr>
            <w:shd w:color="1A2D5A" w:val="solid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  <w:rFonts w:ascii="Arial" w:cs="Arial" w:eastAsia="Arial" w:hAnsi="Arial"/>
              </w:rPr>
              <w:t xml:space="preserve">Market Size</w:t>
            </w:r>
          </w:p>
        </w:tc>
        <w:tc>
          <w:tcPr>
            <w:shd w:color="1A2D5A" w:val="solid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  <w:rFonts w:ascii="Arial" w:cs="Arial" w:eastAsia="Arial" w:hAnsi="Arial"/>
              </w:rPr>
              <w:t xml:space="preserve">Growth</w:t>
            </w:r>
          </w:p>
        </w:tc>
      </w:tr>
      <w:tr>
        <w:trPr>
          <w:tblHeader w:val="false"/>
        </w:trPr>
        <w:tc>
          <w:tcPr>
            <w:shd w:color="F3F4F6" w:val="solid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 w:val="false"/>
                <w:bCs w:val="false"/>
                <w:color w:val="1F2937"/>
                <w:sz w:val="21"/>
                <w:szCs w:val="21"/>
                <w:rFonts w:ascii="Arial" w:cs="Arial" w:eastAsia="Arial" w:hAnsi="Arial"/>
              </w:rPr>
              <w:t xml:space="preserve">Global Enterprise AI Software</w:t>
            </w:r>
          </w:p>
        </w:tc>
        <w:tc>
          <w:tcPr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 w:val="false"/>
                <w:bCs w:val="false"/>
                <w:color w:val="1F2937"/>
                <w:sz w:val="21"/>
                <w:szCs w:val="21"/>
                <w:rFonts w:ascii="Arial" w:cs="Arial" w:eastAsia="Arial" w:hAnsi="Arial"/>
              </w:rPr>
              <w:t xml:space="preserve">$150B by 2027 (IDC)</w:t>
            </w:r>
          </w:p>
        </w:tc>
        <w:tc>
          <w:tcPr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 w:val="false"/>
                <w:bCs w:val="false"/>
                <w:color w:val="1F2937"/>
                <w:sz w:val="21"/>
                <w:szCs w:val="21"/>
                <w:rFonts w:ascii="Arial" w:cs="Arial" w:eastAsia="Arial" w:hAnsi="Arial"/>
              </w:rPr>
              <w:t xml:space="preserve">25% CAGR</w:t>
            </w:r>
          </w:p>
        </w:tc>
      </w:tr>
      <w:tr>
        <w:trPr>
          <w:tblHeader w:val="false"/>
        </w:trPr>
        <w:tc>
          <w:tcPr>
            <w:shd w:color="F3F4F6" w:val="solid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 w:val="false"/>
                <w:bCs w:val="false"/>
                <w:color w:val="1F2937"/>
                <w:sz w:val="21"/>
                <w:szCs w:val="21"/>
                <w:rFonts w:ascii="Arial" w:cs="Arial" w:eastAsia="Arial" w:hAnsi="Arial"/>
              </w:rPr>
              <w:t xml:space="preserve">Voice AI for Enterprise</w:t>
            </w:r>
          </w:p>
        </w:tc>
        <w:tc>
          <w:tcPr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 w:val="false"/>
                <w:bCs w:val="false"/>
                <w:color w:val="1F2937"/>
                <w:sz w:val="21"/>
                <w:szCs w:val="21"/>
                <w:rFonts w:ascii="Arial" w:cs="Arial" w:eastAsia="Arial" w:hAnsi="Arial"/>
              </w:rPr>
              <w:t xml:space="preserve">$28B by 2026 (MarketsandMarkets)</w:t>
            </w:r>
          </w:p>
        </w:tc>
        <w:tc>
          <w:tcPr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 w:val="false"/>
                <w:bCs w:val="false"/>
                <w:color w:val="1F2937"/>
                <w:sz w:val="21"/>
                <w:szCs w:val="21"/>
                <w:rFonts w:ascii="Arial" w:cs="Arial" w:eastAsia="Arial" w:hAnsi="Arial"/>
              </w:rPr>
              <w:t xml:space="preserve">32% CAGR</w:t>
            </w:r>
          </w:p>
        </w:tc>
      </w:tr>
      <w:tr>
        <w:trPr>
          <w:tblHeader w:val="false"/>
        </w:trPr>
        <w:tc>
          <w:tcPr>
            <w:shd w:color="F3F4F6" w:val="solid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 w:val="false"/>
                <w:bCs w:val="false"/>
                <w:color w:val="1F2937"/>
                <w:sz w:val="21"/>
                <w:szCs w:val="21"/>
                <w:rFonts w:ascii="Arial" w:cs="Arial" w:eastAsia="Arial" w:hAnsi="Arial"/>
              </w:rPr>
              <w:t xml:space="preserve">AI-Assisted Developer Tools</w:t>
            </w:r>
          </w:p>
        </w:tc>
        <w:tc>
          <w:tcPr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 w:val="false"/>
                <w:bCs w:val="false"/>
                <w:color w:val="1F2937"/>
                <w:sz w:val="21"/>
                <w:szCs w:val="21"/>
                <w:rFonts w:ascii="Arial" w:cs="Arial" w:eastAsia="Arial" w:hAnsi="Arial"/>
              </w:rPr>
              <w:t xml:space="preserve">$12B by 2027 (Gartner)</w:t>
            </w:r>
          </w:p>
        </w:tc>
        <w:tc>
          <w:tcPr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 w:val="false"/>
                <w:bCs w:val="false"/>
                <w:color w:val="1F2937"/>
                <w:sz w:val="21"/>
                <w:szCs w:val="21"/>
                <w:rFonts w:ascii="Arial" w:cs="Arial" w:eastAsia="Arial" w:hAnsi="Arial"/>
              </w:rPr>
              <w:t xml:space="preserve">40% CAGR</w:t>
            </w:r>
          </w:p>
        </w:tc>
      </w:tr>
      <w:tr>
        <w:trPr>
          <w:tblHeader w:val="false"/>
        </w:trPr>
        <w:tc>
          <w:tcPr>
            <w:shd w:color="F3F4F6" w:val="solid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 w:val="false"/>
                <w:bCs w:val="false"/>
                <w:color w:val="1F2937"/>
                <w:sz w:val="21"/>
                <w:szCs w:val="21"/>
                <w:rFonts w:ascii="Arial" w:cs="Arial" w:eastAsia="Arial" w:hAnsi="Arial"/>
              </w:rPr>
              <w:t xml:space="preserve">Biometric Identity Management</w:t>
            </w:r>
          </w:p>
        </w:tc>
        <w:tc>
          <w:tcPr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 w:val="false"/>
                <w:bCs w:val="false"/>
                <w:color w:val="1F2937"/>
                <w:sz w:val="21"/>
                <w:szCs w:val="21"/>
                <w:rFonts w:ascii="Arial" w:cs="Arial" w:eastAsia="Arial" w:hAnsi="Arial"/>
              </w:rPr>
              <w:t xml:space="preserve">$8B by 2026 (Grand View Research)</w:t>
            </w:r>
          </w:p>
        </w:tc>
        <w:tc>
          <w:tcPr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 w:val="false"/>
                <w:bCs w:val="false"/>
                <w:color w:val="1F2937"/>
                <w:sz w:val="21"/>
                <w:szCs w:val="21"/>
                <w:rFonts w:ascii="Arial" w:cs="Arial" w:eastAsia="Arial" w:hAnsi="Arial"/>
              </w:rPr>
              <w:t xml:space="preserve">18% CAGR</w:t>
            </w:r>
          </w:p>
        </w:tc>
      </w:tr>
    </w:tbl>
    <w:p>
      <w:r>
        <w:t xml:space="preserve"/>
      </w:r>
    </w:p>
    <w:p>
      <w:pPr>
        <w:pStyle w:val="Heading2"/>
        <w:spacing w:before="320" w:after="160"/>
      </w:pPr>
      <w:r>
        <w:rPr>
          <w:b/>
          <w:bCs/>
          <w:color w:val="1A2D5A"/>
          <w:sz w:val="28"/>
          <w:szCs w:val="28"/>
          <w:rFonts w:ascii="Arial" w:cs="Arial" w:eastAsia="Arial" w:hAnsi="Arial"/>
        </w:rPr>
        <w:t xml:space="preserve">2.2 Competitive Positioning</w:t>
      </w:r>
    </w:p>
    <w:p>
      <w:pPr>
        <w:spacing w:before="80" w:after="80"/>
      </w:pPr>
      <w:r>
        <w:rPr>
          <w:b w:val="false"/>
          <w:bCs w:val="false"/>
          <w:color w:val="1F2937"/>
          <w:sz w:val="22"/>
          <w:szCs w:val="22"/>
          <w:rFonts w:ascii="Arial" w:cs="Arial" w:eastAsia="Arial" w:hAnsi="Arial"/>
        </w:rPr>
        <w:t xml:space="preserve">Jarvis-2025 occupies a unique intersection of three high-growth markets: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b w:val="false"/>
          <w:bCs w:val="false"/>
          <w:color w:val="1F2937"/>
          <w:sz w:val="22"/>
          <w:szCs w:val="22"/>
          <w:rFonts w:ascii="Arial" w:cs="Arial" w:eastAsia="Arial" w:hAnsi="Arial"/>
        </w:rPr>
        <w:t xml:space="preserve">Security-first AI (vs. ChatGPT Enterprise — no biometric authentication)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b w:val="false"/>
          <w:bCs w:val="false"/>
          <w:color w:val="1F2937"/>
          <w:sz w:val="22"/>
          <w:szCs w:val="22"/>
          <w:rFonts w:ascii="Arial" w:cs="Arial" w:eastAsia="Arial" w:hAnsi="Arial"/>
        </w:rPr>
        <w:t xml:space="preserve">On-device privacy (vs. Alexa for Business — data stays on premises)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b w:val="false"/>
          <w:bCs w:val="false"/>
          <w:color w:val="1F2937"/>
          <w:sz w:val="22"/>
          <w:szCs w:val="22"/>
          <w:rFonts w:ascii="Arial" w:cs="Arial" w:eastAsia="Arial" w:hAnsi="Arial"/>
        </w:rPr>
        <w:t xml:space="preserve">Developer productivity (vs. GitHub Copilot — voice-native, not IDE-only)</w:t>
      </w:r>
    </w:p>
    <w:p>
      <w:r>
        <w:t xml:space="preserve"/>
      </w:r>
    </w:p>
    <w:p>
      <w:pPr>
        <w:pStyle w:val="Heading1"/>
        <w:spacing w:before="400" w:after="200"/>
      </w:pPr>
      <w:r>
        <w:rPr>
          <w:b/>
          <w:bCs/>
          <w:color w:val="1A2D5A"/>
          <w:sz w:val="36"/>
          <w:szCs w:val="36"/>
          <w:rFonts w:ascii="Arial" w:cs="Arial" w:eastAsia="Arial" w:hAnsi="Arial"/>
        </w:rPr>
        <w:t xml:space="preserve">3. Product &amp; Revenue Model</w:t>
      </w:r>
    </w:p>
    <w:p>
      <w:pPr>
        <w:pStyle w:val="Heading2"/>
        <w:spacing w:before="320" w:after="160"/>
      </w:pPr>
      <w:r>
        <w:rPr>
          <w:b/>
          <w:bCs/>
          <w:color w:val="1A2D5A"/>
          <w:sz w:val="28"/>
          <w:szCs w:val="28"/>
          <w:rFonts w:ascii="Arial" w:cs="Arial" w:eastAsia="Arial" w:hAnsi="Arial"/>
        </w:rPr>
        <w:t xml:space="preserve">3.1 Pricing Tiers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1A2D5A" w:val="solid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  <w:rFonts w:ascii="Arial" w:cs="Arial" w:eastAsia="Arial" w:hAnsi="Arial"/>
              </w:rPr>
              <w:t xml:space="preserve">Tier</w:t>
            </w:r>
          </w:p>
        </w:tc>
        <w:tc>
          <w:tcPr>
            <w:shd w:color="1A2D5A" w:val="solid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  <w:rFonts w:ascii="Arial" w:cs="Arial" w:eastAsia="Arial" w:hAnsi="Arial"/>
              </w:rPr>
              <w:t xml:space="preserve">Price</w:t>
            </w:r>
          </w:p>
        </w:tc>
        <w:tc>
          <w:tcPr>
            <w:shd w:color="1A2D5A" w:val="solid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  <w:rFonts w:ascii="Arial" w:cs="Arial" w:eastAsia="Arial" w:hAnsi="Arial"/>
              </w:rPr>
              <w:t xml:space="preserve">Includes</w:t>
            </w:r>
          </w:p>
        </w:tc>
      </w:tr>
      <w:tr>
        <w:trPr>
          <w:tblHeader w:val="false"/>
        </w:trPr>
        <w:tc>
          <w:tcPr>
            <w:shd w:color="F3F4F6" w:val="solid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 w:val="false"/>
                <w:bCs w:val="false"/>
                <w:color w:val="1F2937"/>
                <w:sz w:val="21"/>
                <w:szCs w:val="21"/>
                <w:rFonts w:ascii="Arial" w:cs="Arial" w:eastAsia="Arial" w:hAnsi="Arial"/>
              </w:rPr>
              <w:t xml:space="preserve">Community</w:t>
            </w:r>
          </w:p>
        </w:tc>
        <w:tc>
          <w:tcPr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 w:val="false"/>
                <w:bCs w:val="false"/>
                <w:color w:val="1F2937"/>
                <w:sz w:val="21"/>
                <w:szCs w:val="21"/>
                <w:rFonts w:ascii="Arial" w:cs="Arial" w:eastAsia="Arial" w:hAnsi="Arial"/>
              </w:rPr>
              <w:t xml:space="preserve">Free</w:t>
            </w:r>
          </w:p>
        </w:tc>
        <w:tc>
          <w:tcPr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 w:val="false"/>
                <w:bCs w:val="false"/>
                <w:color w:val="1F2937"/>
                <w:sz w:val="21"/>
                <w:szCs w:val="21"/>
                <w:rFonts w:ascii="Arial" w:cs="Arial" w:eastAsia="Arial" w:hAnsi="Arial"/>
              </w:rPr>
              <w:t xml:space="preserve">Single user, local models only, no enterprise features</w:t>
            </w:r>
          </w:p>
        </w:tc>
      </w:tr>
      <w:tr>
        <w:trPr>
          <w:tblHeader w:val="false"/>
        </w:trPr>
        <w:tc>
          <w:tcPr>
            <w:shd w:color="F3F4F6" w:val="solid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 w:val="false"/>
                <w:bCs w:val="false"/>
                <w:color w:val="1F2937"/>
                <w:sz w:val="21"/>
                <w:szCs w:val="21"/>
                <w:rFonts w:ascii="Arial" w:cs="Arial" w:eastAsia="Arial" w:hAnsi="Arial"/>
              </w:rPr>
              <w:t xml:space="preserve">Professional</w:t>
            </w:r>
          </w:p>
        </w:tc>
        <w:tc>
          <w:tcPr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 w:val="false"/>
                <w:bCs w:val="false"/>
                <w:color w:val="1F2937"/>
                <w:sz w:val="21"/>
                <w:szCs w:val="21"/>
                <w:rFonts w:ascii="Arial" w:cs="Arial" w:eastAsia="Arial" w:hAnsi="Arial"/>
              </w:rPr>
              <w:t xml:space="preserve">$49/user/month</w:t>
            </w:r>
          </w:p>
        </w:tc>
        <w:tc>
          <w:tcPr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 w:val="false"/>
                <w:bCs w:val="false"/>
                <w:color w:val="1F2937"/>
                <w:sz w:val="21"/>
                <w:szCs w:val="21"/>
                <w:rFonts w:ascii="Arial" w:cs="Arial" w:eastAsia="Arial" w:hAnsi="Arial"/>
              </w:rPr>
              <w:t xml:space="preserve">Cloud LLM access, 10 plugins, email support</w:t>
            </w:r>
          </w:p>
        </w:tc>
      </w:tr>
      <w:tr>
        <w:trPr>
          <w:tblHeader w:val="false"/>
        </w:trPr>
        <w:tc>
          <w:tcPr>
            <w:shd w:color="F3F4F6" w:val="solid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 w:val="false"/>
                <w:bCs w:val="false"/>
                <w:color w:val="1F2937"/>
                <w:sz w:val="21"/>
                <w:szCs w:val="21"/>
                <w:rFonts w:ascii="Arial" w:cs="Arial" w:eastAsia="Arial" w:hAnsi="Arial"/>
              </w:rPr>
              <w:t xml:space="preserve">Enterprise</w:t>
            </w:r>
          </w:p>
        </w:tc>
        <w:tc>
          <w:tcPr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 w:val="false"/>
                <w:bCs w:val="false"/>
                <w:color w:val="1F2937"/>
                <w:sz w:val="21"/>
                <w:szCs w:val="21"/>
                <w:rFonts w:ascii="Arial" w:cs="Arial" w:eastAsia="Arial" w:hAnsi="Arial"/>
              </w:rPr>
              <w:t xml:space="preserve">$149/user/month (min 50 seats)</w:t>
            </w:r>
          </w:p>
        </w:tc>
        <w:tc>
          <w:tcPr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 w:val="false"/>
                <w:bCs w:val="false"/>
                <w:color w:val="1F2937"/>
                <w:sz w:val="21"/>
                <w:szCs w:val="21"/>
                <w:rFonts w:ascii="Arial" w:cs="Arial" w:eastAsia="Arial" w:hAnsi="Arial"/>
              </w:rPr>
              <w:t xml:space="preserve">SSO, RBAC, audit logs, SLA, dedicated CSM</w:t>
            </w:r>
          </w:p>
        </w:tc>
      </w:tr>
      <w:tr>
        <w:trPr>
          <w:tblHeader w:val="false"/>
        </w:trPr>
        <w:tc>
          <w:tcPr>
            <w:shd w:color="F3F4F6" w:val="solid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 w:val="false"/>
                <w:bCs w:val="false"/>
                <w:color w:val="1F2937"/>
                <w:sz w:val="21"/>
                <w:szCs w:val="21"/>
                <w:rFonts w:ascii="Arial" w:cs="Arial" w:eastAsia="Arial" w:hAnsi="Arial"/>
              </w:rPr>
              <w:t xml:space="preserve">On-Premise</w:t>
            </w:r>
          </w:p>
        </w:tc>
        <w:tc>
          <w:tcPr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 w:val="false"/>
                <w:bCs w:val="false"/>
                <w:color w:val="1F2937"/>
                <w:sz w:val="21"/>
                <w:szCs w:val="21"/>
                <w:rFonts w:ascii="Arial" w:cs="Arial" w:eastAsia="Arial" w:hAnsi="Arial"/>
              </w:rPr>
              <w:t xml:space="preserve">Custom contract</w:t>
            </w:r>
          </w:p>
        </w:tc>
        <w:tc>
          <w:tcPr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 w:val="false"/>
                <w:bCs w:val="false"/>
                <w:color w:val="1F2937"/>
                <w:sz w:val="21"/>
                <w:szCs w:val="21"/>
                <w:rFonts w:ascii="Arial" w:cs="Arial" w:eastAsia="Arial" w:hAnsi="Arial"/>
              </w:rPr>
              <w:t xml:space="preserve">Air-gapped deployment, custom models, 24/7 support</w:t>
            </w:r>
          </w:p>
        </w:tc>
      </w:tr>
    </w:tbl>
    <w:p>
      <w:r>
        <w:t xml:space="preserve"/>
      </w:r>
    </w:p>
    <w:p>
      <w:pPr>
        <w:pStyle w:val="Heading2"/>
        <w:spacing w:before="320" w:after="160"/>
      </w:pPr>
      <w:r>
        <w:rPr>
          <w:b/>
          <w:bCs/>
          <w:color w:val="1A2D5A"/>
          <w:sz w:val="28"/>
          <w:szCs w:val="28"/>
          <w:rFonts w:ascii="Arial" w:cs="Arial" w:eastAsia="Arial" w:hAnsi="Arial"/>
        </w:rPr>
        <w:t xml:space="preserve">3.2 Revenue Projections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1A2D5A" w:val="solid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  <w:rFonts w:ascii="Arial" w:cs="Arial" w:eastAsia="Arial" w:hAnsi="Arial"/>
              </w:rPr>
              <w:t xml:space="preserve">Period</w:t>
            </w:r>
          </w:p>
        </w:tc>
        <w:tc>
          <w:tcPr>
            <w:shd w:color="1A2D5A" w:val="solid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  <w:rFonts w:ascii="Arial" w:cs="Arial" w:eastAsia="Arial" w:hAnsi="Arial"/>
              </w:rPr>
              <w:t xml:space="preserve">Driver</w:t>
            </w:r>
          </w:p>
        </w:tc>
        <w:tc>
          <w:tcPr>
            <w:shd w:color="1A2D5A" w:val="solid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  <w:rFonts w:ascii="Arial" w:cs="Arial" w:eastAsia="Arial" w:hAnsi="Arial"/>
              </w:rPr>
              <w:t xml:space="preserve">Projected ARR</w:t>
            </w:r>
          </w:p>
        </w:tc>
      </w:tr>
      <w:tr>
        <w:trPr>
          <w:tblHeader w:val="false"/>
        </w:trPr>
        <w:tc>
          <w:tcPr>
            <w:shd w:color="F3F4F6" w:val="solid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 w:val="false"/>
                <w:bCs w:val="false"/>
                <w:color w:val="1F2937"/>
                <w:sz w:val="21"/>
                <w:szCs w:val="21"/>
                <w:rFonts w:ascii="Arial" w:cs="Arial" w:eastAsia="Arial" w:hAnsi="Arial"/>
              </w:rPr>
              <w:t xml:space="preserve">Year 1 (2025)</w:t>
            </w:r>
          </w:p>
        </w:tc>
        <w:tc>
          <w:tcPr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 w:val="false"/>
                <w:bCs w:val="false"/>
                <w:color w:val="1F2937"/>
                <w:sz w:val="21"/>
                <w:szCs w:val="21"/>
                <w:rFonts w:ascii="Arial" w:cs="Arial" w:eastAsia="Arial" w:hAnsi="Arial"/>
              </w:rPr>
              <w:t xml:space="preserve">5 enterprise pilots × $50K ARR each</w:t>
            </w:r>
          </w:p>
        </w:tc>
        <w:tc>
          <w:tcPr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 w:val="false"/>
                <w:bCs w:val="false"/>
                <w:color w:val="1F2937"/>
                <w:sz w:val="21"/>
                <w:szCs w:val="21"/>
                <w:rFonts w:ascii="Arial" w:cs="Arial" w:eastAsia="Arial" w:hAnsi="Arial"/>
              </w:rPr>
              <w:t xml:space="preserve">$250K ARR</w:t>
            </w:r>
          </w:p>
        </w:tc>
      </w:tr>
      <w:tr>
        <w:trPr>
          <w:tblHeader w:val="false"/>
        </w:trPr>
        <w:tc>
          <w:tcPr>
            <w:shd w:color="F3F4F6" w:val="solid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 w:val="false"/>
                <w:bCs w:val="false"/>
                <w:color w:val="1F2937"/>
                <w:sz w:val="21"/>
                <w:szCs w:val="21"/>
                <w:rFonts w:ascii="Arial" w:cs="Arial" w:eastAsia="Arial" w:hAnsi="Arial"/>
              </w:rPr>
              <w:t xml:space="preserve">Year 2 (2026)</w:t>
            </w:r>
          </w:p>
        </w:tc>
        <w:tc>
          <w:tcPr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 w:val="false"/>
                <w:bCs w:val="false"/>
                <w:color w:val="1F2937"/>
                <w:sz w:val="21"/>
                <w:szCs w:val="21"/>
                <w:rFonts w:ascii="Arial" w:cs="Arial" w:eastAsia="Arial" w:hAnsi="Arial"/>
              </w:rPr>
              <w:t xml:space="preserve">50 SMB + 10 enterprise accounts</w:t>
            </w:r>
          </w:p>
        </w:tc>
        <w:tc>
          <w:tcPr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 w:val="false"/>
                <w:bCs w:val="false"/>
                <w:color w:val="1F2937"/>
                <w:sz w:val="21"/>
                <w:szCs w:val="21"/>
                <w:rFonts w:ascii="Arial" w:cs="Arial" w:eastAsia="Arial" w:hAnsi="Arial"/>
              </w:rPr>
              <w:t xml:space="preserve">$3.2M ARR</w:t>
            </w:r>
          </w:p>
        </w:tc>
      </w:tr>
      <w:tr>
        <w:trPr>
          <w:tblHeader w:val="false"/>
        </w:trPr>
        <w:tc>
          <w:tcPr>
            <w:shd w:color="F3F4F6" w:val="solid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 w:val="false"/>
                <w:bCs w:val="false"/>
                <w:color w:val="1F2937"/>
                <w:sz w:val="21"/>
                <w:szCs w:val="21"/>
                <w:rFonts w:ascii="Arial" w:cs="Arial" w:eastAsia="Arial" w:hAnsi="Arial"/>
              </w:rPr>
              <w:t xml:space="preserve">Year 3 (2027)</w:t>
            </w:r>
          </w:p>
        </w:tc>
        <w:tc>
          <w:tcPr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 w:val="false"/>
                <w:bCs w:val="false"/>
                <w:color w:val="1F2937"/>
                <w:sz w:val="21"/>
                <w:szCs w:val="21"/>
                <w:rFonts w:ascii="Arial" w:cs="Arial" w:eastAsia="Arial" w:hAnsi="Arial"/>
              </w:rPr>
              <w:t xml:space="preserve">200 SMB + 40 enterprise + marketplace</w:t>
            </w:r>
          </w:p>
        </w:tc>
        <w:tc>
          <w:tcPr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 w:val="false"/>
                <w:bCs w:val="false"/>
                <w:color w:val="1F2937"/>
                <w:sz w:val="21"/>
                <w:szCs w:val="21"/>
                <w:rFonts w:ascii="Arial" w:cs="Arial" w:eastAsia="Arial" w:hAnsi="Arial"/>
              </w:rPr>
              <w:t xml:space="preserve">$15M ARR</w:t>
            </w:r>
          </w:p>
        </w:tc>
      </w:tr>
    </w:tbl>
    <w:p>
      <w:r>
        <w:t xml:space="preserve"/>
      </w:r>
    </w:p>
    <w:p>
      <w:pPr>
        <w:pStyle w:val="Heading1"/>
        <w:spacing w:before="400" w:after="200"/>
      </w:pPr>
      <w:r>
        <w:rPr>
          <w:b/>
          <w:bCs/>
          <w:color w:val="1A2D5A"/>
          <w:sz w:val="36"/>
          <w:szCs w:val="36"/>
          <w:rFonts w:ascii="Arial" w:cs="Arial" w:eastAsia="Arial" w:hAnsi="Arial"/>
        </w:rPr>
        <w:t xml:space="preserve">4. Go-to-Market Strategy</w:t>
      </w:r>
    </w:p>
    <w:p>
      <w:pPr>
        <w:pStyle w:val="Heading2"/>
        <w:spacing w:before="320" w:after="160"/>
      </w:pPr>
      <w:r>
        <w:rPr>
          <w:b/>
          <w:bCs/>
          <w:color w:val="1A2D5A"/>
          <w:sz w:val="28"/>
          <w:szCs w:val="28"/>
          <w:rFonts w:ascii="Arial" w:cs="Arial" w:eastAsia="Arial" w:hAnsi="Arial"/>
        </w:rPr>
        <w:t xml:space="preserve">4.1 Phase 1 — Developer-Led Growth (Q3–Q4 2025)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b w:val="false"/>
          <w:bCs w:val="false"/>
          <w:color w:val="1F2937"/>
          <w:sz w:val="22"/>
          <w:szCs w:val="22"/>
          <w:rFonts w:ascii="Arial" w:cs="Arial" w:eastAsia="Arial" w:hAnsi="Arial"/>
        </w:rPr>
        <w:t xml:space="preserve">Open-source Jarvis Community edition on GitHub (already live)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b w:val="false"/>
          <w:bCs w:val="false"/>
          <w:color w:val="1F2937"/>
          <w:sz w:val="22"/>
          <w:szCs w:val="22"/>
          <w:rFonts w:ascii="Arial" w:cs="Arial" w:eastAsia="Arial" w:hAnsi="Arial"/>
        </w:rPr>
        <w:t xml:space="preserve">Technical content: YouTube demos, DevRel blog posts, conference talks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b w:val="false"/>
          <w:bCs w:val="false"/>
          <w:color w:val="1F2937"/>
          <w:sz w:val="22"/>
          <w:szCs w:val="22"/>
          <w:rFonts w:ascii="Arial" w:cs="Arial" w:eastAsia="Arial" w:hAnsi="Arial"/>
        </w:rPr>
        <w:t xml:space="preserve">Discord community; 1,000 active developers as brand ambassadors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b w:val="false"/>
          <w:bCs w:val="false"/>
          <w:color w:val="1F2937"/>
          <w:sz w:val="22"/>
          <w:szCs w:val="22"/>
          <w:rFonts w:ascii="Arial" w:cs="Arial" w:eastAsia="Arial" w:hAnsi="Arial"/>
        </w:rPr>
        <w:t xml:space="preserve">GitHub Marketplace integration for Vibe Coding skill discovery</w:t>
      </w:r>
    </w:p>
    <w:p>
      <w:pPr>
        <w:pStyle w:val="Heading2"/>
        <w:spacing w:before="320" w:after="160"/>
      </w:pPr>
      <w:r>
        <w:rPr>
          <w:b/>
          <w:bCs/>
          <w:color w:val="1A2D5A"/>
          <w:sz w:val="28"/>
          <w:szCs w:val="28"/>
          <w:rFonts w:ascii="Arial" w:cs="Arial" w:eastAsia="Arial" w:hAnsi="Arial"/>
        </w:rPr>
        <w:t xml:space="preserve">4.2 Phase 2 — Enterprise Sales Motion (Q1–Q2 2026)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b w:val="false"/>
          <w:bCs w:val="false"/>
          <w:color w:val="1F2937"/>
          <w:sz w:val="22"/>
          <w:szCs w:val="22"/>
          <w:rFonts w:ascii="Arial" w:cs="Arial" w:eastAsia="Arial" w:hAnsi="Arial"/>
        </w:rPr>
        <w:t xml:space="preserve">Inside sales team (2 AEs); focus on IT/security-led buying centers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b w:val="false"/>
          <w:bCs w:val="false"/>
          <w:color w:val="1F2937"/>
          <w:sz w:val="22"/>
          <w:szCs w:val="22"/>
          <w:rFonts w:ascii="Arial" w:cs="Arial" w:eastAsia="Arial" w:hAnsi="Arial"/>
        </w:rPr>
        <w:t xml:space="preserve">Partner channel: system integrators (Accenture, Infosys, TCS) for Indian enterprise market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b w:val="false"/>
          <w:bCs w:val="false"/>
          <w:color w:val="1F2937"/>
          <w:sz w:val="22"/>
          <w:szCs w:val="22"/>
          <w:rFonts w:ascii="Arial" w:cs="Arial" w:eastAsia="Arial" w:hAnsi="Arial"/>
        </w:rPr>
        <w:t xml:space="preserve">Proof-of-concept program: 30-day free pilot with success metrics pre-agreed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b w:val="false"/>
          <w:bCs w:val="false"/>
          <w:color w:val="1F2937"/>
          <w:sz w:val="22"/>
          <w:szCs w:val="22"/>
          <w:rFonts w:ascii="Arial" w:cs="Arial" w:eastAsia="Arial" w:hAnsi="Arial"/>
        </w:rPr>
        <w:t xml:space="preserve">Analyst briefings: Gartner, Forrester, IDC for Magic Quadrant positioning</w:t>
      </w:r>
    </w:p>
    <w:p>
      <w:r>
        <w:t xml:space="preserve"/>
      </w:r>
    </w:p>
    <w:p>
      <w:pPr>
        <w:pStyle w:val="Heading1"/>
        <w:spacing w:before="400" w:after="200"/>
      </w:pPr>
      <w:r>
        <w:rPr>
          <w:b/>
          <w:bCs/>
          <w:color w:val="1A2D5A"/>
          <w:sz w:val="36"/>
          <w:szCs w:val="36"/>
          <w:rFonts w:ascii="Arial" w:cs="Arial" w:eastAsia="Arial" w:hAnsi="Arial"/>
        </w:rPr>
        <w:t xml:space="preserve">5. Team</w:t>
      </w:r>
    </w:p>
    <w:p>
      <w:pPr>
        <w:spacing w:before="80" w:after="80"/>
      </w:pPr>
      <w:r>
        <w:rPr>
          <w:b w:val="false"/>
          <w:bCs w:val="false"/>
          <w:color w:val="1F2937"/>
          <w:sz w:val="22"/>
          <w:szCs w:val="22"/>
          <w:rFonts w:ascii="Arial" w:cs="Arial" w:eastAsia="Arial" w:hAnsi="Arial"/>
        </w:rPr>
        <w:t xml:space="preserve">(Placeholder — to be completed with actual team bios)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1A2D5A" w:val="solid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  <w:rFonts w:ascii="Arial" w:cs="Arial" w:eastAsia="Arial" w:hAnsi="Arial"/>
              </w:rPr>
              <w:t xml:space="preserve">Role</w:t>
            </w:r>
          </w:p>
        </w:tc>
        <w:tc>
          <w:tcPr>
            <w:shd w:color="1A2D5A" w:val="solid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  <w:rFonts w:ascii="Arial" w:cs="Arial" w:eastAsia="Arial" w:hAnsi="Arial"/>
              </w:rPr>
              <w:t xml:space="preserve">Responsibility</w:t>
            </w:r>
          </w:p>
        </w:tc>
        <w:tc>
          <w:tcPr>
            <w:shd w:color="1A2D5A" w:val="solid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  <w:rFonts w:ascii="Arial" w:cs="Arial" w:eastAsia="Arial" w:hAnsi="Arial"/>
              </w:rPr>
              <w:t xml:space="preserve">Background</w:t>
            </w:r>
          </w:p>
        </w:tc>
      </w:tr>
      <w:tr>
        <w:trPr>
          <w:tblHeader w:val="false"/>
        </w:trPr>
        <w:tc>
          <w:tcPr>
            <w:shd w:color="F3F4F6" w:val="solid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 w:val="false"/>
                <w:bCs w:val="false"/>
                <w:color w:val="1F2937"/>
                <w:sz w:val="21"/>
                <w:szCs w:val="21"/>
                <w:rFonts w:ascii="Arial" w:cs="Arial" w:eastAsia="Arial" w:hAnsi="Arial"/>
              </w:rPr>
              <w:t xml:space="preserve">CEO / Co-Founder</w:t>
            </w:r>
          </w:p>
        </w:tc>
        <w:tc>
          <w:tcPr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 w:val="false"/>
                <w:bCs w:val="false"/>
                <w:color w:val="1F2937"/>
                <w:sz w:val="21"/>
                <w:szCs w:val="21"/>
                <w:rFonts w:ascii="Arial" w:cs="Arial" w:eastAsia="Arial" w:hAnsi="Arial"/>
              </w:rPr>
              <w:t xml:space="preserve">Vision, fundraising, enterprise sales</w:t>
            </w:r>
          </w:p>
        </w:tc>
        <w:tc>
          <w:tcPr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 w:val="false"/>
                <w:bCs w:val="false"/>
                <w:color w:val="1F2937"/>
                <w:sz w:val="21"/>
                <w:szCs w:val="21"/>
                <w:rFonts w:ascii="Arial" w:cs="Arial" w:eastAsia="Arial" w:hAnsi="Arial"/>
              </w:rPr>
              <w:t xml:space="preserve">Ex-[Company], [X] years AI/enterprise SaaS</w:t>
            </w:r>
          </w:p>
        </w:tc>
      </w:tr>
      <w:tr>
        <w:trPr>
          <w:tblHeader w:val="false"/>
        </w:trPr>
        <w:tc>
          <w:tcPr>
            <w:shd w:color="F3F4F6" w:val="solid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 w:val="false"/>
                <w:bCs w:val="false"/>
                <w:color w:val="1F2937"/>
                <w:sz w:val="21"/>
                <w:szCs w:val="21"/>
                <w:rFonts w:ascii="Arial" w:cs="Arial" w:eastAsia="Arial" w:hAnsi="Arial"/>
              </w:rPr>
              <w:t xml:space="preserve">CTO / Co-Founder</w:t>
            </w:r>
          </w:p>
        </w:tc>
        <w:tc>
          <w:tcPr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 w:val="false"/>
                <w:bCs w:val="false"/>
                <w:color w:val="1F2937"/>
                <w:sz w:val="21"/>
                <w:szCs w:val="21"/>
                <w:rFonts w:ascii="Arial" w:cs="Arial" w:eastAsia="Arial" w:hAnsi="Arial"/>
              </w:rPr>
              <w:t xml:space="preserve">Architecture, engineering leadership</w:t>
            </w:r>
          </w:p>
        </w:tc>
        <w:tc>
          <w:tcPr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 w:val="false"/>
                <w:bCs w:val="false"/>
                <w:color w:val="1F2937"/>
                <w:sz w:val="21"/>
                <w:szCs w:val="21"/>
                <w:rFonts w:ascii="Arial" w:cs="Arial" w:eastAsia="Arial" w:hAnsi="Arial"/>
              </w:rPr>
              <w:t xml:space="preserve">Ex-[Company], built ML systems at scale</w:t>
            </w:r>
          </w:p>
        </w:tc>
      </w:tr>
      <w:tr>
        <w:trPr>
          <w:tblHeader w:val="false"/>
        </w:trPr>
        <w:tc>
          <w:tcPr>
            <w:shd w:color="F3F4F6" w:val="solid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 w:val="false"/>
                <w:bCs w:val="false"/>
                <w:color w:val="1F2937"/>
                <w:sz w:val="21"/>
                <w:szCs w:val="21"/>
                <w:rFonts w:ascii="Arial" w:cs="Arial" w:eastAsia="Arial" w:hAnsi="Arial"/>
              </w:rPr>
              <w:t xml:space="preserve">Head of Security</w:t>
            </w:r>
          </w:p>
        </w:tc>
        <w:tc>
          <w:tcPr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 w:val="false"/>
                <w:bCs w:val="false"/>
                <w:color w:val="1F2937"/>
                <w:sz w:val="21"/>
                <w:szCs w:val="21"/>
                <w:rFonts w:ascii="Arial" w:cs="Arial" w:eastAsia="Arial" w:hAnsi="Arial"/>
              </w:rPr>
              <w:t xml:space="preserve">Biometric systems, compliance</w:t>
            </w:r>
          </w:p>
        </w:tc>
        <w:tc>
          <w:tcPr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 w:val="false"/>
                <w:bCs w:val="false"/>
                <w:color w:val="1F2937"/>
                <w:sz w:val="21"/>
                <w:szCs w:val="21"/>
                <w:rFonts w:ascii="Arial" w:cs="Arial" w:eastAsia="Arial" w:hAnsi="Arial"/>
              </w:rPr>
              <w:t xml:space="preserve">Ex-CISO, ISO 27001 lead auditor</w:t>
            </w:r>
          </w:p>
        </w:tc>
      </w:tr>
      <w:tr>
        <w:trPr>
          <w:tblHeader w:val="false"/>
        </w:trPr>
        <w:tc>
          <w:tcPr>
            <w:shd w:color="F3F4F6" w:val="solid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 w:val="false"/>
                <w:bCs w:val="false"/>
                <w:color w:val="1F2937"/>
                <w:sz w:val="21"/>
                <w:szCs w:val="21"/>
                <w:rFonts w:ascii="Arial" w:cs="Arial" w:eastAsia="Arial" w:hAnsi="Arial"/>
              </w:rPr>
              <w:t xml:space="preserve">Head of Product</w:t>
            </w:r>
          </w:p>
        </w:tc>
        <w:tc>
          <w:tcPr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 w:val="false"/>
                <w:bCs w:val="false"/>
                <w:color w:val="1F2937"/>
                <w:sz w:val="21"/>
                <w:szCs w:val="21"/>
                <w:rFonts w:ascii="Arial" w:cs="Arial" w:eastAsia="Arial" w:hAnsi="Arial"/>
              </w:rPr>
              <w:t xml:space="preserve">Roadmap, design, customer research</w:t>
            </w:r>
          </w:p>
        </w:tc>
        <w:tc>
          <w:tcPr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 w:val="false"/>
                <w:bCs w:val="false"/>
                <w:color w:val="1F2937"/>
                <w:sz w:val="21"/>
                <w:szCs w:val="21"/>
                <w:rFonts w:ascii="Arial" w:cs="Arial" w:eastAsia="Arial" w:hAnsi="Arial"/>
              </w:rPr>
              <w:t xml:space="preserve">Ex-[Product Co], shipped 0→1 enterprise products</w:t>
            </w:r>
          </w:p>
        </w:tc>
      </w:tr>
    </w:tbl>
    <w:p>
      <w:r>
        <w:t xml:space="preserve"/>
      </w:r>
    </w:p>
    <w:p>
      <w:pPr>
        <w:pStyle w:val="Heading1"/>
        <w:spacing w:before="400" w:after="200"/>
      </w:pPr>
      <w:r>
        <w:rPr>
          <w:b/>
          <w:bCs/>
          <w:color w:val="1A2D5A"/>
          <w:sz w:val="36"/>
          <w:szCs w:val="36"/>
          <w:rFonts w:ascii="Arial" w:cs="Arial" w:eastAsia="Arial" w:hAnsi="Arial"/>
        </w:rPr>
        <w:t xml:space="preserve">6. Funding Ask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color="1A2D5A" w:val="solid"/>
            <w:tcMar>
              <w:top w:type="dxa" w:w="200"/>
              <w:left w:type="dxa" w:w="300"/>
              <w:bottom w:type="dxa" w:w="200"/>
              <w:right w:type="dxa" w:w="300"/>
            </w:tcMar>
          </w:tcPr>
          <w:p>
            <w:pPr>
              <w:spacing w:before="60" w:after="60"/>
            </w:pPr>
            <w:r>
              <w:rPr>
                <w:b w:val="false"/>
                <w:bCs w:val="false"/>
                <w:color w:val="FFFFFF"/>
                <w:sz w:val="21"/>
                <w:szCs w:val="21"/>
                <w:rFonts w:ascii="Arial" w:cs="Arial" w:eastAsia="Arial" w:hAnsi="Arial"/>
              </w:rPr>
              <w:t xml:space="preserve">Seeking: $3M Seed Round</w:t>
            </w:r>
          </w:p>
          <w:p>
            <w:pPr>
              <w:spacing w:before="60" w:after="60"/>
            </w:pPr>
            <w:r>
              <w:rPr>
                <w:b w:val="false"/>
                <w:bCs w:val="false"/>
                <w:color w:val="FFFFFF"/>
                <w:sz w:val="21"/>
                <w:szCs w:val="21"/>
                <w:rFonts w:ascii="Arial" w:cs="Arial" w:eastAsia="Arial" w:hAnsi="Arial"/>
              </w:rPr>
              <w:t xml:space="preserve">Use of funds:</w:t>
            </w:r>
          </w:p>
          <w:p>
            <w:pPr>
              <w:spacing w:before="60" w:after="60"/>
            </w:pPr>
            <w:r>
              <w:rPr>
                <w:b w:val="false"/>
                <w:bCs w:val="false"/>
                <w:color w:val="FFFFFF"/>
                <w:sz w:val="21"/>
                <w:szCs w:val="21"/>
                <w:rFonts w:ascii="Arial" w:cs="Arial" w:eastAsia="Arial" w:hAnsi="Arial"/>
              </w:rPr>
              <w:t xml:space="preserve">  40% — Engineering (6 senior engineers, 18-month runway)</w:t>
            </w:r>
          </w:p>
          <w:p>
            <w:pPr>
              <w:spacing w:before="60" w:after="60"/>
            </w:pPr>
            <w:r>
              <w:rPr>
                <w:b w:val="false"/>
                <w:bCs w:val="false"/>
                <w:color w:val="FFFFFF"/>
                <w:sz w:val="21"/>
                <w:szCs w:val="21"/>
                <w:rFonts w:ascii="Arial" w:cs="Arial" w:eastAsia="Arial" w:hAnsi="Arial"/>
              </w:rPr>
              <w:t xml:space="preserve">  25% — Sales &amp; Marketing (2 AEs, content, events)</w:t>
            </w:r>
          </w:p>
          <w:p>
            <w:pPr>
              <w:spacing w:before="60" w:after="60"/>
            </w:pPr>
            <w:r>
              <w:rPr>
                <w:b w:val="false"/>
                <w:bCs w:val="false"/>
                <w:color w:val="FFFFFF"/>
                <w:sz w:val="21"/>
                <w:szCs w:val="21"/>
                <w:rFonts w:ascii="Arial" w:cs="Arial" w:eastAsia="Arial" w:hAnsi="Arial"/>
              </w:rPr>
              <w:t xml:space="preserve">  20% — Infrastructure &amp; Security (SOC 2 audit, compliance tooling)</w:t>
            </w:r>
          </w:p>
          <w:p>
            <w:pPr>
              <w:spacing w:before="60" w:after="60"/>
            </w:pPr>
            <w:r>
              <w:rPr>
                <w:b w:val="false"/>
                <w:bCs w:val="false"/>
                <w:color w:val="FFFFFF"/>
                <w:sz w:val="21"/>
                <w:szCs w:val="21"/>
                <w:rFonts w:ascii="Arial" w:cs="Arial" w:eastAsia="Arial" w:hAnsi="Arial"/>
              </w:rPr>
              <w:t xml:space="preserve">  10% — R&amp;D (Vibe Coding Engine, next-gen biometrics)</w:t>
            </w:r>
          </w:p>
          <w:p>
            <w:pPr>
              <w:spacing w:before="60" w:after="60"/>
            </w:pPr>
            <w:r>
              <w:rPr>
                <w:b w:val="false"/>
                <w:bCs w:val="false"/>
                <w:color w:val="FFFFFF"/>
                <w:sz w:val="21"/>
                <w:szCs w:val="21"/>
                <w:rFonts w:ascii="Arial" w:cs="Arial" w:eastAsia="Arial" w:hAnsi="Arial"/>
              </w:rPr>
              <w:t xml:space="preserve">   5% — Legal &amp; Operations</w:t>
            </w:r>
          </w:p>
        </w:tc>
      </w:tr>
    </w:tbl>
    <w:p>
      <w:r>
        <w:t xml:space="preserve"/>
      </w:r>
    </w:p>
    <w:p>
      <w:pPr>
        <w:pStyle w:val="Heading1"/>
        <w:spacing w:before="400" w:after="200"/>
      </w:pPr>
      <w:r>
        <w:rPr>
          <w:b/>
          <w:bCs/>
          <w:color w:val="1A2D5A"/>
          <w:sz w:val="36"/>
          <w:szCs w:val="36"/>
          <w:rFonts w:ascii="Arial" w:cs="Arial" w:eastAsia="Arial" w:hAnsi="Arial"/>
        </w:rPr>
        <w:t xml:space="preserve">7. Risk Factors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color="1A2D5A" w:val="solid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  <w:rFonts w:ascii="Arial" w:cs="Arial" w:eastAsia="Arial" w:hAnsi="Arial"/>
              </w:rPr>
              <w:t xml:space="preserve">Risk</w:t>
            </w:r>
          </w:p>
        </w:tc>
        <w:tc>
          <w:tcPr>
            <w:shd w:color="1A2D5A" w:val="solid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  <w:rFonts w:ascii="Arial" w:cs="Arial" w:eastAsia="Arial" w:hAnsi="Arial"/>
              </w:rPr>
              <w:t xml:space="preserve">Mitigation</w:t>
            </w:r>
          </w:p>
        </w:tc>
      </w:tr>
      <w:tr>
        <w:trPr>
          <w:tblHeader w:val="false"/>
        </w:trPr>
        <w:tc>
          <w:tcPr>
            <w:shd w:color="F3F4F6" w:val="solid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 w:val="false"/>
                <w:bCs w:val="false"/>
                <w:color w:val="1F2937"/>
                <w:sz w:val="21"/>
                <w:szCs w:val="21"/>
                <w:rFonts w:ascii="Arial" w:cs="Arial" w:eastAsia="Arial" w:hAnsi="Arial"/>
              </w:rPr>
              <w:t xml:space="preserve">LLM API dependency</w:t>
            </w:r>
          </w:p>
        </w:tc>
        <w:tc>
          <w:tcPr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 w:val="false"/>
                <w:bCs w:val="false"/>
                <w:color w:val="1F2937"/>
                <w:sz w:val="21"/>
                <w:szCs w:val="21"/>
                <w:rFonts w:ascii="Arial" w:cs="Arial" w:eastAsia="Arial" w:hAnsi="Arial"/>
              </w:rPr>
              <w:t xml:space="preserve">Build local model fallback; diversify providers</w:t>
            </w:r>
          </w:p>
        </w:tc>
      </w:tr>
      <w:tr>
        <w:trPr>
          <w:tblHeader w:val="false"/>
        </w:trPr>
        <w:tc>
          <w:tcPr>
            <w:shd w:color="F3F4F6" w:val="solid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 w:val="false"/>
                <w:bCs w:val="false"/>
                <w:color w:val="1F2937"/>
                <w:sz w:val="21"/>
                <w:szCs w:val="21"/>
                <w:rFonts w:ascii="Arial" w:cs="Arial" w:eastAsia="Arial" w:hAnsi="Arial"/>
              </w:rPr>
              <w:t xml:space="preserve">Biometric regulation changes</w:t>
            </w:r>
          </w:p>
        </w:tc>
        <w:tc>
          <w:tcPr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 w:val="false"/>
                <w:bCs w:val="false"/>
                <w:color w:val="1F2937"/>
                <w:sz w:val="21"/>
                <w:szCs w:val="21"/>
                <w:rFonts w:ascii="Arial" w:cs="Arial" w:eastAsia="Arial" w:hAnsi="Arial"/>
              </w:rPr>
              <w:t xml:space="preserve">GDPR/PDPA compliance architecture; consent-first design</w:t>
            </w:r>
          </w:p>
        </w:tc>
      </w:tr>
      <w:tr>
        <w:trPr>
          <w:tblHeader w:val="false"/>
        </w:trPr>
        <w:tc>
          <w:tcPr>
            <w:shd w:color="F3F4F6" w:val="solid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 w:val="false"/>
                <w:bCs w:val="false"/>
                <w:color w:val="1F2937"/>
                <w:sz w:val="21"/>
                <w:szCs w:val="21"/>
                <w:rFonts w:ascii="Arial" w:cs="Arial" w:eastAsia="Arial" w:hAnsi="Arial"/>
              </w:rPr>
              <w:t xml:space="preserve">Big Tech competition (Microsoft, Google)</w:t>
            </w:r>
          </w:p>
        </w:tc>
        <w:tc>
          <w:tcPr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 w:val="false"/>
                <w:bCs w:val="false"/>
                <w:color w:val="1F2937"/>
                <w:sz w:val="21"/>
                <w:szCs w:val="21"/>
                <w:rFonts w:ascii="Arial" w:cs="Arial" w:eastAsia="Arial" w:hAnsi="Arial"/>
              </w:rPr>
              <w:t xml:space="preserve">Speed, vertical focus, open-source community moat</w:t>
            </w:r>
          </w:p>
        </w:tc>
      </w:tr>
      <w:tr>
        <w:trPr>
          <w:tblHeader w:val="false"/>
        </w:trPr>
        <w:tc>
          <w:tcPr>
            <w:shd w:color="F3F4F6" w:val="solid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 w:val="false"/>
                <w:bCs w:val="false"/>
                <w:color w:val="1F2937"/>
                <w:sz w:val="21"/>
                <w:szCs w:val="21"/>
                <w:rFonts w:ascii="Arial" w:cs="Arial" w:eastAsia="Arial" w:hAnsi="Arial"/>
              </w:rPr>
              <w:t xml:space="preserve">Talent acquisition in AI</w:t>
            </w:r>
          </w:p>
        </w:tc>
        <w:tc>
          <w:tcPr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 w:val="false"/>
                <w:bCs w:val="false"/>
                <w:color w:val="1F2937"/>
                <w:sz w:val="21"/>
                <w:szCs w:val="21"/>
                <w:rFonts w:ascii="Arial" w:cs="Arial" w:eastAsia="Arial" w:hAnsi="Arial"/>
              </w:rPr>
              <w:t xml:space="preserve">Remote-first, equity-heavy compensation, open-source reputation</w:t>
            </w:r>
          </w:p>
        </w:tc>
      </w:tr>
      <w:tr>
        <w:trPr>
          <w:tblHeader w:val="false"/>
        </w:trPr>
        <w:tc>
          <w:tcPr>
            <w:shd w:color="F3F4F6" w:val="solid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 w:val="false"/>
                <w:bCs w:val="false"/>
                <w:color w:val="1F2937"/>
                <w:sz w:val="21"/>
                <w:szCs w:val="21"/>
                <w:rFonts w:ascii="Arial" w:cs="Arial" w:eastAsia="Arial" w:hAnsi="Arial"/>
              </w:rPr>
              <w:t xml:space="preserve">Hardware requirements for local inference</w:t>
            </w:r>
          </w:p>
        </w:tc>
        <w:tc>
          <w:tcPr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 w:val="false"/>
                <w:bCs w:val="false"/>
                <w:color w:val="1F2937"/>
                <w:sz w:val="21"/>
                <w:szCs w:val="21"/>
                <w:rFonts w:ascii="Arial" w:cs="Arial" w:eastAsia="Arial" w:hAnsi="Arial"/>
              </w:rPr>
              <w:t xml:space="preserve">Progressive enhancement; cloud fallback for low-spec machines</w:t>
            </w:r>
          </w:p>
        </w:tc>
      </w:tr>
    </w:tbl>
    <w:p>
      <w:r>
        <w:t xml:space="preserve"/>
      </w:r>
    </w:p>
    <w:p>
      <w:pPr>
        <w:pStyle w:val="Heading1"/>
        <w:spacing w:before="400" w:after="200"/>
      </w:pPr>
      <w:r>
        <w:rPr>
          <w:b/>
          <w:bCs/>
          <w:color w:val="1A2D5A"/>
          <w:sz w:val="36"/>
          <w:szCs w:val="36"/>
          <w:rFonts w:ascii="Arial" w:cs="Arial" w:eastAsia="Arial" w:hAnsi="Arial"/>
        </w:rPr>
        <w:t xml:space="preserve">8. Appendix — Key Metrics Dashboard</w:t>
      </w:r>
    </w:p>
    <w:p>
      <w:pPr>
        <w:spacing w:before="80" w:after="80"/>
      </w:pPr>
      <w:r>
        <w:rPr>
          <w:b w:val="false"/>
          <w:bCs w:val="false"/>
          <w:color w:val="1F2937"/>
          <w:sz w:val="22"/>
          <w:szCs w:val="22"/>
          <w:rFonts w:ascii="Arial" w:cs="Arial" w:eastAsia="Arial" w:hAnsi="Arial"/>
        </w:rPr>
        <w:t xml:space="preserve">To be tracked monthly and shared with investors via a real-time dashboard: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b w:val="false"/>
          <w:bCs w:val="false"/>
          <w:color w:val="1F2937"/>
          <w:sz w:val="22"/>
          <w:szCs w:val="22"/>
          <w:rFonts w:ascii="Arial" w:cs="Arial" w:eastAsia="Arial" w:hAnsi="Arial"/>
        </w:rPr>
        <w:t xml:space="preserve">MRR / ARR growth rate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b w:val="false"/>
          <w:bCs w:val="false"/>
          <w:color w:val="1F2937"/>
          <w:sz w:val="22"/>
          <w:szCs w:val="22"/>
          <w:rFonts w:ascii="Arial" w:cs="Arial" w:eastAsia="Arial" w:hAnsi="Arial"/>
        </w:rPr>
        <w:t xml:space="preserve">Net Revenue Retention (NRR) — target &gt; 120%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b w:val="false"/>
          <w:bCs w:val="false"/>
          <w:color w:val="1F2937"/>
          <w:sz w:val="22"/>
          <w:szCs w:val="22"/>
          <w:rFonts w:ascii="Arial" w:cs="Arial" w:eastAsia="Arial" w:hAnsi="Arial"/>
        </w:rPr>
        <w:t xml:space="preserve">Customer Acquisition Cost (CAC) vs. Lifetime Value (LTV) — target LTV:CAC &gt; 5×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b w:val="false"/>
          <w:bCs w:val="false"/>
          <w:color w:val="1F2937"/>
          <w:sz w:val="22"/>
          <w:szCs w:val="22"/>
          <w:rFonts w:ascii="Arial" w:cs="Arial" w:eastAsia="Arial" w:hAnsi="Arial"/>
        </w:rPr>
        <w:t xml:space="preserve">Time-to-Value (TTV) — from signup to first successful command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b w:val="false"/>
          <w:bCs w:val="false"/>
          <w:color w:val="1F2937"/>
          <w:sz w:val="22"/>
          <w:szCs w:val="22"/>
          <w:rFonts w:ascii="Arial" w:cs="Arial" w:eastAsia="Arial" w:hAnsi="Arial"/>
        </w:rPr>
        <w:t xml:space="preserve">GitHub stars and fork velocity (community health proxy)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b w:val="false"/>
          <w:bCs w:val="false"/>
          <w:color w:val="1F2937"/>
          <w:sz w:val="22"/>
          <w:szCs w:val="22"/>
          <w:rFonts w:ascii="Arial" w:cs="Arial" w:eastAsia="Arial" w:hAnsi="Arial"/>
        </w:rPr>
        <w:t xml:space="preserve">NPS score across tiers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Arial" w:cs="Arial" w:eastAsia="Arial" w:hAnsi="Arial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400" w:after="200"/>
      <w:outlineLvl w:val="0"/>
    </w:pPr>
    <w:rPr>
      <w:b/>
      <w:bCs/>
      <w:color w:val="1A2D5A"/>
      <w:sz w:val="36"/>
      <w:szCs w:val="36"/>
      <w:rFonts w:ascii="Arial" w:cs="Arial" w:eastAsia="Arial" w:hAnsi="Arial"/>
    </w:rPr>
  </w:style>
  <w:style w:type="paragraph" w:styleId="Heading2">
    <w:name w:val="Heading 2"/>
    <w:basedOn w:val="Normal"/>
    <w:next w:val="Normal"/>
    <w:qFormat/>
    <w:pPr>
      <w:spacing w:before="320" w:after="160"/>
      <w:outlineLvl w:val="1"/>
    </w:pPr>
    <w:rPr>
      <w:b/>
      <w:bCs/>
      <w:color w:val="1A2D5A"/>
      <w:sz w:val="28"/>
      <w:szCs w:val="28"/>
      <w:rFonts w:ascii="Arial" w:cs="Arial" w:eastAsia="Arial" w:hAnsi="Arial"/>
    </w:rPr>
  </w:style>
  <w:style w:type="paragraph" w:styleId="Heading3">
    <w:name w:val="Heading 3"/>
    <w:basedOn w:val="Normal"/>
    <w:next w:val="Normal"/>
    <w:qFormat/>
    <w:pPr>
      <w:spacing w:before="200" w:after="100"/>
      <w:outlineLvl w:val="2"/>
    </w:pPr>
    <w:rPr>
      <w:b/>
      <w:bCs/>
      <w:color w:val="0D1B2A"/>
      <w:sz w:val="24"/>
      <w:szCs w:val="24"/>
      <w:rFonts w:ascii="Arial" w:cs="Arial" w:eastAsia="Arial" w:hAnsi="Arial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2026-06-26T18:37:25.438Z</dcterms:created>
  <dcterms:modified xsi:type="dcterms:W3CDTF">2026-06-26T18:37:25.439Z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