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00B4D8"/>
          <w:sz w:val="22"/>
          <w:szCs w:val="22"/>
          <w:rFonts w:ascii="Arial" w:cs="Arial" w:eastAsia="Arial" w:hAnsi="Arial"/>
        </w:rPr>
        <w:t xml:space="preserve">ANTIGRAVITY INC.</w:t>
      </w:r>
    </w:p>
    <w:p>
      <w:pPr>
        <w:spacing w:before="0" w:after="100"/>
      </w:pPr>
      <w:r>
        <w:rPr>
          <w:b/>
          <w:bCs/>
          <w:color w:val="1A2D5A"/>
          <w:sz w:val="48"/>
          <w:szCs w:val="48"/>
          <w:rFonts w:ascii="Arial" w:cs="Arial" w:eastAsia="Arial" w:hAnsi="Arial"/>
        </w:rPr>
        <w:t xml:space="preserve">Enterprise Business Plan</w:t>
      </w:r>
    </w:p>
    <w:p>
      <w:pPr>
        <w:spacing w:before="0" w:after="80"/>
      </w:pPr>
      <w:r>
        <w:rPr>
          <w:b w:val="false"/>
          <w:bCs w:val="false"/>
          <w:color w:val="0D1B2A"/>
          <w:sz w:val="26"/>
          <w:szCs w:val="26"/>
          <w:rFonts w:ascii="Arial" w:cs="Arial" w:eastAsia="Arial" w:hAnsi="Arial"/>
        </w:rPr>
        <w:t xml:space="preserve">Jarvis-2025: Grounded Local AI Security Platform</w:t>
      </w:r>
    </w:p>
    <w:p>
      <w:pPr>
        <w:spacing w:before="0" w:after="400"/>
      </w:pPr>
      <w:r>
        <w:rPr>
          <w:b w:val="false"/>
          <w:bCs w:val="false"/>
          <w:color w:val="6B7280"/>
          <w:sz w:val="20"/>
          <w:szCs w:val="20"/>
          <w:rFonts w:ascii="Arial" w:cs="Arial" w:eastAsia="Arial" w:hAnsi="Arial"/>
        </w:rPr>
        <w:t xml:space="preserve">Confidential — June 2026   |   For Investor and Partner Review</w:t>
      </w:r>
    </w:p>
    <w:p>
      <w:pPr>
        <w:pBdr>
          <w:bottom w:val="single" w:color="00B4D8" w:sz="4"/>
        </w:pBdr>
        <w:spacing w:before="200" w:after="200"/>
      </w:pPr>
    </w:p>
    <w:p>
      <w:r>
        <w:t xml:space="preserve"/>
      </w:r>
    </w:p>
    <w:p>
      <w:pPr>
        <w:pStyle w:val="Heading1"/>
        <w:spacing w:before="400" w:after="200"/>
      </w:pPr>
      <w:r>
        <w:rPr>
          <w:b/>
          <w:bCs/>
          <w:color w:val="1A2D5A"/>
          <w:sz w:val="36"/>
          <w:szCs w:val="36"/>
          <w:rFonts w:ascii="Arial" w:cs="Arial" w:eastAsia="Arial" w:hAnsi="Arial"/>
        </w:rPr>
        <w:t xml:space="preserve">1. Company Overview</w:t>
      </w:r>
    </w:p>
    <w:p>
      <w:pPr>
        <w:spacing w:before="80" w:after="80"/>
      </w:pPr>
      <w:r>
        <w:rPr>
          <w:b w:val="false"/>
          <w:bCs w:val="false"/>
          <w:color w:val="1F2937"/>
          <w:sz w:val="22"/>
          <w:szCs w:val="22"/>
          <w:rFonts w:ascii="Arial" w:cs="Arial" w:eastAsia="Arial" w:hAnsi="Arial"/>
        </w:rPr>
        <w:t xml:space="preserve">Antigravity Inc. is a deep-tech AI company building enterprise-grade AI assistant infrastructure. Our flagship product, Jarvis-2025, combines local biometric security (OpenCV face recognition), edge UI execution (Eel), multilingual voice capabilities, and AI reasoning adapters to deliver an air-gapped, privacy-compliant workflow assistant for corporate environments.</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1A2D5A" w:val="solid"/>
            <w:tcMar>
              <w:top w:type="dxa" w:w="200"/>
              <w:left w:type="dxa" w:w="300"/>
              <w:bottom w:type="dxa" w:w="200"/>
              <w:right w:type="dxa" w:w="300"/>
            </w:tcMar>
          </w:tcPr>
          <w:p>
            <w:pPr>
              <w:spacing w:before="60" w:after="60"/>
            </w:pPr>
            <w:r>
              <w:rPr>
                <w:b w:val="false"/>
                <w:bCs w:val="false"/>
                <w:color w:val="FFFFFF"/>
                <w:sz w:val="21"/>
                <w:szCs w:val="21"/>
                <w:rFonts w:ascii="Arial" w:cs="Arial" w:eastAsia="Arial" w:hAnsi="Arial"/>
              </w:rPr>
              <w:t xml:space="preserve">Mission: Eliminate enterprise context-switching through local biometrics and local voice automation.</w:t>
            </w:r>
          </w:p>
          <w:p>
            <w:pPr>
              <w:spacing w:before="60" w:after="60"/>
            </w:pPr>
            <w:r>
              <w:rPr>
                <w:b w:val="false"/>
                <w:bCs w:val="false"/>
                <w:color w:val="FFFFFF"/>
                <w:sz w:val="21"/>
                <w:szCs w:val="21"/>
                <w:rFonts w:ascii="Arial" w:cs="Arial" w:eastAsia="Arial" w:hAnsi="Arial"/>
              </w:rPr>
              <w:t xml:space="preserve">Founded: 2025</w:t>
            </w:r>
          </w:p>
          <w:p>
            <w:pPr>
              <w:spacing w:before="60" w:after="60"/>
            </w:pPr>
            <w:r>
              <w:rPr>
                <w:b w:val="false"/>
                <w:bCs w:val="false"/>
                <w:color w:val="FFFFFF"/>
                <w:sz w:val="21"/>
                <w:szCs w:val="21"/>
                <w:rFonts w:ascii="Arial" w:cs="Arial" w:eastAsia="Arial" w:hAnsi="Arial"/>
              </w:rPr>
              <w:t xml:space="preserve">Stage: Seed</w:t>
            </w:r>
          </w:p>
        </w:tc>
      </w:tr>
    </w:tbl>
    <w:p>
      <w:r>
        <w:t xml:space="preserve"/>
      </w:r>
    </w:p>
    <w:p>
      <w:pPr>
        <w:pStyle w:val="Heading1"/>
        <w:spacing w:before="400" w:after="200"/>
      </w:pPr>
      <w:r>
        <w:rPr>
          <w:b/>
          <w:bCs/>
          <w:color w:val="1A2D5A"/>
          <w:sz w:val="36"/>
          <w:szCs w:val="36"/>
          <w:rFonts w:ascii="Arial" w:cs="Arial" w:eastAsia="Arial" w:hAnsi="Arial"/>
        </w:rPr>
        <w:t xml:space="preserve">2. Market Opportunity</w:t>
      </w:r>
    </w:p>
    <w:p>
      <w:pPr>
        <w:pStyle w:val="Heading2"/>
        <w:spacing w:before="320" w:after="160"/>
      </w:pPr>
      <w:r>
        <w:rPr>
          <w:b/>
          <w:bCs/>
          <w:color w:val="1A2D5A"/>
          <w:sz w:val="28"/>
          <w:szCs w:val="28"/>
          <w:rFonts w:ascii="Arial" w:cs="Arial" w:eastAsia="Arial" w:hAnsi="Arial"/>
        </w:rPr>
        <w:t xml:space="preserve">2.1 Competitive Moat</w:t>
      </w:r>
    </w:p>
    <w:p>
      <w:pPr>
        <w:spacing w:before="80" w:after="80"/>
      </w:pPr>
      <w:r>
        <w:rPr>
          <w:b w:val="false"/>
          <w:bCs w:val="false"/>
          <w:color w:val="1F2937"/>
          <w:sz w:val="22"/>
          <w:szCs w:val="22"/>
          <w:rFonts w:ascii="Arial" w:cs="Arial" w:eastAsia="Arial" w:hAnsi="Arial"/>
        </w:rPr>
        <w:t xml:space="preserve">Unlike general cloud assistants (Siri, ChatGPT Enterprise), Jarvis-2025 runs core desktop automation locally. It interfaces with local applications, retrieves configuration scripts from an embedded SQLite base, and utilizes local SAPI5 voices. This provides an absolute privacy barrier for defense, healthcare, and finance sectors.</w:t>
      </w:r>
    </w:p>
    <w:p>
      <w:r>
        <w:t xml:space="preserve"/>
      </w:r>
    </w:p>
    <w:p>
      <w:pPr>
        <w:pStyle w:val="Heading1"/>
        <w:spacing w:before="400" w:after="200"/>
      </w:pPr>
      <w:r>
        <w:rPr>
          <w:b/>
          <w:bCs/>
          <w:color w:val="1A2D5A"/>
          <w:sz w:val="36"/>
          <w:szCs w:val="36"/>
          <w:rFonts w:ascii="Arial" w:cs="Arial" w:eastAsia="Arial" w:hAnsi="Arial"/>
        </w:rPr>
        <w:t xml:space="preserve">3. Revenue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A2D5A" w:val="solid"/>
            <w:tcMar>
              <w:top w:type="dxa" w:w="100"/>
              <w:left w:type="dxa" w:w="150"/>
              <w:bottom w:type="dxa" w:w="100"/>
              <w:right w:type="dxa" w:w="150"/>
            </w:tcMar>
          </w:tcPr>
          <w:p>
            <w:r>
              <w:rPr>
                <w:b/>
                <w:bCs/>
                <w:color w:val="FFFFFF"/>
                <w:sz w:val="21"/>
                <w:szCs w:val="21"/>
                <w:rFonts w:ascii="Arial" w:cs="Arial" w:eastAsia="Arial" w:hAnsi="Arial"/>
              </w:rPr>
              <w:t xml:space="preserve">Tier</w:t>
            </w:r>
          </w:p>
        </w:tc>
        <w:tc>
          <w:tcPr>
            <w:shd w:color="1A2D5A" w:val="solid"/>
            <w:tcMar>
              <w:top w:type="dxa" w:w="100"/>
              <w:left w:type="dxa" w:w="150"/>
              <w:bottom w:type="dxa" w:w="100"/>
              <w:right w:type="dxa" w:w="150"/>
            </w:tcMar>
          </w:tcPr>
          <w:p>
            <w:r>
              <w:rPr>
                <w:b/>
                <w:bCs/>
                <w:color w:val="FFFFFF"/>
                <w:sz w:val="21"/>
                <w:szCs w:val="21"/>
                <w:rFonts w:ascii="Arial" w:cs="Arial" w:eastAsia="Arial" w:hAnsi="Arial"/>
              </w:rPr>
              <w:t xml:space="preserve">Price</w:t>
            </w:r>
          </w:p>
        </w:tc>
        <w:tc>
          <w:tcPr>
            <w:shd w:color="1A2D5A" w:val="solid"/>
            <w:tcMar>
              <w:top w:type="dxa" w:w="100"/>
              <w:left w:type="dxa" w:w="150"/>
              <w:bottom w:type="dxa" w:w="100"/>
              <w:right w:type="dxa" w:w="150"/>
            </w:tcMar>
          </w:tcPr>
          <w:p>
            <w:r>
              <w:rPr>
                <w:b/>
                <w:bCs/>
                <w:color w:val="FFFFFF"/>
                <w:sz w:val="21"/>
                <w:szCs w:val="21"/>
                <w:rFonts w:ascii="Arial" w:cs="Arial" w:eastAsia="Arial" w:hAnsi="Arial"/>
              </w:rPr>
              <w:t xml:space="preserve">Features</w:t>
            </w:r>
          </w:p>
        </w:tc>
      </w:tr>
      <w:tr>
        <w:trPr>
          <w:tblHeader w:val="false"/>
        </w:trPr>
        <w:tc>
          <w:tcPr>
            <w:shd w:color="F3F4F6" w:val="solid"/>
            <w:tcMar>
              <w:top w:type="dxa" w:w="100"/>
              <w:left w:type="dxa" w:w="150"/>
              <w:bottom w:type="dxa" w:w="100"/>
              <w:right w:type="dxa" w:w="150"/>
            </w:tcMar>
          </w:tcPr>
          <w:p>
            <w:r>
              <w:rPr>
                <w:b w:val="false"/>
                <w:bCs w:val="false"/>
                <w:color w:val="1F2937"/>
                <w:sz w:val="21"/>
                <w:szCs w:val="21"/>
                <w:rFonts w:ascii="Arial" w:cs="Arial" w:eastAsia="Arial" w:hAnsi="Arial"/>
              </w:rPr>
              <w:t xml:space="preserve">Developer License</w:t>
            </w:r>
          </w:p>
        </w:tc>
        <w:tc>
          <w:tcPr>
            <w:tcMar>
              <w:top w:type="dxa" w:w="100"/>
              <w:left w:type="dxa" w:w="150"/>
              <w:bottom w:type="dxa" w:w="100"/>
              <w:right w:type="dxa" w:w="150"/>
            </w:tcMar>
          </w:tcPr>
          <w:p>
            <w:r>
              <w:rPr>
                <w:b w:val="false"/>
                <w:bCs w:val="false"/>
                <w:color w:val="1F2937"/>
                <w:sz w:val="21"/>
                <w:szCs w:val="21"/>
                <w:rFonts w:ascii="Arial" w:cs="Arial" w:eastAsia="Arial" w:hAnsi="Arial"/>
              </w:rPr>
              <w:t xml:space="preserve">Free</w:t>
            </w:r>
          </w:p>
        </w:tc>
        <w:tc>
          <w:tcPr>
            <w:tcMar>
              <w:top w:type="dxa" w:w="100"/>
              <w:left w:type="dxa" w:w="150"/>
              <w:bottom w:type="dxa" w:w="100"/>
              <w:right w:type="dxa" w:w="150"/>
            </w:tcMar>
          </w:tcPr>
          <w:p>
            <w:r>
              <w:rPr>
                <w:b w:val="false"/>
                <w:bCs w:val="false"/>
                <w:color w:val="1F2937"/>
                <w:sz w:val="21"/>
                <w:szCs w:val="21"/>
                <w:rFonts w:ascii="Arial" w:cs="Arial" w:eastAsia="Arial" w:hAnsi="Arial"/>
              </w:rPr>
              <w:t xml:space="preserve">Access to open-source base, local SQLite, basic English triggers</w:t>
            </w:r>
          </w:p>
        </w:tc>
      </w:tr>
      <w:tr>
        <w:trPr>
          <w:tblHeader w:val="false"/>
        </w:trPr>
        <w:tc>
          <w:tcPr>
            <w:shd w:color="F3F4F6" w:val="solid"/>
            <w:tcMar>
              <w:top w:type="dxa" w:w="100"/>
              <w:left w:type="dxa" w:w="150"/>
              <w:bottom w:type="dxa" w:w="100"/>
              <w:right w:type="dxa" w:w="150"/>
            </w:tcMar>
          </w:tcPr>
          <w:p>
            <w:r>
              <w:rPr>
                <w:b w:val="false"/>
                <w:bCs w:val="false"/>
                <w:color w:val="1F2937"/>
                <w:sz w:val="21"/>
                <w:szCs w:val="21"/>
                <w:rFonts w:ascii="Arial" w:cs="Arial" w:eastAsia="Arial" w:hAnsi="Arial"/>
              </w:rPr>
              <w:t xml:space="preserve">Enterprise Seat</w:t>
            </w:r>
          </w:p>
        </w:tc>
        <w:tc>
          <w:tcPr>
            <w:tcMar>
              <w:top w:type="dxa" w:w="100"/>
              <w:left w:type="dxa" w:w="150"/>
              <w:bottom w:type="dxa" w:w="100"/>
              <w:right w:type="dxa" w:w="150"/>
            </w:tcMar>
          </w:tcPr>
          <w:p>
            <w:r>
              <w:rPr>
                <w:b w:val="false"/>
                <w:bCs w:val="false"/>
                <w:color w:val="1F2937"/>
                <w:sz w:val="21"/>
                <w:szCs w:val="21"/>
                <w:rFonts w:ascii="Arial" w:cs="Arial" w:eastAsia="Arial" w:hAnsi="Arial"/>
              </w:rPr>
              <w:t xml:space="preserve">$99/user/month</w:t>
            </w:r>
          </w:p>
        </w:tc>
        <w:tc>
          <w:tcPr>
            <w:tcMar>
              <w:top w:type="dxa" w:w="100"/>
              <w:left w:type="dxa" w:w="150"/>
              <w:bottom w:type="dxa" w:w="100"/>
              <w:right w:type="dxa" w:w="150"/>
            </w:tcMar>
          </w:tcPr>
          <w:p>
            <w:r>
              <w:rPr>
                <w:b w:val="false"/>
                <w:bCs w:val="false"/>
                <w:color w:val="1F2937"/>
                <w:sz w:val="21"/>
                <w:szCs w:val="21"/>
                <w:rFonts w:ascii="Arial" w:cs="Arial" w:eastAsia="Arial" w:hAnsi="Arial"/>
              </w:rPr>
              <w:t xml:space="preserve">SSO integration, centralized trainer.yml biometrics management, SLA</w:t>
            </w:r>
          </w:p>
        </w:tc>
      </w:tr>
      <w:tr>
        <w:trPr>
          <w:tblHeader w:val="false"/>
        </w:trPr>
        <w:tc>
          <w:tcPr>
            <w:shd w:color="F3F4F6" w:val="solid"/>
            <w:tcMar>
              <w:top w:type="dxa" w:w="100"/>
              <w:left w:type="dxa" w:w="150"/>
              <w:bottom w:type="dxa" w:w="100"/>
              <w:right w:type="dxa" w:w="150"/>
            </w:tcMar>
          </w:tcPr>
          <w:p>
            <w:r>
              <w:rPr>
                <w:b w:val="false"/>
                <w:bCs w:val="false"/>
                <w:color w:val="1F2937"/>
                <w:sz w:val="21"/>
                <w:szCs w:val="21"/>
                <w:rFonts w:ascii="Arial" w:cs="Arial" w:eastAsia="Arial" w:hAnsi="Arial"/>
              </w:rPr>
              <w:t xml:space="preserve">On-Premise Defense</w:t>
            </w:r>
          </w:p>
        </w:tc>
        <w:tc>
          <w:tcPr>
            <w:tcMar>
              <w:top w:type="dxa" w:w="100"/>
              <w:left w:type="dxa" w:w="150"/>
              <w:bottom w:type="dxa" w:w="100"/>
              <w:right w:type="dxa" w:w="150"/>
            </w:tcMar>
          </w:tcPr>
          <w:p>
            <w:r>
              <w:rPr>
                <w:b w:val="false"/>
                <w:bCs w:val="false"/>
                <w:color w:val="1F2937"/>
                <w:sz w:val="21"/>
                <w:szCs w:val="21"/>
                <w:rFonts w:ascii="Arial" w:cs="Arial" w:eastAsia="Arial" w:hAnsi="Arial"/>
              </w:rPr>
              <w:t xml:space="preserve">Custom Contract</w:t>
            </w:r>
          </w:p>
        </w:tc>
        <w:tc>
          <w:tcPr>
            <w:tcMar>
              <w:top w:type="dxa" w:w="100"/>
              <w:left w:type="dxa" w:w="150"/>
              <w:bottom w:type="dxa" w:w="100"/>
              <w:right w:type="dxa" w:w="150"/>
            </w:tcMar>
          </w:tcPr>
          <w:p>
            <w:r>
              <w:rPr>
                <w:b w:val="false"/>
                <w:bCs w:val="false"/>
                <w:color w:val="1F2937"/>
                <w:sz w:val="21"/>
                <w:szCs w:val="21"/>
                <w:rFonts w:ascii="Arial" w:cs="Arial" w:eastAsia="Arial" w:hAnsi="Arial"/>
              </w:rPr>
              <w:t xml:space="preserve">Fully air-gapped models, customized vocabulary dictionary mapping, custom languages</w:t>
            </w:r>
          </w:p>
        </w:tc>
      </w:tr>
    </w:tbl>
    <w:p>
      <w:r>
        <w:t xml:space="preserve"/>
      </w:r>
    </w:p>
    <w:p>
      <w:pPr>
        <w:pStyle w:val="Heading1"/>
        <w:spacing w:before="400" w:after="200"/>
      </w:pPr>
      <w:r>
        <w:rPr>
          <w:b/>
          <w:bCs/>
          <w:color w:val="1A2D5A"/>
          <w:sz w:val="36"/>
          <w:szCs w:val="36"/>
          <w:rFonts w:ascii="Arial" w:cs="Arial" w:eastAsia="Arial" w:hAnsi="Arial"/>
        </w:rPr>
        <w:t xml:space="preserve">4. Go-to-Market Strategy</w:t>
      </w:r>
    </w:p>
    <w:p>
      <w:pPr>
        <w:pStyle w:val="ListParagraph"/>
        <w:numPr>
          <w:ilvl w:val="0"/>
          <w:numId w:val="2"/>
        </w:numPr>
        <w:spacing w:before="60" w:after="60"/>
      </w:pPr>
      <w:r>
        <w:rPr>
          <w:b w:val="false"/>
          <w:bCs w:val="false"/>
          <w:color w:val="1F2937"/>
          <w:sz w:val="22"/>
          <w:szCs w:val="22"/>
          <w:rFonts w:ascii="Arial" w:cs="Arial" w:eastAsia="Arial" w:hAnsi="Arial"/>
        </w:rPr>
        <w:t xml:space="preserve">Provide the open-source community edition on GitHub to capture early adopters.</w:t>
      </w:r>
    </w:p>
    <w:p>
      <w:pPr>
        <w:pStyle w:val="ListParagraph"/>
        <w:numPr>
          <w:ilvl w:val="0"/>
          <w:numId w:val="2"/>
        </w:numPr>
        <w:spacing w:before="60" w:after="60"/>
      </w:pPr>
      <w:r>
        <w:rPr>
          <w:b w:val="false"/>
          <w:bCs w:val="false"/>
          <w:color w:val="1F2937"/>
          <w:sz w:val="22"/>
          <w:szCs w:val="22"/>
          <w:rFonts w:ascii="Arial" w:cs="Arial" w:eastAsia="Arial" w:hAnsi="Arial"/>
        </w:rPr>
        <w:t xml:space="preserve">Target system integrators deploying automation setups in India and APAC, highlighting native English, Hindi, and Marathi command features.</w:t>
      </w:r>
    </w:p>
    <w:p>
      <w:pPr>
        <w:pStyle w:val="ListParagraph"/>
        <w:numPr>
          <w:ilvl w:val="0"/>
          <w:numId w:val="2"/>
        </w:numPr>
        <w:spacing w:before="60" w:after="60"/>
      </w:pPr>
      <w:r>
        <w:rPr>
          <w:b w:val="false"/>
          <w:bCs w:val="false"/>
          <w:color w:val="1F2937"/>
          <w:sz w:val="22"/>
          <w:szCs w:val="22"/>
          <w:rFonts w:ascii="Arial" w:cs="Arial" w:eastAsia="Arial" w:hAnsi="Arial"/>
        </w:rPr>
        <w:t xml:space="preserve">Offer plug-and-play local installation bundles that bypass typical cloud approval cycles.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1A2D5A"/>
      <w:sz w:val="36"/>
      <w:szCs w:val="36"/>
      <w:rFonts w:ascii="Arial" w:cs="Arial" w:eastAsia="Arial" w:hAnsi="Arial"/>
    </w:rPr>
  </w:style>
  <w:style w:type="paragraph" w:styleId="Heading2">
    <w:name w:val="Heading 2"/>
    <w:basedOn w:val="Normal"/>
    <w:next w:val="Normal"/>
    <w:qFormat/>
    <w:pPr>
      <w:spacing w:before="320" w:after="160"/>
      <w:outlineLvl w:val="1"/>
    </w:pPr>
    <w:rPr>
      <w:b/>
      <w:bCs/>
      <w:color w:val="1A2D5A"/>
      <w:sz w:val="28"/>
      <w:szCs w:val="28"/>
      <w:rFonts w:ascii="Arial" w:cs="Arial" w:eastAsia="Arial" w:hAnsi="Arial"/>
    </w:rPr>
  </w:style>
  <w:style w:type="paragraph" w:styleId="Heading3">
    <w:name w:val="Heading 3"/>
    <w:basedOn w:val="Normal"/>
    <w:next w:val="Normal"/>
    <w:qFormat/>
    <w:pPr>
      <w:spacing w:before="200" w:after="100"/>
      <w:outlineLvl w:val="2"/>
    </w:pPr>
    <w:rPr>
      <w:b/>
      <w:bCs/>
      <w:color w:val="0D1B2A"/>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2026-06-27T04:27:08.707Z</dcterms:created>
  <dcterms:modified xsi:type="dcterms:W3CDTF">2026-06-27T04:27:08.707Z</dcterms:modified>
</cp:coreProperties>
</file>

<file path=docProps/custom.xml><?xml version="1.0" encoding="utf-8"?>
<Properties xmlns="http://schemas.openxmlformats.org/officeDocument/2006/custom-properties" xmlns:vt="http://schemas.openxmlformats.org/officeDocument/2006/docPropsVTypes"/>
</file>