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515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ia-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15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/>
      <w:r>
        <w:rPr>
          <w:rFonts w:ascii="Avenir Next" w:hAnsi="Avenir Next"/>
          <w:b/>
          <w:color w:val="004077"/>
          <w:sz w:val="48"/>
        </w:rPr>
        <w:t>Quarterly Enrolment Report</w:t>
      </w:r>
    </w:p>
    <w:p>
      <w:r>
        <w:rPr>
          <w:rFonts w:ascii="Arial" w:hAnsi="Arial"/>
          <w:color w:val="6B6B6B"/>
          <w:sz w:val="18"/>
        </w:rPr>
        <w:t>Sample deliverable · Prepared 27 June 2026 · Office of Institutional Analysis</w:t>
      </w:r>
    </w:p>
    <w:p>
      <w:pPr>
        <w:pBdr>
          <w:bottom w:val="single" w:sz="12" w:space="1" w:color="C41424"/>
        </w:pBdr>
      </w:pPr>
    </w:p>
    <w:p>
      <w:r>
        <w:t>This sample Word document demonstrates the house theme applied to Office deliverables: Acadia Blue headings, Arial body text, the brand logo, an on-brand table, and charts using the Tableau Classic 10 palette.</w:t>
      </w:r>
    </w:p>
    <w:p>
      <w:pPr>
        <w:spacing w:before="240" w:after="120"/>
      </w:pPr>
      <w:r/>
      <w:r>
        <w:rPr>
          <w:rFonts w:ascii="Avenir Next" w:hAnsi="Avenir Next"/>
          <w:b/>
          <w:color w:val="004077"/>
          <w:sz w:val="28"/>
        </w:rPr>
        <w:t>Key takeaway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E7E9"/>
            <w:tcBorders>
              <w:left w:val="single" w:sz="24" w:color="C41424"/>
            </w:tcBorders>
          </w:tcPr>
          <w:p>
            <w:r>
              <w:rPr>
                <w:rFonts w:ascii="Arial" w:hAnsi="Arial"/>
                <w:color w:val="1A1A1A"/>
                <w:sz w:val="22"/>
              </w:rPr>
              <w:t>Growth was led by Pure &amp; Applied Science, up 14% year over year.</w:t>
            </w:r>
          </w:p>
        </w:tc>
      </w:tr>
    </w:tbl>
    <w:p>
      <w:pPr>
        <w:spacing w:before="240" w:after="120"/>
      </w:pPr>
      <w:r/>
      <w:r>
        <w:rPr>
          <w:rFonts w:ascii="Avenir Next" w:hAnsi="Avenir Next"/>
          <w:b/>
          <w:color w:val="004077"/>
          <w:sz w:val="28"/>
        </w:rPr>
        <w:t>Enrolment by faculty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/>
      <w:r>
        <w:rPr>
          <w:rFonts w:ascii="Avenir Next" w:hAnsi="Avenir Next"/>
          <w:b/>
          <w:color w:val="004077"/>
          <w:sz w:val="28"/>
        </w:rPr>
        <w:t>Year-over-year detail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04077"/>
          </w:tcPr>
          <w:p>
            <w:r>
              <w:rPr>
                <w:rFonts w:ascii="Avenir Next" w:hAnsi="Avenir Next"/>
                <w:b/>
                <w:color w:val="FFFFFF"/>
                <w:sz w:val="20"/>
              </w:rPr>
              <w:t>Faculty</w:t>
            </w:r>
          </w:p>
        </w:tc>
        <w:tc>
          <w:tcPr>
            <w:tcW w:type="dxa" w:w="2160"/>
            <w:shd w:val="clear" w:fill="004077"/>
          </w:tcPr>
          <w:p>
            <w:r>
              <w:rPr>
                <w:rFonts w:ascii="Avenir Next" w:hAnsi="Avenir Next"/>
                <w:b/>
                <w:color w:val="FFFFFF"/>
                <w:sz w:val="20"/>
              </w:rPr>
              <w:t>2025</w:t>
            </w:r>
          </w:p>
        </w:tc>
        <w:tc>
          <w:tcPr>
            <w:tcW w:type="dxa" w:w="2160"/>
            <w:shd w:val="clear" w:fill="004077"/>
          </w:tcPr>
          <w:p>
            <w:r>
              <w:rPr>
                <w:rFonts w:ascii="Avenir Next" w:hAnsi="Avenir Next"/>
                <w:b/>
                <w:color w:val="FFFFFF"/>
                <w:sz w:val="20"/>
              </w:rPr>
              <w:t>2026</w:t>
            </w:r>
          </w:p>
        </w:tc>
        <w:tc>
          <w:tcPr>
            <w:tcW w:type="dxa" w:w="2160"/>
            <w:shd w:val="clear" w:fill="004077"/>
          </w:tcPr>
          <w:p>
            <w:r>
              <w:rPr>
                <w:rFonts w:ascii="Avenir Next" w:hAnsi="Avenir Next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1A1A1A"/>
                <w:sz w:val="20"/>
              </w:rPr>
              <w:t>Arts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1A1A1A"/>
                <w:sz w:val="20"/>
              </w:rPr>
              <w:t>1,002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1A1A1A"/>
                <w:sz w:val="20"/>
              </w:rPr>
              <w:t>1,043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color w:val="59A14F"/>
                <w:sz w:val="20"/>
              </w:rPr>
              <w:t>+4.1%</w:t>
            </w:r>
          </w:p>
        </w:tc>
      </w:tr>
      <w:tr>
        <w:tc>
          <w:tcPr>
            <w:tcW w:type="dxa" w:w="2160"/>
            <w:shd w:val="clear" w:fill="F5F6F8"/>
          </w:tcPr>
          <w:p>
            <w:r>
              <w:rPr>
                <w:rFonts w:ascii="Arial" w:hAnsi="Arial"/>
                <w:color w:val="1A1A1A"/>
                <w:sz w:val="20"/>
              </w:rPr>
              <w:t>Pure &amp; Applied Science</w:t>
            </w:r>
          </w:p>
        </w:tc>
        <w:tc>
          <w:tcPr>
            <w:tcW w:type="dxa" w:w="2160"/>
            <w:shd w:val="clear" w:fill="F5F6F8"/>
          </w:tcPr>
          <w:p>
            <w:r>
              <w:rPr>
                <w:rFonts w:ascii="Arial" w:hAnsi="Arial"/>
                <w:color w:val="1A1A1A"/>
                <w:sz w:val="20"/>
              </w:rPr>
              <w:t>1,058</w:t>
            </w:r>
          </w:p>
        </w:tc>
        <w:tc>
          <w:tcPr>
            <w:tcW w:type="dxa" w:w="2160"/>
            <w:shd w:val="clear" w:fill="F5F6F8"/>
          </w:tcPr>
          <w:p>
            <w:r>
              <w:rPr>
                <w:rFonts w:ascii="Arial" w:hAnsi="Arial"/>
                <w:color w:val="1A1A1A"/>
                <w:sz w:val="20"/>
              </w:rPr>
              <w:t>1,206</w:t>
            </w:r>
          </w:p>
        </w:tc>
        <w:tc>
          <w:tcPr>
            <w:tcW w:type="dxa" w:w="2160"/>
            <w:shd w:val="clear" w:fill="F5F6F8"/>
          </w:tcPr>
          <w:p>
            <w:r>
              <w:rPr>
                <w:rFonts w:ascii="Arial" w:hAnsi="Arial"/>
                <w:b/>
                <w:color w:val="59A14F"/>
                <w:sz w:val="20"/>
              </w:rPr>
              <w:t>+14.0%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1A1A1A"/>
                <w:sz w:val="20"/>
              </w:rPr>
              <w:t>Professional Studies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1A1A1A"/>
                <w:sz w:val="20"/>
              </w:rPr>
              <w:t>742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1A1A1A"/>
                <w:sz w:val="20"/>
              </w:rPr>
              <w:t>731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color w:val="E15759"/>
                <w:sz w:val="20"/>
              </w:rPr>
              <w:t>-1.5%</w:t>
            </w:r>
          </w:p>
        </w:tc>
      </w:tr>
      <w:tr>
        <w:tc>
          <w:tcPr>
            <w:tcW w:type="dxa" w:w="2160"/>
            <w:shd w:val="clear" w:fill="F5F6F8"/>
          </w:tcPr>
          <w:p>
            <w:r>
              <w:rPr>
                <w:rFonts w:ascii="Arial" w:hAnsi="Arial"/>
                <w:color w:val="1A1A1A"/>
                <w:sz w:val="20"/>
              </w:rPr>
              <w:t>Theology</w:t>
            </w:r>
          </w:p>
        </w:tc>
        <w:tc>
          <w:tcPr>
            <w:tcW w:type="dxa" w:w="2160"/>
            <w:shd w:val="clear" w:fill="F5F6F8"/>
          </w:tcPr>
          <w:p>
            <w:r>
              <w:rPr>
                <w:rFonts w:ascii="Arial" w:hAnsi="Arial"/>
                <w:color w:val="1A1A1A"/>
                <w:sz w:val="20"/>
              </w:rPr>
              <w:t>168</w:t>
            </w:r>
          </w:p>
        </w:tc>
        <w:tc>
          <w:tcPr>
            <w:tcW w:type="dxa" w:w="2160"/>
            <w:shd w:val="clear" w:fill="F5F6F8"/>
          </w:tcPr>
          <w:p>
            <w:r>
              <w:rPr>
                <w:rFonts w:ascii="Arial" w:hAnsi="Arial"/>
                <w:color w:val="1A1A1A"/>
                <w:sz w:val="20"/>
              </w:rPr>
              <w:t>174</w:t>
            </w:r>
          </w:p>
        </w:tc>
        <w:tc>
          <w:tcPr>
            <w:tcW w:type="dxa" w:w="2160"/>
            <w:shd w:val="clear" w:fill="F5F6F8"/>
          </w:tcPr>
          <w:p>
            <w:r>
              <w:rPr>
                <w:rFonts w:ascii="Arial" w:hAnsi="Arial"/>
                <w:b/>
                <w:color w:val="59A14F"/>
                <w:sz w:val="20"/>
              </w:rPr>
              <w:t>+3.6%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color w:val="1A1A1A"/>
                <w:sz w:val="20"/>
              </w:rPr>
              <w:t>Graduate Studies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1A1A1A"/>
                <w:sz w:val="20"/>
              </w:rPr>
              <w:t>512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color w:val="1A1A1A"/>
                <w:sz w:val="20"/>
              </w:rPr>
              <w:t>578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color w:val="59A14F"/>
                <w:sz w:val="20"/>
              </w:rPr>
              <w:t>+12.9%</w:t>
            </w:r>
          </w:p>
        </w:tc>
      </w:tr>
    </w:tbl>
    <w:p>
      <w:pPr>
        <w:spacing w:before="240" w:after="120"/>
      </w:pPr>
      <w:r/>
      <w:r>
        <w:rPr>
          <w:rFonts w:ascii="Avenir Next" w:hAnsi="Avenir Next"/>
          <w:b/>
          <w:color w:val="004077"/>
          <w:sz w:val="28"/>
        </w:rPr>
        <w:t>Enrolment trend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B6B6B"/>
        <w:sz w:val="16"/>
      </w:rPr>
      <w:t>Quarterly Enrolment Report ·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