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8.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Textkrper"/>
      </w:pPr>
      <w:r>
        <w:rPr>
          <w:i/>
        </w:rPr>
        <w:t xml:space="preserve">Word count:</w:t>
      </w:r>
      <w:r>
        <w:t xml:space="preserve"> </w:t>
      </w:r>
      <w:r>
        <w:t xml:space="preserve">X</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much more common in some families than others, and they can happen at both very short and very long intervals. Many switches even occur within individual sentences [see</w:t>
      </w:r>
      <w:r>
        <w:t xml:space="preserve"> </w:t>
      </w:r>
      <w:r>
        <w:t xml:space="preserve">Ervin-Tripp and Reyes (2005)</w:t>
      </w:r>
      <w:r>
        <w:t xml:space="preserve">;</w:t>
      </w:r>
      <w:r>
        <w:t xml:space="preserve"> </w:t>
      </w:r>
      <w:r>
        <w:t xml:space="preserve">Sridhar and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subsequent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and/or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for example by separating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appears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highly representative populations of bilinguals in two communities: French–English bilingual children growing up in [omitted] (Experiment 1), and Spanish–English bilingual children growing up in [omitted]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salient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 these types of sentences</w:t>
      </w:r>
      <w:r>
        <w:t xml:space="preserve"> </w:t>
      </w:r>
      <w:r>
        <w:t xml:space="preserve">(Kroff, Dussias, Gerfen, Perrotti, &amp; Bajo, 2017)</w:t>
      </w:r>
      <w:r>
        <w:t xml:space="preserve">. Finally, French-English bilingual participants in Montréal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with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w:t>
      </w:r>
      <w:r>
        <w:rPr>
          <w:b/>
        </w:rPr>
        <w:t xml:space="preserve">???</w:t>
      </w:r>
      <w:r>
        <w:t xml:space="preserve">)</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less time to gaze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or vocabulary size would be predict successful word learning.</w:t>
      </w:r>
    </w:p>
    <w:p>
      <w:pPr>
        <w:pStyle w:val="berschrift1"/>
      </w:pPr>
      <w:bookmarkStart w:id="21" w:name="Xe538e833d556b37e0560a936cd2f95f2e2383b5"/>
      <w:r>
        <w:t xml:space="preserve">1	Experiment 1: French-English bilinguals in [omitted]</w:t>
      </w:r>
      <w:bookmarkEnd w:id="21"/>
    </w:p>
    <w:p>
      <w:pPr>
        <w:pStyle w:val="berschrift2"/>
      </w:pPr>
      <w:bookmarkStart w:id="22" w:name="method"/>
      <w:r>
        <w:t xml:space="preserve">1.1	Method</w:t>
      </w:r>
      <w:bookmarkEnd w:id="22"/>
    </w:p>
    <w:p>
      <w:pPr>
        <w:pStyle w:val="FirstParagraph"/>
      </w:pPr>
      <w:r>
        <w:t xml:space="preserve">The methods of Experiment 1 were approved by the [omitted]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sensitivty analysis indicated that this sample size has 80% power to detect an effect size of</w:t>
      </w:r>
      <w:r>
        <w:t xml:space="preserve"> </w:t>
      </w:r>
      <w:r>
        <w:rPr>
          <w:i/>
        </w:rPr>
        <w:t xml:space="preserve">dz</w:t>
      </w:r>
      <w:r>
        <w:t xml:space="preserve"> </w:t>
      </w:r>
      <w:r>
        <w:t xml:space="preserve">= .68 or greater in a two-tailed</w:t>
      </w:r>
      <w:r>
        <w:t xml:space="preserve"> </w:t>
      </w:r>
      <w:r>
        <w:rPr>
          <w:i/>
        </w:rPr>
        <w:t xml:space="preserve">t</w:t>
      </w:r>
      <w:r>
        <w:t xml:space="preserve">-test, which is the average effect size observed in word recognition paradigms in children older than 16 months according to MetaLab (</w:t>
      </w:r>
      <w:hyperlink r:id="rId25">
        <w:r>
          <w:rPr>
            <w:rStyle w:val="Hyperlink"/>
          </w:rPr>
          <w:t xml:space="preserve">https://metalab.stanford.edu</w:t>
        </w:r>
      </w:hyperlink>
      <w:r>
        <w:t xml:space="preserve">;</w:t>
      </w:r>
      <w:r>
        <w:t xml:space="preserve"> </w:t>
      </w:r>
      <w:r>
        <w:t xml:space="preserve">(Bergmann et al., 2018)</w:t>
      </w:r>
      <w:r>
        <w:t xml:space="preserve">). All children were growing up in [omitted].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w:t>
      </w:r>
    </w:p>
    <w:p>
      <w:pPr>
        <w:pStyle w:val="Textkrper"/>
      </w:pPr>
      <w:r>
        <w:t xml:space="preserve">Children’s productive vocabulary was measured in each of their languages. We assessed vocabulary via parent report measure, rather than using a direct measure such as the Peabody Picture Vocabulary Test (PPVT;</w:t>
      </w:r>
      <w:r>
        <w:t xml:space="preserve"> </w:t>
      </w:r>
      <w:r>
        <w:t xml:space="preserve">(Dunn &amp; Dunn, 2007)</w:t>
      </w:r>
      <w:r>
        <w:t xml:space="preserve">).This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to be masculine-sounding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studies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The general concept for the study design was inspired by</w:t>
      </w:r>
      <w:r>
        <w:t xml:space="preserve"> </w:t>
      </w:r>
      <w:r>
        <w:t xml:space="preserve">Fernald, Marchman, and Hurtado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Textkrper"/>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with music to blind them to the trial type.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trial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0.44,</w:t>
      </w:r>
      <w:r>
        <w:t xml:space="preserve"> </w:t>
      </w:r>
      <w:r>
        <w:rPr>
          <w:i/>
        </w:rPr>
        <w:t xml:space="preserve">SD</w:t>
      </w:r>
      <w:r>
        <w:t xml:space="preserve"> </w:t>
      </w:r>
      <w:r>
        <w:t xml:space="preserve">= 0.28] than when its label had been encountered in mixed-language sentences [</w:t>
      </w:r>
      <w:r>
        <w:rPr>
          <w:i/>
        </w:rPr>
        <w:t xml:space="preserve">M</w:t>
      </w:r>
      <w:r>
        <w:t xml:space="preserve"> </w:t>
      </w:r>
      <w:r>
        <w:t xml:space="preserve">= 0.64,</w:t>
      </w:r>
      <w:r>
        <w:t xml:space="preserve"> </w:t>
      </w:r>
      <w:r>
        <w:rPr>
          <w:i/>
        </w:rPr>
        <w:t xml:space="preserve">SD</w:t>
      </w:r>
      <w:r>
        <w:t xml:space="preserve"> </w:t>
      </w:r>
      <w:r>
        <w:t xml:space="preserve">= 0.23,</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0.02,</w:t>
      </w:r>
      <w:r>
        <w:t xml:space="preserve"> </w:t>
      </w:r>
      <w:r>
        <w:rPr>
          <w:i/>
        </w:rPr>
        <w:t xml:space="preserve">d</w:t>
      </w:r>
      <w:r>
        <w:t xml:space="preserve"> </w:t>
      </w:r>
      <w:r>
        <w:t xml:space="preserve">= 0.62], indicating successful recognition. However, child’s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Proportion looking to target objects for French-English bilinguals (Experiment 1)."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looking to target objects for French-English bilinguals (Experiment 1).</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(trial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trial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bilingualsn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sentence.type:familiarity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sentence.type:target.type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sentence.type:familiarity:target.type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d5d02e3cd4ce048b90a6b8929f528d8d6b74f0d"/>
      <w:r>
        <w:t xml:space="preserve">2	Experiment 2: Spanish-English bilinguals in [omitted]</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[omitted].</w:t>
      </w:r>
    </w:p>
    <w:p>
      <w:pPr>
        <w:pStyle w:val="berschrift2"/>
      </w:pPr>
      <w:bookmarkStart w:id="36" w:name="method-1"/>
      <w:r>
        <w:t xml:space="preserve">2.1	Method</w:t>
      </w:r>
      <w:bookmarkEnd w:id="36"/>
    </w:p>
    <w:p>
      <w:pPr>
        <w:pStyle w:val="FirstParagraph"/>
      </w:pPr>
      <w:r>
        <w:t xml:space="preserve">The method of Experiment 2 was approved by the [omitted]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[omitted].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Thus, we infer that the sample of Spanish-English bilingual children was of lower socioeconomic status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bisyllabic, different phonological onsets, different rhymes, and to sounded masculine in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and caregivfers wore occluded glasses and headphones with music to blind them to trial type. Children viewed stimuli approximately 70 cm from a large, flat-screen television monitor (68 x 122 cm). As no eyetracker was available at the location of data collection, the experimenter recorded infants’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blind to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0.30,</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0.23,</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Proportion looking to target object for Spanish-English bilinguals (Experiment 2).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Proportion looking to target object for Spanish-English bilinguals (Experiment 2).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trial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trai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training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Our final set of analyses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2"/>
      </w:pPr>
      <w:bookmarkStart w:id="46" w:name="exploration-of-individual-differences"/>
      <w:r>
        <w:t xml:space="preserve">2.3	Exploration of individual differences</w:t>
      </w:r>
      <w:bookmarkEnd w:id="46"/>
    </w:p>
    <w:p>
      <w:pPr>
        <w:pStyle w:val="FirstParagraph"/>
      </w:pPr>
      <w:r>
        <w:t xml:space="preserve">In this section, we combined datasets from the two populations to explore potential individual differences in performance.</w:t>
      </w:r>
    </w:p>
    <w:p>
      <w:pPr>
        <w:pStyle w:val="berschrift3"/>
      </w:pPr>
      <w:bookmarkStart w:id="47" w:name="X12ac8108926c1182e58bf154c232150f6381266"/>
      <w:r>
        <w:t xml:space="preserve">2.3.1	Relationship between training and test performance.</w:t>
      </w:r>
      <w:bookmarkEnd w:id="47"/>
    </w:p>
    <w:p>
      <w:pPr>
        <w:pStyle w:val="FirstParagraph"/>
      </w:pPr>
      <w:r>
        <w:t xml:space="preserve">We examined whether performance at test was predicted by performance during training, exploring whether this relationship was moderated by sentence type (single-language, mixed-language) and population (French-English, Spanish-English). Scatterplots visualizing these relationships are shown in</w:t>
      </w:r>
      <w:r>
        <w:t xml:space="preserve"> </w:t>
      </w:r>
      <w:r>
        <w:t xml:space="preserve">6</w:t>
      </w:r>
      <w:r>
        <w:t xml:space="preserve">). Based on this visualization as well as our previous results, we fit a linear mixed-effects model that included fixed effects of performance during training, sentence type, and population, the interaction between sentence type and population (since French-English but not Spanish-English toddlers showed difference performance by sentence type), as well as random slopes by participants (results are show in in</w:t>
      </w:r>
      <w:r>
        <w:t xml:space="preserve"> </w:t>
      </w:r>
      <w:r>
        <w:t xml:space="preserve">6</w:t>
      </w:r>
      <w:r>
        <w:t xml:space="preserve">). The reference level for population was French-English bilinguals, and the reference level for sentence type was single-language. The model equation was prop_test ~ prop_training + sentence.type*population + (1|id).</w:t>
      </w:r>
    </w:p>
    <w:p>
      <w:pPr>
        <w:pStyle w:val="Textkrper"/>
      </w:pPr>
      <w:r>
        <w:t xml:space="preserve">The analysis revealed a significant main effect of training, revealing that toddlers who performed better during training performed better at test. There was also a significant interaction between sentence type and population, replicating the finding from our previous analysis that French-English bilingual did better on single-language than mixed-language trials than single-language trials, but that Spanish-English toddlers performed similarly on both trial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w:t>
      </w:r>
    </w:p>
    <w:p>
      <w:pPr>
        <w:pStyle w:val="CaptionedFigure"/>
      </w:pPr>
      <w:r>
        <w:drawing>
          <wp:inline>
            <wp:extent cx="5969000" cy="3410857"/>
            <wp:effectExtent b="0" l="0" r="0" t="0"/>
            <wp:docPr descr="Figure 6.   Scatterplot showing performance on training and peformance at test by population and trial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on training and peformance at test by population and trial type. Lines represent best linear fit.</w:t>
      </w:r>
    </w:p>
    <w:p>
      <w:pPr>
        <w:pStyle w:val="Compact"/>
      </w:pPr>
      <w:r>
        <w:t xml:space="preserve">Table 6:</w:t>
      </w:r>
    </w:p>
    <w:p>
      <w:pPr>
        <w:pStyle w:val="Compact"/>
        <w:pStyle w:val="TableCaption"/>
      </w:pPr>
      <w:r>
        <w:rPr>
          <w:i/>
        </w:rPr>
        <w:t xml:space="preserve">Linear mixed model testing effects of population, sentence type, and performance during training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training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9" w:name="individual-differences"/>
      <w:r>
        <w:t xml:space="preserve">2.3.2	Individual differences.</w:t>
      </w:r>
      <w:bookmarkEnd w:id="49"/>
    </w:p>
    <w:p>
      <w:pPr>
        <w:pStyle w:val="FirstParagraph"/>
      </w:pPr>
      <w:r>
        <w:t xml:space="preserve">Next, we examined whether performance was vocabulary knowledge (dominant language vocabulary, non-dominant language vocabulary, and total vocabulary) or exposure to language mixing. To fully explore the data, we computed correlations separately for training and test phases, as well as with each population and the whole sample combined. Thus, a total of 24 different correlations were computed (see Table</w:t>
      </w:r>
      <w:r>
        <w:t xml:space="preserve"> </w:t>
      </w:r>
      <w:r>
        <w:t xml:space="preserve">7</w:t>
      </w:r>
      <w:r>
        <w:t xml:space="preserve">). None of the correlations approached statistical significance, even prior to controlling for multiple comparisons (ps &gt;= 0.13).</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 vocab.</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Training</w:t>
            </w:r>
          </w:p>
        </w:tc>
        <w:tc>
          <w:p>
            <w:pPr>
              <w:pStyle w:val="Compact"/>
              <w:jc w:val="left"/>
            </w:pPr>
            <w:r>
              <w:t xml:space="preserve">language mixing</w:t>
            </w:r>
          </w:p>
        </w:tc>
        <w:tc>
          <w:p>
            <w:pPr>
              <w:pStyle w:val="Compact"/>
              <w:jc w:val="left"/>
            </w:pPr>
            <w:r>
              <w:t xml:space="preserve">-0.10</w:t>
            </w:r>
          </w:p>
        </w:tc>
        <w:tc>
          <w:p>
            <w:pPr>
              <w:pStyle w:val="Compact"/>
              <w:jc w:val="left"/>
            </w:pPr>
            <w:r>
              <w:t xml:space="preserve">0.14</w:t>
            </w:r>
          </w:p>
        </w:tc>
        <w:tc>
          <w:p>
            <w:pPr>
              <w:pStyle w:val="Compact"/>
              <w:jc w:val="left"/>
            </w:pPr>
            <w:r>
              <w:t xml:space="preserve">-0.11</w:t>
            </w:r>
          </w:p>
        </w:tc>
      </w:tr>
      <w:tr>
        <w:tc>
          <w:p>
            <w:pPr>
              <w:pStyle w:val="Compact"/>
              <w:jc w:val="left"/>
            </w:pPr>
            <w:r>
              <w:t xml:space="preserve">Training</w:t>
            </w:r>
          </w:p>
        </w:tc>
        <w:tc>
          <w:p>
            <w:pPr>
              <w:pStyle w:val="Compact"/>
              <w:jc w:val="left"/>
            </w:pPr>
            <w:r>
              <w:t xml:space="preserve">Dominant lang. vocab.</w:t>
            </w:r>
          </w:p>
        </w:tc>
        <w:tc>
          <w:p>
            <w:pPr>
              <w:pStyle w:val="Compact"/>
              <w:jc w:val="left"/>
            </w:pPr>
            <w:r>
              <w:t xml:space="preserve">-0.02</w:t>
            </w:r>
          </w:p>
        </w:tc>
        <w:tc>
          <w:p>
            <w:pPr>
              <w:pStyle w:val="Compact"/>
              <w:jc w:val="left"/>
            </w:pPr>
            <w:r>
              <w:t xml:space="preserve">0.25</w:t>
            </w:r>
          </w:p>
        </w:tc>
        <w:tc>
          <w:p>
            <w:pPr>
              <w:pStyle w:val="Compact"/>
              <w:jc w:val="left"/>
            </w:pPr>
            <w:r>
              <w:t xml:space="preserve">-0.01</w:t>
            </w:r>
          </w:p>
        </w:tc>
      </w:tr>
      <w:tr>
        <w:tc>
          <w:p>
            <w:pPr>
              <w:pStyle w:val="Compact"/>
              <w:jc w:val="left"/>
            </w:pPr>
            <w:r>
              <w:t xml:space="preserve">Training</w:t>
            </w:r>
          </w:p>
        </w:tc>
        <w:tc>
          <w:p>
            <w:pPr>
              <w:pStyle w:val="Compact"/>
              <w:jc w:val="left"/>
            </w:pPr>
            <w:r>
              <w:t xml:space="preserve">Non-dominant lang. vocab</w:t>
            </w:r>
          </w:p>
        </w:tc>
        <w:tc>
          <w:p>
            <w:pPr>
              <w:pStyle w:val="Compact"/>
              <w:jc w:val="left"/>
            </w:pPr>
            <w:r>
              <w:t xml:space="preserve">-0.10</w:t>
            </w:r>
          </w:p>
        </w:tc>
        <w:tc>
          <w:p>
            <w:pPr>
              <w:pStyle w:val="Compact"/>
              <w:jc w:val="left"/>
            </w:pPr>
            <w:r>
              <w:t xml:space="preserve">0.18</w:t>
            </w:r>
          </w:p>
        </w:tc>
        <w:tc>
          <w:p>
            <w:pPr>
              <w:pStyle w:val="Compact"/>
              <w:jc w:val="left"/>
            </w:pPr>
            <w:r>
              <w:t xml:space="preserve">0.05</w:t>
            </w:r>
          </w:p>
        </w:tc>
      </w:tr>
      <w:tr>
        <w:tc>
          <w:p>
            <w:pPr>
              <w:pStyle w:val="Compact"/>
              <w:jc w:val="left"/>
            </w:pPr>
            <w:r>
              <w:t xml:space="preserve">Training</w:t>
            </w:r>
          </w:p>
        </w:tc>
        <w:tc>
          <w:p>
            <w:pPr>
              <w:pStyle w:val="Compact"/>
              <w:jc w:val="left"/>
            </w:pPr>
            <w:r>
              <w:t xml:space="preserve">Total vocabulary</w:t>
            </w:r>
          </w:p>
        </w:tc>
        <w:tc>
          <w:p>
            <w:pPr>
              <w:pStyle w:val="Compact"/>
              <w:jc w:val="left"/>
            </w:pPr>
            <w:r>
              <w:t xml:space="preserve">-0.07</w:t>
            </w:r>
          </w:p>
        </w:tc>
        <w:tc>
          <w:p>
            <w:pPr>
              <w:pStyle w:val="Compact"/>
              <w:jc w:val="left"/>
            </w:pPr>
            <w:r>
              <w:t xml:space="preserve">0.23</w:t>
            </w:r>
          </w:p>
        </w:tc>
        <w:tc>
          <w:p>
            <w:pPr>
              <w:pStyle w:val="Compact"/>
              <w:jc w:val="left"/>
            </w:pPr>
            <w:r>
              <w:t xml:space="preserve">0.11</w:t>
            </w:r>
          </w:p>
        </w:tc>
      </w:tr>
    </w:tbl>
    <w:p>
      <w:pPr>
        <w:pStyle w:val="berschrift1"/>
      </w:pPr>
      <w:bookmarkStart w:id="50" w:name="general-discussion"/>
      <w:r>
        <w:t xml:space="preserve">3	General discussion</w:t>
      </w:r>
      <w:bookmarkEnd w:id="50"/>
    </w:p>
    <w:p>
      <w:pPr>
        <w:pStyle w:val="FirstParagraph"/>
      </w:pPr>
      <w:r>
        <w:t xml:space="preserve">We tested whether and how language mixing affects novel word learning in 3-year-old bilingual children from two language communities: French-English bilinguals in [omitted], and Spanish-English bilinguals in [omitted].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infants retain the label. The authors suggested that although the familiar objects helped children identify the novel object, they also competed as possible referents for the novel word. Such complexity was also present in our design. On each learning trial, infants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Indeed, across both French-English and Spanish-English bilinguals, more looking at the labeled object during training predicted stronger performance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although we took as many steps as possible to minimize these differences. However, both labs have a history of detecting subtle processing effects in related paradigms with both bilinguals and monolinguals of this approximate age.</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were of higher average socioeconomic status than the Spanish-English bilinguals, and had higher vocabularies, and previous research points to socioeconomic status as an important influence on early language processing and vocabulary growth</w:t>
      </w:r>
      <w:r>
        <w:t xml:space="preserve"> </w:t>
      </w:r>
      <w:r>
        <w:t xml:space="preserve">(e.g., Fernald et al., 2013)</w:t>
      </w:r>
      <w:r>
        <w:t xml:space="preserve">. 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Toddlers have been shown to apply at least some selectivity when learning words; for example, they prefer word labels that come from reliable over unreliable speakers</w:t>
      </w:r>
      <w:r>
        <w:t xml:space="preserve"> </w:t>
      </w:r>
      <w:r>
        <w:t xml:space="preserve">(Mangardich &amp; Sabbagh, 2018)</w:t>
      </w:r>
      <w:r>
        <w:t xml:space="preserve">. It may be that children interpret language mixing as a signal of a speaker’s uncertainty or unreliability in that moment, which may block efficient encoding of novel information.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and/or show failure in learning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 (e.g.,</w:t>
      </w:r>
      <w:r>
        <w:t xml:space="preserve"> </w:t>
      </w:r>
      <w:r>
        <w:t xml:space="preserve">Read, Contreras, Rodriguez, and Jara (2020)</w:t>
      </w:r>
      <w:r>
        <w:t xml:space="preserve">).</w:t>
      </w:r>
    </w:p>
    <w:p>
      <w:pPr>
        <w:pStyle w:val="Textkrper"/>
      </w:pPr>
      <w:r>
        <w:t xml:space="preserve">To conclude, this research provides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1" w:name="references"/>
      <w:r>
        <w:t xml:space="preserve">3.1	References</w:t>
      </w:r>
      <w:bookmarkEnd w:id="51"/>
    </w:p>
    <w:bookmarkStart w:id="169" w:name="refs"/>
    <w:bookmarkStart w:id="53"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2">
        <w:r>
          <w:rPr>
            <w:rStyle w:val="Hyperlink"/>
          </w:rPr>
          <w:t xml:space="preserve">https://doi.org/10.3758/BF03200936</w:t>
        </w:r>
      </w:hyperlink>
    </w:p>
    <w:bookmarkEnd w:id="53"/>
    <w:bookmarkStart w:id="55"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4">
        <w:r>
          <w:rPr>
            <w:rStyle w:val="Hyperlink"/>
          </w:rPr>
          <w:t xml:space="preserve">https://doi.org/10.1017/S0305000914000695</w:t>
        </w:r>
      </w:hyperlink>
    </w:p>
    <w:bookmarkEnd w:id="55"/>
    <w:bookmarkStart w:id="57"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6">
        <w:r>
          <w:rPr>
            <w:rStyle w:val="Hyperlink"/>
          </w:rPr>
          <w:t xml:space="preserve">https://doi.org/10.1111/cdev.13079</w:t>
        </w:r>
      </w:hyperlink>
    </w:p>
    <w:bookmarkEnd w:id="57"/>
    <w:bookmarkStart w:id="59"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8">
        <w:r>
          <w:rPr>
            <w:rStyle w:val="Hyperlink"/>
          </w:rPr>
          <w:t xml:space="preserve">https://doi.org/10.1016/j.cognition.2012.08.008</w:t>
        </w:r>
      </w:hyperlink>
    </w:p>
    <w:bookmarkEnd w:id="59"/>
    <w:bookmarkStart w:id="60"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0"/>
    <w:bookmarkStart w:id="62"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1">
        <w:r>
          <w:rPr>
            <w:rStyle w:val="Hyperlink"/>
          </w:rPr>
          <w:t xml:space="preserve">https://doi.org/10.1017/S1366728912000120</w:t>
        </w:r>
      </w:hyperlink>
    </w:p>
    <w:bookmarkEnd w:id="62"/>
    <w:bookmarkStart w:id="64"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3">
        <w:r>
          <w:rPr>
            <w:rStyle w:val="Hyperlink"/>
          </w:rPr>
          <w:t xml:space="preserve">https://doi.org/10.1111/lang.12055</w:t>
        </w:r>
      </w:hyperlink>
    </w:p>
    <w:bookmarkEnd w:id="64"/>
    <w:bookmarkStart w:id="66"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5">
        <w:r>
          <w:rPr>
            <w:rStyle w:val="Hyperlink"/>
          </w:rPr>
          <w:t xml:space="preserve">https://doi.org/10.1073/pnas.1703220114</w:t>
        </w:r>
      </w:hyperlink>
    </w:p>
    <w:bookmarkEnd w:id="66"/>
    <w:bookmarkStart w:id="68"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67">
        <w:r>
          <w:rPr>
            <w:rStyle w:val="Hyperlink"/>
          </w:rPr>
          <w:t xml:space="preserve">https://doi.org/10.31234/osf.io/sqh9d</w:t>
        </w:r>
      </w:hyperlink>
    </w:p>
    <w:bookmarkEnd w:id="68"/>
    <w:bookmarkStart w:id="70"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69">
        <w:r>
          <w:rPr>
            <w:rStyle w:val="Hyperlink"/>
          </w:rPr>
          <w:t xml:space="preserve">https://doi.org/10.1111/infa.12315</w:t>
        </w:r>
      </w:hyperlink>
    </w:p>
    <w:bookmarkEnd w:id="70"/>
    <w:bookmarkStart w:id="71"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1"/>
    <w:bookmarkStart w:id="73"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2">
        <w:r>
          <w:rPr>
            <w:rStyle w:val="Hyperlink"/>
          </w:rPr>
          <w:t xml:space="preserve">https://doi.org/10.1007/BF01067622</w:t>
        </w:r>
      </w:hyperlink>
    </w:p>
    <w:bookmarkEnd w:id="73"/>
    <w:bookmarkStart w:id="75"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4">
        <w:r>
          <w:rPr>
            <w:rStyle w:val="Hyperlink"/>
          </w:rPr>
          <w:t xml:space="preserve">https://doi.org/10.1016/j.wocn.2010.12.002</w:t>
        </w:r>
      </w:hyperlink>
    </w:p>
    <w:bookmarkEnd w:id="75"/>
    <w:bookmarkStart w:id="77"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6">
        <w:r>
          <w:rPr>
            <w:rStyle w:val="Hyperlink"/>
          </w:rPr>
          <w:t xml:space="preserve">https://doi.org/10.1017/S1366728917000220</w:t>
        </w:r>
      </w:hyperlink>
    </w:p>
    <w:bookmarkEnd w:id="77"/>
    <w:bookmarkStart w:id="79" w:name="ref-eyetracking_r"/>
    <w:p>
      <w:pPr>
        <w:pStyle w:val="Literaturverzeichnis"/>
      </w:pPr>
      <w:r>
        <w:t xml:space="preserve">Dink, J., &amp; Ferguson, B. (2015). eyetrackingR: An R Library for Eye-tracking Data Analysis. Retrieved from</w:t>
      </w:r>
      <w:r>
        <w:t xml:space="preserve"> </w:t>
      </w:r>
      <w:hyperlink r:id="rId78">
        <w:r>
          <w:rPr>
            <w:rStyle w:val="Hyperlink"/>
          </w:rPr>
          <w:t xml:space="preserve">http://www.eyetrackingr.com</w:t>
        </w:r>
      </w:hyperlink>
    </w:p>
    <w:bookmarkEnd w:id="79"/>
    <w:bookmarkStart w:id="80"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0"/>
    <w:bookmarkStart w:id="81"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1"/>
    <w:bookmarkStart w:id="82"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2"/>
    <w:bookmarkStart w:id="84"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3">
        <w:r>
          <w:rPr>
            <w:rStyle w:val="Hyperlink"/>
          </w:rPr>
          <w:t xml:space="preserve">https://doi.org/10.1177/13670069050090010601</w:t>
        </w:r>
      </w:hyperlink>
    </w:p>
    <w:bookmarkEnd w:id="84"/>
    <w:bookmarkStart w:id="85"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5"/>
    <w:bookmarkStart w:id="87"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6">
        <w:r>
          <w:rPr>
            <w:rStyle w:val="Hyperlink"/>
          </w:rPr>
          <w:t xml:space="preserve">https://doi.org/10.1111/j.1467-8624.2011.01692.x</w:t>
        </w:r>
      </w:hyperlink>
    </w:p>
    <w:bookmarkEnd w:id="87"/>
    <w:bookmarkStart w:id="89"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88">
        <w:r>
          <w:rPr>
            <w:rStyle w:val="Hyperlink"/>
          </w:rPr>
          <w:t xml:space="preserve">https://doi.org/10.1111/desc.12019</w:t>
        </w:r>
      </w:hyperlink>
    </w:p>
    <w:bookmarkEnd w:id="89"/>
    <w:bookmarkStart w:id="91"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0">
        <w:r>
          <w:rPr>
            <w:rStyle w:val="Hyperlink"/>
          </w:rPr>
          <w:t xml:space="preserve">https://doi.org/10.1109/DEVLRN.2008.4640802</w:t>
        </w:r>
      </w:hyperlink>
    </w:p>
    <w:bookmarkEnd w:id="91"/>
    <w:bookmarkStart w:id="93"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2">
        <w:r>
          <w:rPr>
            <w:rStyle w:val="Hyperlink"/>
          </w:rPr>
          <w:t xml:space="preserve">https://doi.org/10.1037/0012-1649.42.1.98</w:t>
        </w:r>
      </w:hyperlink>
    </w:p>
    <w:bookmarkEnd w:id="93"/>
    <w:bookmarkStart w:id="95"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4">
        <w:r>
          <w:rPr>
            <w:rStyle w:val="Hyperlink"/>
          </w:rPr>
          <w:t xml:space="preserve">https://doi.org/10.1017/S0305000916000209</w:t>
        </w:r>
      </w:hyperlink>
    </w:p>
    <w:bookmarkEnd w:id="95"/>
    <w:bookmarkStart w:id="97"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96">
        <w:r>
          <w:rPr>
            <w:rStyle w:val="Hyperlink"/>
          </w:rPr>
          <w:t xml:space="preserve">https://doi.org/https://doi.org/10.1044/2016_AJSLP-15-0169</w:t>
        </w:r>
      </w:hyperlink>
    </w:p>
    <w:bookmarkEnd w:id="97"/>
    <w:bookmarkStart w:id="99"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98">
        <w:r>
          <w:rPr>
            <w:rStyle w:val="Hyperlink"/>
          </w:rPr>
          <w:t xml:space="preserve">https://doi.org/10.1111/j.1467-8624.1998.tb06215.x</w:t>
        </w:r>
      </w:hyperlink>
    </w:p>
    <w:bookmarkEnd w:id="99"/>
    <w:bookmarkStart w:id="101"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0">
        <w:r>
          <w:rPr>
            <w:rStyle w:val="Hyperlink"/>
          </w:rPr>
          <w:t xml:space="preserve">https://doi.org/10.1002/1097-0355(198921)10:1&lt;25::AID-IMHJ2280100104&gt;3.0.CO;2-R</w:t>
        </w:r>
      </w:hyperlink>
    </w:p>
    <w:bookmarkEnd w:id="101"/>
    <w:bookmarkStart w:id="103"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2">
        <w:r>
          <w:rPr>
            <w:rStyle w:val="Hyperlink"/>
          </w:rPr>
          <w:t xml:space="preserve">https://doi.org/10.1037/h0084193</w:t>
        </w:r>
      </w:hyperlink>
    </w:p>
    <w:bookmarkEnd w:id="103"/>
    <w:bookmarkStart w:id="104"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4"/>
    <w:bookmarkStart w:id="106"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05">
        <w:r>
          <w:rPr>
            <w:rStyle w:val="Hyperlink"/>
          </w:rPr>
          <w:t xml:space="preserve">https://doi.org/10.1080/15250000701795598</w:t>
        </w:r>
      </w:hyperlink>
    </w:p>
    <w:bookmarkEnd w:id="106"/>
    <w:bookmarkStart w:id="108"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07">
        <w:r>
          <w:rPr>
            <w:rStyle w:val="Hyperlink"/>
          </w:rPr>
          <w:t xml:space="preserve">https://doi.org/10.1017/S136672891300014X</w:t>
        </w:r>
      </w:hyperlink>
    </w:p>
    <w:bookmarkEnd w:id="108"/>
    <w:bookmarkStart w:id="109"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09"/>
    <w:bookmarkStart w:id="111"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10">
        <w:r>
          <w:rPr>
            <w:rStyle w:val="Hyperlink"/>
          </w:rPr>
          <w:t xml:space="preserve">https://doi.org/10.31234/osf.io/rk2ah</w:t>
        </w:r>
      </w:hyperlink>
    </w:p>
    <w:bookmarkEnd w:id="111"/>
    <w:bookmarkStart w:id="113"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2">
        <w:r>
          <w:rPr>
            <w:rStyle w:val="Hyperlink"/>
          </w:rPr>
          <w:t xml:space="preserve">https://doi.org/10.1075/lab.15010.val</w:t>
        </w:r>
      </w:hyperlink>
    </w:p>
    <w:bookmarkEnd w:id="113"/>
    <w:bookmarkStart w:id="115"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14">
        <w:r>
          <w:rPr>
            <w:rStyle w:val="Hyperlink"/>
          </w:rPr>
          <w:t xml:space="preserve">https://doi.org/10.1111/desc.12569</w:t>
        </w:r>
      </w:hyperlink>
    </w:p>
    <w:bookmarkEnd w:id="115"/>
    <w:bookmarkStart w:id="117"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16">
        <w:r>
          <w:rPr>
            <w:rStyle w:val="Hyperlink"/>
          </w:rPr>
          <w:t xml:space="preserve">https://doi.org/10.1017/S1366728916000833</w:t>
        </w:r>
      </w:hyperlink>
    </w:p>
    <w:bookmarkEnd w:id="117"/>
    <w:bookmarkStart w:id="119"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18">
        <w:r>
          <w:rPr>
            <w:rStyle w:val="Hyperlink"/>
          </w:rPr>
          <w:t xml:space="preserve">https://doi.org/10.1111/j.1467-9280.2007.01871.x</w:t>
        </w:r>
      </w:hyperlink>
    </w:p>
    <w:bookmarkEnd w:id="119"/>
    <w:bookmarkStart w:id="121"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20">
        <w:r>
          <w:rPr>
            <w:rStyle w:val="Hyperlink"/>
          </w:rPr>
          <w:t xml:space="preserve">https://doi.org/10.1080/15248372.2013.835312</w:t>
        </w:r>
      </w:hyperlink>
    </w:p>
    <w:bookmarkEnd w:id="121"/>
    <w:bookmarkStart w:id="123"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2">
        <w:r>
          <w:rPr>
            <w:rStyle w:val="Hyperlink"/>
          </w:rPr>
          <w:t xml:space="preserve">https://doi.org/10.1016/S0022-5371(71)80018-X</w:t>
        </w:r>
      </w:hyperlink>
    </w:p>
    <w:bookmarkEnd w:id="123"/>
    <w:bookmarkStart w:id="125" w:name="ref-mangardich_2018"/>
    <w:p>
      <w:pPr>
        <w:pStyle w:val="Literaturverzeichnis"/>
      </w:pPr>
      <w:r>
        <w:t xml:space="preserve">Mangardich, H., &amp; Sabbagh, M. A. (2018). Children remember words from ignorant speakers but do not attach meaning: Evidence from event-related potentials.</w:t>
      </w:r>
      <w:r>
        <w:t xml:space="preserve"> </w:t>
      </w:r>
      <w:r>
        <w:rPr>
          <w:i/>
        </w:rPr>
        <w:t xml:space="preserve">Developmental Science</w:t>
      </w:r>
      <w:r>
        <w:t xml:space="preserve">,</w:t>
      </w:r>
      <w:r>
        <w:t xml:space="preserve"> </w:t>
      </w:r>
      <w:r>
        <w:rPr>
          <w:i/>
        </w:rPr>
        <w:t xml:space="preserve">21</w:t>
      </w:r>
      <w:r>
        <w:t xml:space="preserve">(2), e12544.</w:t>
      </w:r>
      <w:r>
        <w:t xml:space="preserve"> </w:t>
      </w:r>
      <w:hyperlink r:id="rId124">
        <w:r>
          <w:rPr>
            <w:rStyle w:val="Hyperlink"/>
          </w:rPr>
          <w:t xml:space="preserve">https://doi.org/10.1111/desc.12544</w:t>
        </w:r>
      </w:hyperlink>
    </w:p>
    <w:bookmarkEnd w:id="125"/>
    <w:bookmarkStart w:id="127"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26">
        <w:r>
          <w:rPr>
            <w:rStyle w:val="Hyperlink"/>
          </w:rPr>
          <w:t xml:space="preserve">https://doi.org/10.1017/S0305000909990055</w:t>
        </w:r>
      </w:hyperlink>
    </w:p>
    <w:bookmarkEnd w:id="127"/>
    <w:bookmarkStart w:id="129"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28">
        <w:r>
          <w:rPr>
            <w:rStyle w:val="Hyperlink"/>
          </w:rPr>
          <w:t xml:space="preserve">https://doi.org/10.1044/1092-4388(2007/067)</w:t>
        </w:r>
      </w:hyperlink>
    </w:p>
    <w:bookmarkEnd w:id="129"/>
    <w:bookmarkStart w:id="131"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30">
        <w:r>
          <w:rPr>
            <w:rStyle w:val="Hyperlink"/>
          </w:rPr>
          <w:t xml:space="preserve">https://doi.org/10.1006/jmla.1998.2602</w:t>
        </w:r>
      </w:hyperlink>
    </w:p>
    <w:bookmarkEnd w:id="131"/>
    <w:bookmarkStart w:id="133"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2">
        <w:r>
          <w:rPr>
            <w:rStyle w:val="Hyperlink"/>
          </w:rPr>
          <w:t xml:space="preserve">https://doi.org/10.1006/brln.2001.2588</w:t>
        </w:r>
      </w:hyperlink>
    </w:p>
    <w:bookmarkEnd w:id="133"/>
    <w:bookmarkStart w:id="135"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4">
        <w:r>
          <w:rPr>
            <w:rStyle w:val="Hyperlink"/>
          </w:rPr>
          <w:t xml:space="preserve">https://doi.org/10.1017/S0305000919000400</w:t>
        </w:r>
      </w:hyperlink>
    </w:p>
    <w:bookmarkEnd w:id="135"/>
    <w:bookmarkStart w:id="137"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36">
        <w:r>
          <w:rPr>
            <w:rStyle w:val="Hyperlink"/>
          </w:rPr>
          <w:t xml:space="preserve">https://doi.org/10.1080/15250000902994073</w:t>
        </w:r>
      </w:hyperlink>
    </w:p>
    <w:bookmarkEnd w:id="137"/>
    <w:bookmarkStart w:id="139"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38">
        <w:r>
          <w:rPr>
            <w:rStyle w:val="Hyperlink"/>
          </w:rPr>
          <w:t xml:space="preserve">https://doi.org/10.1111/desc.12901</w:t>
        </w:r>
      </w:hyperlink>
    </w:p>
    <w:bookmarkEnd w:id="139"/>
    <w:bookmarkStart w:id="141"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40">
        <w:r>
          <w:rPr>
            <w:rStyle w:val="Hyperlink"/>
          </w:rPr>
          <w:t xml:space="preserve">https://doi.org/10.1111/j.1467-8624.2011.01660.x</w:t>
        </w:r>
      </w:hyperlink>
    </w:p>
    <w:bookmarkEnd w:id="141"/>
    <w:bookmarkStart w:id="143"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2">
        <w:r>
          <w:rPr>
            <w:rStyle w:val="Hyperlink"/>
          </w:rPr>
          <w:t xml:space="preserve">https://doi.org/10.1017/S1366728915000322</w:t>
        </w:r>
      </w:hyperlink>
    </w:p>
    <w:bookmarkEnd w:id="143"/>
    <w:bookmarkStart w:id="144"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4"/>
    <w:bookmarkStart w:id="146"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5">
        <w:r>
          <w:rPr>
            <w:rStyle w:val="Hyperlink"/>
          </w:rPr>
          <w:t xml:space="preserve">https://doi.org/10.1111/desc.12794</w:t>
        </w:r>
      </w:hyperlink>
    </w:p>
    <w:bookmarkEnd w:id="146"/>
    <w:bookmarkStart w:id="148"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47">
        <w:r>
          <w:rPr>
            <w:rStyle w:val="Hyperlink"/>
          </w:rPr>
          <w:t xml:space="preserve">https://doi.org/10.1093/brain/122.12.2221</w:t>
        </w:r>
      </w:hyperlink>
    </w:p>
    <w:bookmarkEnd w:id="148"/>
    <w:bookmarkStart w:id="150"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49">
        <w:r>
          <w:rPr>
            <w:rStyle w:val="Hyperlink"/>
          </w:rPr>
          <w:t xml:space="preserve">https://doi.org/10.1016/j.neuropsychologia.2004.04.013</w:t>
        </w:r>
      </w:hyperlink>
    </w:p>
    <w:bookmarkEnd w:id="150"/>
    <w:bookmarkStart w:id="152" w:name="ref-r_core"/>
    <w:p>
      <w:pPr>
        <w:pStyle w:val="Literaturverzeichnis"/>
      </w:pPr>
      <w:r>
        <w:t xml:space="preserve">R Core Team. (2018). R: A language and environment for statistical computing. Vienna, Austria: R Foundation for Statistical Computing. Retrieved from</w:t>
      </w:r>
      <w:r>
        <w:t xml:space="preserve"> </w:t>
      </w:r>
      <w:hyperlink r:id="rId151">
        <w:r>
          <w:rPr>
            <w:rStyle w:val="Hyperlink"/>
          </w:rPr>
          <w:t xml:space="preserve">https://www.R-project.org/</w:t>
        </w:r>
      </w:hyperlink>
    </w:p>
    <w:bookmarkEnd w:id="152"/>
    <w:bookmarkStart w:id="154"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3">
        <w:r>
          <w:rPr>
            <w:rStyle w:val="Hyperlink"/>
          </w:rPr>
          <w:t xml:space="preserve">https://doi.org/10.1080/10409289.2020.1780090</w:t>
        </w:r>
      </w:hyperlink>
    </w:p>
    <w:bookmarkEnd w:id="154"/>
    <w:bookmarkStart w:id="156"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5">
        <w:r>
          <w:rPr>
            <w:rStyle w:val="Hyperlink"/>
          </w:rPr>
          <w:t xml:space="preserve">https://doi.org/10.1002/wcs.1421</w:t>
        </w:r>
      </w:hyperlink>
    </w:p>
    <w:bookmarkEnd w:id="156"/>
    <w:bookmarkStart w:id="158"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57">
        <w:r>
          <w:rPr>
            <w:rStyle w:val="Hyperlink"/>
          </w:rPr>
          <w:t xml:space="preserve">https://doi.org/10.1111/cdev.12747</w:t>
        </w:r>
      </w:hyperlink>
    </w:p>
    <w:bookmarkEnd w:id="158"/>
    <w:bookmarkStart w:id="160"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59">
        <w:r>
          <w:rPr>
            <w:rStyle w:val="Hyperlink"/>
          </w:rPr>
          <w:t xml:space="preserve">https://doi.org/10.3758/BF03198298</w:t>
        </w:r>
      </w:hyperlink>
    </w:p>
    <w:bookmarkEnd w:id="160"/>
    <w:bookmarkStart w:id="162"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61">
        <w:r>
          <w:rPr>
            <w:rStyle w:val="Hyperlink"/>
          </w:rPr>
          <w:t xml:space="preserve">https://doi.org/10.1037/h0081105</w:t>
        </w:r>
      </w:hyperlink>
    </w:p>
    <w:bookmarkEnd w:id="162"/>
    <w:bookmarkStart w:id="164"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3">
        <w:r>
          <w:rPr>
            <w:rStyle w:val="Hyperlink"/>
          </w:rPr>
          <w:t xml:space="preserve">https://doi.org/10.1002/9781444344035.ch3</w:t>
        </w:r>
      </w:hyperlink>
    </w:p>
    <w:bookmarkEnd w:id="164"/>
    <w:bookmarkStart w:id="166"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5">
        <w:r>
          <w:rPr>
            <w:rStyle w:val="Hyperlink"/>
          </w:rPr>
          <w:t xml:space="preserve">https://doi.org/10.1006/jmla.1999.2700</w:t>
        </w:r>
      </w:hyperlink>
    </w:p>
    <w:bookmarkEnd w:id="166"/>
    <w:bookmarkStart w:id="168"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67">
        <w:r>
          <w:rPr>
            <w:rStyle w:val="Hyperlink"/>
          </w:rPr>
          <w:t xml:space="preserve">https://doi.org/10.1002/aur.2225</w:t>
        </w:r>
      </w:hyperlink>
    </w:p>
    <w:bookmarkEnd w:id="168"/>
    <w:bookmarkEnd w:id="169"/>
    <w:p>
      <w:pPr>
        <w:pStyle w:val="Textkrper"/>
      </w:pPr>
    </w:p>
    <w:p>
      <w:pPr>
        <w:pStyle w:val="berschrift2"/>
      </w:pPr>
      <w:bookmarkStart w:id="170" w:name="appendix"/>
      <w:r>
        <w:t xml:space="preserve">3.2	Appendix</w:t>
      </w:r>
      <w:bookmarkEnd w:id="170"/>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Trial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78" Target="http://www.eyetrackingr.com" TargetMode="External" /><Relationship Type="http://schemas.openxmlformats.org/officeDocument/2006/relationships/hyperlink" Id="rId100" Target="https://doi.org/10.1002/1097-0355(198921)10:1%3C25::AID-IMHJ2280100104%3E3.0.CO;2-R" TargetMode="External" /><Relationship Type="http://schemas.openxmlformats.org/officeDocument/2006/relationships/hyperlink" Id="rId163" Target="https://doi.org/10.1002/9781444344035.ch3" TargetMode="External" /><Relationship Type="http://schemas.openxmlformats.org/officeDocument/2006/relationships/hyperlink" Id="rId167" Target="https://doi.org/10.1002/aur.2225" TargetMode="External" /><Relationship Type="http://schemas.openxmlformats.org/officeDocument/2006/relationships/hyperlink" Id="rId155" Target="https://doi.org/10.1002/wcs.1421" TargetMode="External" /><Relationship Type="http://schemas.openxmlformats.org/officeDocument/2006/relationships/hyperlink" Id="rId132" Target="https://doi.org/10.1006/brln.2001.2588" TargetMode="External" /><Relationship Type="http://schemas.openxmlformats.org/officeDocument/2006/relationships/hyperlink" Id="rId130" Target="https://doi.org/10.1006/jmla.1998.2602" TargetMode="External" /><Relationship Type="http://schemas.openxmlformats.org/officeDocument/2006/relationships/hyperlink" Id="rId165"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2"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9"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6"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4" Target="https://doi.org/10.1017/S0305000916000209" TargetMode="External" /><Relationship Type="http://schemas.openxmlformats.org/officeDocument/2006/relationships/hyperlink" Id="rId134"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7" Target="https://doi.org/10.1017/S136672891300014X" TargetMode="External" /><Relationship Type="http://schemas.openxmlformats.org/officeDocument/2006/relationships/hyperlink" Id="rId142" Target="https://doi.org/10.1017/S1366728915000322" TargetMode="External" /><Relationship Type="http://schemas.openxmlformats.org/officeDocument/2006/relationships/hyperlink" Id="rId116"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2" Target="https://doi.org/10.1037/0012-1649.42.1.98" TargetMode="External" /><Relationship Type="http://schemas.openxmlformats.org/officeDocument/2006/relationships/hyperlink" Id="rId161" Target="https://doi.org/10.1037/h0081105" TargetMode="External" /><Relationship Type="http://schemas.openxmlformats.org/officeDocument/2006/relationships/hyperlink" Id="rId102" Target="https://doi.org/10.1037/h0084193" TargetMode="External" /><Relationship Type="http://schemas.openxmlformats.org/officeDocument/2006/relationships/hyperlink" Id="rId128"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2" Target="https://doi.org/10.1075/lab.15010.val" TargetMode="External" /><Relationship Type="http://schemas.openxmlformats.org/officeDocument/2006/relationships/hyperlink" Id="rId153" Target="https://doi.org/10.1080/10409289.2020.1780090" TargetMode="External" /><Relationship Type="http://schemas.openxmlformats.org/officeDocument/2006/relationships/hyperlink" Id="rId120" Target="https://doi.org/10.1080/15248372.2013.835312" TargetMode="External" /><Relationship Type="http://schemas.openxmlformats.org/officeDocument/2006/relationships/hyperlink" Id="rId105" Target="https://doi.org/10.1080/15250000701795598" TargetMode="External" /><Relationship Type="http://schemas.openxmlformats.org/officeDocument/2006/relationships/hyperlink" Id="rId136" Target="https://doi.org/10.1080/15250000902994073" TargetMode="External" /><Relationship Type="http://schemas.openxmlformats.org/officeDocument/2006/relationships/hyperlink" Id="rId147" Target="https://doi.org/10.1093/brain/122.12.2221" TargetMode="External" /><Relationship Type="http://schemas.openxmlformats.org/officeDocument/2006/relationships/hyperlink" Id="rId90" Target="https://doi.org/10.1109/DEVLRN.2008.4640802" TargetMode="External" /><Relationship Type="http://schemas.openxmlformats.org/officeDocument/2006/relationships/hyperlink" Id="rId157"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4" Target="https://doi.org/10.1111/desc.12544" TargetMode="External" /><Relationship Type="http://schemas.openxmlformats.org/officeDocument/2006/relationships/hyperlink" Id="rId114" Target="https://doi.org/10.1111/desc.12569" TargetMode="External" /><Relationship Type="http://schemas.openxmlformats.org/officeDocument/2006/relationships/hyperlink" Id="rId145" Target="https://doi.org/10.1111/desc.12794" TargetMode="External" /><Relationship Type="http://schemas.openxmlformats.org/officeDocument/2006/relationships/hyperlink" Id="rId138"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98" Target="https://doi.org/10.1111/j.1467-8624.1998.tb06215.x" TargetMode="External" /><Relationship Type="http://schemas.openxmlformats.org/officeDocument/2006/relationships/hyperlink" Id="rId140"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8"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10"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9"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96"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1"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78" Target="http://www.eyetrackingr.com" TargetMode="External" /><Relationship Type="http://schemas.openxmlformats.org/officeDocument/2006/relationships/hyperlink" Id="rId100" Target="https://doi.org/10.1002/1097-0355(198921)10:1%3C25::AID-IMHJ2280100104%3E3.0.CO;2-R" TargetMode="External" /><Relationship Type="http://schemas.openxmlformats.org/officeDocument/2006/relationships/hyperlink" Id="rId163" Target="https://doi.org/10.1002/9781444344035.ch3" TargetMode="External" /><Relationship Type="http://schemas.openxmlformats.org/officeDocument/2006/relationships/hyperlink" Id="rId167" Target="https://doi.org/10.1002/aur.2225" TargetMode="External" /><Relationship Type="http://schemas.openxmlformats.org/officeDocument/2006/relationships/hyperlink" Id="rId155" Target="https://doi.org/10.1002/wcs.1421" TargetMode="External" /><Relationship Type="http://schemas.openxmlformats.org/officeDocument/2006/relationships/hyperlink" Id="rId132" Target="https://doi.org/10.1006/brln.2001.2588" TargetMode="External" /><Relationship Type="http://schemas.openxmlformats.org/officeDocument/2006/relationships/hyperlink" Id="rId130" Target="https://doi.org/10.1006/jmla.1998.2602" TargetMode="External" /><Relationship Type="http://schemas.openxmlformats.org/officeDocument/2006/relationships/hyperlink" Id="rId165"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2"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9"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6"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4" Target="https://doi.org/10.1017/S0305000916000209" TargetMode="External" /><Relationship Type="http://schemas.openxmlformats.org/officeDocument/2006/relationships/hyperlink" Id="rId134"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7" Target="https://doi.org/10.1017/S136672891300014X" TargetMode="External" /><Relationship Type="http://schemas.openxmlformats.org/officeDocument/2006/relationships/hyperlink" Id="rId142" Target="https://doi.org/10.1017/S1366728915000322" TargetMode="External" /><Relationship Type="http://schemas.openxmlformats.org/officeDocument/2006/relationships/hyperlink" Id="rId116"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2" Target="https://doi.org/10.1037/0012-1649.42.1.98" TargetMode="External" /><Relationship Type="http://schemas.openxmlformats.org/officeDocument/2006/relationships/hyperlink" Id="rId161" Target="https://doi.org/10.1037/h0081105" TargetMode="External" /><Relationship Type="http://schemas.openxmlformats.org/officeDocument/2006/relationships/hyperlink" Id="rId102" Target="https://doi.org/10.1037/h0084193" TargetMode="External" /><Relationship Type="http://schemas.openxmlformats.org/officeDocument/2006/relationships/hyperlink" Id="rId128"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2" Target="https://doi.org/10.1075/lab.15010.val" TargetMode="External" /><Relationship Type="http://schemas.openxmlformats.org/officeDocument/2006/relationships/hyperlink" Id="rId153" Target="https://doi.org/10.1080/10409289.2020.1780090" TargetMode="External" /><Relationship Type="http://schemas.openxmlformats.org/officeDocument/2006/relationships/hyperlink" Id="rId120" Target="https://doi.org/10.1080/15248372.2013.835312" TargetMode="External" /><Relationship Type="http://schemas.openxmlformats.org/officeDocument/2006/relationships/hyperlink" Id="rId105" Target="https://doi.org/10.1080/15250000701795598" TargetMode="External" /><Relationship Type="http://schemas.openxmlformats.org/officeDocument/2006/relationships/hyperlink" Id="rId136" Target="https://doi.org/10.1080/15250000902994073" TargetMode="External" /><Relationship Type="http://schemas.openxmlformats.org/officeDocument/2006/relationships/hyperlink" Id="rId147" Target="https://doi.org/10.1093/brain/122.12.2221" TargetMode="External" /><Relationship Type="http://schemas.openxmlformats.org/officeDocument/2006/relationships/hyperlink" Id="rId90" Target="https://doi.org/10.1109/DEVLRN.2008.4640802" TargetMode="External" /><Relationship Type="http://schemas.openxmlformats.org/officeDocument/2006/relationships/hyperlink" Id="rId157"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4" Target="https://doi.org/10.1111/desc.12544" TargetMode="External" /><Relationship Type="http://schemas.openxmlformats.org/officeDocument/2006/relationships/hyperlink" Id="rId114" Target="https://doi.org/10.1111/desc.12569" TargetMode="External" /><Relationship Type="http://schemas.openxmlformats.org/officeDocument/2006/relationships/hyperlink" Id="rId145" Target="https://doi.org/10.1111/desc.12794" TargetMode="External" /><Relationship Type="http://schemas.openxmlformats.org/officeDocument/2006/relationships/hyperlink" Id="rId138"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98" Target="https://doi.org/10.1111/j.1467-8624.1998.tb06215.x" TargetMode="External" /><Relationship Type="http://schemas.openxmlformats.org/officeDocument/2006/relationships/hyperlink" Id="rId140"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8"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10"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9"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96"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1"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2021-01-18T21:23:06Z</dcterms:created>
  <dcterms:modified xsi:type="dcterms:W3CDTF">2021-01-18T21:23:06Z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Language mixing word learning</vt:lpwstr>
  </property>
  <property fmtid="{D5CDD505-2E9C-101B-9397-08002B2CF9AE}" pid="15" name="tablelist">
    <vt:lpwstr>no</vt:lpwstr>
  </property>
  <property fmtid="{D5CDD505-2E9C-101B-9397-08002B2CF9AE}" pid="16" name="wordcount">
    <vt:lpwstr>X</vt:lpwstr>
  </property>
</Properties>
</file>