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7.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w:t>
      </w:r>
      <w:r>
        <w:t xml:space="preserve"> </w:t>
      </w:r>
      <w:r>
        <w:rPr>
          <w:i/>
        </w:rPr>
        <w:t xml:space="preserve">chien/perro</w:t>
      </w:r>
      <w:r>
        <w:t xml:space="preserve"> </w:t>
      </w:r>
      <w:r>
        <w:t xml:space="preserve">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underscores the importance of examining multiple bilingual populations. This research suggests that language mixing may sometimes hinder children’s encoding of novel words that occur downstream, but leaves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people use different languages, while others occur when a bilingual speaker mixes two languages. Switches are more common in some families than others, and they can happen at both very short and very long intervals. Many switches even occur within individual sentences</w:t>
      </w:r>
      <w:r>
        <w:t xml:space="preserve"> </w:t>
      </w:r>
      <w:r>
        <w:t xml:space="preserve">(see Ervin-Tripp &amp; Reyes, 2005; Sridhar &amp; Sridhar, 1980)</w:t>
      </w:r>
      <w:r>
        <w:t xml:space="preserve">. In a natural play study with Spanish-English bilingual families, all caregivers mixed two languages within sentences at least once, and some parents mixed languages in as many as one-third of their utterances</w:t>
      </w:r>
      <w:r>
        <w:t xml:space="preserve"> </w:t>
      </w:r>
      <w:r>
        <w:t xml:space="preserve">(Bail, Morini, &amp; Newman, 2015)</w:t>
      </w:r>
      <w:r>
        <w:t xml:space="preserve">. Indeed, parents sometimes produce mixed-language sentences even when they overtly try to avoid it</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establish causation, as they cannot separate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is spoken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most representative populations of bilinguals in two communities: French–English bilingual children growing up in Montreal (Experiment 1), and Spanish–English bilingual children growing up in New Jersey (Experiment 2). Previous work has demonstrated that language mixing affects real-time word comprehension among children from both of these populations, thus making our results more interpretable</w:t>
      </w:r>
      <w:r>
        <w:t xml:space="preserve"> </w:t>
      </w:r>
      <w:r>
        <w:t xml:space="preserve">(Byers-Heinlein et al., 2017; Morini &amp; Newman, 2019; Potter, Fourakis, Morin-Lessard, Byers-Heinlein, &amp; Lew-Williams, 2018; Potter et al., 2019)</w:t>
      </w:r>
    </w:p>
    <w:p>
      <w:pPr>
        <w:pStyle w:val="Textkrper"/>
      </w:pPr>
      <w:r>
        <w:t xml:space="preserve">French-English and Spanish-English bilinguals in these communities differ along multiple dimensions, and here we highlight three particularly important differences. Most obviously, the two groups are learning different language pairs. However, because French and Spanish are typologically similar languages, we would not necessarily expect different effects of language mixing on word learning. The two groups also differ in terms of family/community norms for language use. Studies suggest that parents of Spanish-English bilinguals code-switch more often in interactions with their infants and toddlers than parents of French-English bilinguals</w:t>
      </w:r>
      <w:r>
        <w:t xml:space="preserve"> </w:t>
      </w:r>
      <w:r>
        <w:t xml:space="preserve">(Bail et al., 2015; Kremin, Alves, Orena, Polka, &amp; Byers-Heinlein, 2020)</w:t>
      </w:r>
      <w:r>
        <w:t xml:space="preserve">. Thus, it is possible that Spanish-English bilinguals would have more everyday exposure to the type of code-switched stimuli that we included in our study, which could make it easier for them to process</w:t>
      </w:r>
      <w:r>
        <w:t xml:space="preserve"> </w:t>
      </w:r>
      <w:r>
        <w:t xml:space="preserve">(Kroff, Dussias, Gerfen, Perrotti, &amp; Bajo, 2017)</w:t>
      </w:r>
      <w:r>
        <w:t xml:space="preserve">. Finally, French-English bilingual participants in Montreal are generally of mid-to-high socioeconomic status (SES), while Spanish-English bilingual participants in New Jersey have a wider range of SES, including many families of lower SES. Previous research using related experimental tasks has found that toddlers of higher SES have stronger language processing skills than those of lower SES</w:t>
      </w:r>
      <w:r>
        <w:t xml:space="preserve"> </w:t>
      </w:r>
      <w:r>
        <w:t xml:space="preserve">(Fernald &amp; Marchman, 2012; Fernald, Marchman, &amp; Weisleder, 2013)</w:t>
      </w:r>
      <w:r>
        <w:t xml:space="preserve">, which makes it plausible that French-English bilinguals may demonstrate more successful word learning in our task compared to Spanish-English bilinguals. Although any differences observed between the two populations could be attributed to one or more of these dimensions of difference, our comparison is an important first step for evaluating the generalizability of findings across populations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(Fernald, Marchman, &amp; Hurtado, 2008)</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that preceded a novel word, rather than at the novel word itself (e.g.,</w:t>
      </w:r>
      <w:r>
        <w:t xml:space="preserve"> </w:t>
      </w:r>
      <w:r>
        <w:t xml:space="preserve">“</w:t>
      </w:r>
      <w:r>
        <w:t xml:space="preserve">Do you see the</w:t>
      </w:r>
      <w:r>
        <w:t xml:space="preserve"> </w:t>
      </w:r>
      <w:r>
        <w:rPr>
          <w:i/>
        </w:rPr>
        <w:t xml:space="preserve">tileau</w:t>
      </w:r>
      <w:r>
        <w:t xml:space="preserve">?</w:t>
      </w:r>
      <w:r>
        <w:t xml:space="preserve">”</w:t>
      </w:r>
      <w:r>
        <w:t xml:space="preserve">), for two reasons. First, this enabled us to examine effects of language mixing on downstream learning, which would not be possible if the switch occurred at the novel word itself. Second, this allowed children to use both their existing lexical knowledge as well as phonological cues to detect that a code switch had occurred. Given that this is the first study to examine this research question,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dog in order to determine which of the two novel objects was being labeled. During the subsequent test phase, the two novel objects appeared side by 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Specifically, we predicted that on mixed-language trials (relative to single-language trials), children would be less successful in identifying the correct familiar object and, in turn, would have spent less time gazing at the target novel object.</w:t>
      </w:r>
    </w:p>
    <w:p>
      <w:pPr>
        <w:pStyle w:val="Textkrper"/>
      </w:pPr>
      <w:r>
        <w:t xml:space="preserve">We also considered several other potential results. First, it is possible that even when language mixing disrupts real-time processing, young children’s uptake of new words is unaffected. Second, it is possible that we would not replicate previously reported effects of language mixing on language comprehension. In this case, we would either find that language mixing does not affect word learning, or possibly that it does affect word learning but not due to in-the-moment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or vocabulary size predicted successful word learning in both the single-language and the mixed-language conditions.</w:t>
      </w:r>
    </w:p>
    <w:p>
      <w:pPr>
        <w:pStyle w:val="berschrift1"/>
      </w:pPr>
      <w:bookmarkStart w:id="21" w:name="X0b9a8a1ec94794a22066371bc78a70f0e32d908"/>
      <w:r>
        <w:t xml:space="preserve">1	Experiment 1: French-English bilinguals in Montreal</w:t>
      </w:r>
      <w:bookmarkEnd w:id="21"/>
    </w:p>
    <w:p>
      <w:pPr>
        <w:pStyle w:val="berschrift2"/>
      </w:pPr>
      <w:bookmarkStart w:id="22" w:name="method"/>
      <w:r>
        <w:t xml:space="preserve">1.1	Method</w:t>
      </w:r>
      <w:bookmarkEnd w:id="22"/>
    </w:p>
    <w:p>
      <w:pPr>
        <w:pStyle w:val="FirstParagraph"/>
      </w:pPr>
      <w:r>
        <w:t xml:space="preserve">The methods of Experiment 1 were approved by the Concordia University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Textkrper"/>
      </w:pPr>
      <w:r>
        <w:t xml:space="preserve">The general concept for the study design was inspired by</w:t>
      </w:r>
      <w:r>
        <w:t xml:space="preserve"> </w:t>
      </w:r>
      <w:r>
        <w:t xml:space="preserve">Fernald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sensitivity analysis indicated that this sample size has 80% power to detect an effect size of</w:t>
      </w:r>
      <w:r>
        <w:t xml:space="preserve"> </w:t>
      </w:r>
      <w:r>
        <w:rPr>
          <w:i/>
        </w:rPr>
        <w:t xml:space="preserve">dz</w:t>
      </w:r>
      <w:r>
        <w:t xml:space="preserve"> </w:t>
      </w:r>
      <w:r>
        <w:t xml:space="preserve">= .68 or greater in a two-tailed repeated measures</w:t>
      </w:r>
      <w:r>
        <w:t xml:space="preserve"> </w:t>
      </w:r>
      <w:r>
        <w:rPr>
          <w:i/>
        </w:rPr>
        <w:t xml:space="preserve">t</w:t>
      </w:r>
      <w:r>
        <w:t xml:space="preserve">-test, which is the average effect size observed in word recognition paradigms in children older than 16 months according to MetaLab</w:t>
      </w:r>
      <w:r>
        <w:t xml:space="preserve"> </w:t>
      </w:r>
      <w:r>
        <w:t xml:space="preserve">(</w:t>
      </w:r>
      <w:hyperlink r:id="rId25">
        <w:r>
          <w:rPr>
            <w:rStyle w:val="Hyperlink"/>
          </w:rPr>
          <w:t xml:space="preserve">https://metalab.stanford.edu</w:t>
        </w:r>
      </w:hyperlink>
      <w:r>
        <w:t xml:space="preserve">; Bergmann et al., 2018)</w:t>
      </w:r>
      <w:r>
        <w:t xml:space="preserve">. All children were growing up in Montreal.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w:t>
      </w:r>
    </w:p>
    <w:p>
      <w:pPr>
        <w:pStyle w:val="Textkrper"/>
      </w:pPr>
      <w:r>
        <w:t xml:space="preserve">Children’s productive vocabulary was measured in each of their languages. We assessed vocabulary via parent report measure, rather than using a direct measure such as the Peabody Picture Vocabulary Test (PPVT;</w:t>
      </w:r>
      <w:r>
        <w:t xml:space="preserve"> </w:t>
      </w:r>
      <w:r>
        <w:t xml:space="preserve">Dunn and Dunn (2007)</w:t>
      </w:r>
      <w:r>
        <w:t xml:space="preserve">).This choice was made in order to reduce the length of the experimental session for children, as they were also participating in a second eye-tracking study. Moreover, some of our research assistants did not have sufficient proficiency to administer the test in both languages. We chose a vocabulary measure appropriate for this age group,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sound masculine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rPr>
          <w:i/>
        </w:rPr>
        <w:t xml:space="preserve">Regarde! Vois-tu le chien sur le tileau</w:t>
      </w:r>
      <w:r>
        <w:t xml:space="preserve">?</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experiments</w:t>
      </w:r>
      <w:r>
        <w:t xml:space="preserve"> </w:t>
      </w:r>
      <w:r>
        <w:t xml:space="preserve">(Byers-Heinlein et al., 2017; Potter et al., 2019)</w:t>
      </w:r>
      <w:r>
        <w:t xml:space="preserve">. Moreover, direct observations of French-English bilingual parents’ code switching suggests that they are equally likely to switch within a syntactic phrase as they are to switch between syntactic phrases</w:t>
      </w:r>
      <w:r>
        <w:t xml:space="preserve"> </w:t>
      </w:r>
      <w:r>
        <w:t xml:space="preserve">(Kremin et al., 2020)</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so they would be unaware of the stimuli.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sentence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0.64,</w:t>
      </w:r>
      <w:r>
        <w:t xml:space="preserve"> </w:t>
      </w:r>
      <w:r>
        <w:rPr>
          <w:i/>
        </w:rPr>
        <w:t xml:space="preserve">SD</w:t>
      </w:r>
      <w:r>
        <w:t xml:space="preserve"> </w:t>
      </w:r>
      <w:r>
        <w:t xml:space="preserve">= 0.05] than when its label had been encountered in mixed-language sentences [</w:t>
      </w:r>
      <w:r>
        <w:rPr>
          <w:i/>
        </w:rPr>
        <w:t xml:space="preserve">M</w:t>
      </w:r>
      <w:r>
        <w:t xml:space="preserve"> </w:t>
      </w:r>
      <w:r>
        <w:t xml:space="preserve">= 0.44,</w:t>
      </w:r>
      <w:r>
        <w:t xml:space="preserve"> </w:t>
      </w:r>
      <w:r>
        <w:rPr>
          <w:i/>
        </w:rPr>
        <w:t xml:space="preserve">SD</w:t>
      </w:r>
      <w:r>
        <w:t xml:space="preserve"> </w:t>
      </w:r>
      <w:r>
        <w:t xml:space="preserve">= 0.06,</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0.02,</w:t>
      </w:r>
      <w:r>
        <w:t xml:space="preserve"> </w:t>
      </w:r>
      <w:r>
        <w:rPr>
          <w:i/>
        </w:rPr>
        <w:t xml:space="preserve">d</w:t>
      </w:r>
      <w:r>
        <w:t xml:space="preserve"> </w:t>
      </w:r>
      <w:r>
        <w:t xml:space="preserve">= 0.62], indicating successful recognition. However, children’s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Average proportion looking to target object for French-English bilinguals (Experiment 1). Cirlces show individual datapoints. Bars represent standard error of the mean."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Average proportion looking to target object for French-English bilinguals (Experiment 1). Cirlces show individual datapoints. Bars represent standard error of the mean.</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of looking to the objects was analyzed with a 2 (target type: target, distractor) x 2 (familiarity: familiar, novel) x 2 (sentence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sentence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2:</w:t>
      </w:r>
    </w:p>
    <w:p>
      <w:pPr>
        <w:pStyle w:val="Compact"/>
        <w:pStyle w:val="TableCaption"/>
      </w:pPr>
      <w:r>
        <w:rPr>
          <w:i/>
        </w:rPr>
        <w:t xml:space="preserve">French-English bilinguals (Experiment 1): ANOVA for learning trials.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sentence 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target 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sentence type * 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sentence type * target 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sentence type * 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56503e913f6883a3aa79c4b4b10855aa5db0c5a"/>
      <w:r>
        <w:t xml:space="preserve">2	Experiment 2: Spanish-English bilinguals in New Jersey</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New Jersey.</w:t>
      </w:r>
    </w:p>
    <w:p>
      <w:pPr>
        <w:pStyle w:val="berschrift2"/>
      </w:pPr>
      <w:bookmarkStart w:id="36" w:name="method-1"/>
      <w:r>
        <w:t xml:space="preserve">2.1	Method</w:t>
      </w:r>
      <w:bookmarkEnd w:id="36"/>
    </w:p>
    <w:p>
      <w:pPr>
        <w:pStyle w:val="FirstParagraph"/>
      </w:pPr>
      <w:r>
        <w:t xml:space="preserve">The method of Experiment 2 was approved by the Princeton University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New Jersey.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who had a mean of 13.50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Thus, we infer that the sample of Spanish-English bilingual children was of lower socioeconomic status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may be related to differences in average socioeconomic status between the two samples</w:t>
      </w:r>
      <w:r>
        <w:t xml:space="preserve"> </w:t>
      </w:r>
      <w:r>
        <w:t xml:space="preserve">(e.g., Hart &amp; Risley, 1995; Gilkerson et al., 2017)</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different phonological onsets, different rhymes, and sounded masculine in Spanish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i/>
        </w:rPr>
        <w:t xml:space="preserve"> </w:t>
      </w:r>
      <w:r>
        <w:rPr>
          <w:i/>
        </w:rPr>
        <w:t xml:space="preserve">encima del teelo?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who wore occluded glasses and headphones with music so that they were unaware of the stimuli. Children viewed stimuli approximately 70 cm from a large, flat-screen television monitor (68 x 122 cm). As no eye tracker was available at the location of data collection, the experimenter recorded children’s eye movements via a video camera below the screen, which had a frame-rate of 29.97 Hz. Research comparing automatic eye -tracking to manual coding suggests that the latter results in less data loss, but overall patterns of looking are similar across the two approaches</w:t>
      </w:r>
      <w:r>
        <w:t xml:space="preserve"> </w:t>
      </w:r>
      <w:r>
        <w:t xml:space="preserve">(Venker et al., 2020)</w:t>
      </w:r>
      <w:r>
        <w:t xml:space="preserve">. After testing, a researcher who was unaware of the experimental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0.07,</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0.07,</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Average proportion looking to target object for Spanish-English bilinguals (Experiment 2). Cirlces show individual datapoints.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Average proportion looking to target object for Spanish-English bilinguals (Experiment 2). Cirlces show individual datapoints.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during the learning phase.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 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sentence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lear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learning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Next, we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 (</w:t>
      </w:r>
      <w:r>
        <w:rPr>
          <w:i/>
        </w:rPr>
        <w:t xml:space="preserve">p</w:t>
      </w:r>
      <w:r>
        <w:t xml:space="preserve"> </w:t>
      </w:r>
      <w:r>
        <w:t xml:space="preserve">= 0.06).</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3"/>
      </w:pPr>
      <w:bookmarkStart w:id="46" w:name="Xf35a0a4dc2c1f793eb4df8e1417387648fd4e3c"/>
      <w:r>
        <w:t xml:space="preserve">2.2.4	Relationship between learning phase and test performance.</w:t>
      </w:r>
      <w:bookmarkEnd w:id="46"/>
    </w:p>
    <w:p>
      <w:pPr>
        <w:pStyle w:val="FirstParagraph"/>
      </w:pPr>
      <w:r>
        <w:t xml:space="preserve">In the next two sections, we combined datasets from the two populations to explore potential individual differences in performance. First, we examined whether performance at test was predicted by performance during the learning phase, exploring whether this relationship was moderated by sentence type (single-language, mixed-language) and population (French-English, Spanish-English). Scatterplots visualizing these relationships are shown in Figure</w:t>
      </w:r>
      <w:r>
        <w:t xml:space="preserve"> </w:t>
      </w:r>
      <w:r>
        <w:t xml:space="preserve">6</w:t>
      </w:r>
      <w:r>
        <w:t xml:space="preserve">. Because one of our predictors was continuous rather than categorical (performance during learning), we moved from the ANOVA framework used in the previous analyses to a linear mixed-effects model framework. This approach had the additional benefit of modeling the data at an individual trial level, which could potentially increase statistical power. Based on our previous results, our model included fixed effects of performance during the learning phase, sentence type, and population, the interaction between sentence type and population (since French-English but not Spanish-English toddlers showed difference performance by sentence type), as well as random slopes by participants. Results are show in Table</w:t>
      </w:r>
      <w:r>
        <w:t xml:space="preserve"> </w:t>
      </w:r>
      <w:r>
        <w:t xml:space="preserve">6</w:t>
      </w:r>
      <w:r>
        <w:t xml:space="preserve">. The reference level for population was French-English bilinguals, and the reference level for sentence type was single-language. The model equation was prop.test ~ prop.learning + sentence.type*population + (1|id).</w:t>
      </w:r>
    </w:p>
    <w:p>
      <w:pPr>
        <w:pStyle w:val="Textkrper"/>
      </w:pPr>
      <w:r>
        <w:t xml:space="preserve">The analysis revealed a significant main effect of performance during the learning phase, revealing that toddlers who performed better during the learning phase performed better at test. There was also a significant interaction between sentence type and population, replicating the finding from our previous analysis that French-English bilinguals did better on single-language than mixed-language trials than single-language trials, but that Spanish-English toddlers performed similarly on both sentence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 based on a chi-squared test comparing the models.</w:t>
      </w:r>
    </w:p>
    <w:p>
      <w:pPr>
        <w:pStyle w:val="CaptionedFigure"/>
      </w:pPr>
      <w:r>
        <w:drawing>
          <wp:inline>
            <wp:extent cx="5969000" cy="3410857"/>
            <wp:effectExtent b="0" l="0" r="0" t="0"/>
            <wp:docPr descr="Figure 6.   Scatterplot showing performance during the learning phase and peformance at test by population and sentence type. Lines represent best linear fit."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Scatterplot showing performance during the learning phase and peformance at test by population and sentence type. Lines represent best linear fit.</w:t>
      </w:r>
    </w:p>
    <w:p>
      <w:pPr>
        <w:pStyle w:val="Compact"/>
      </w:pPr>
      <w:r>
        <w:t xml:space="preserve">Table 6:</w:t>
      </w:r>
    </w:p>
    <w:p>
      <w:pPr>
        <w:pStyle w:val="Compact"/>
        <w:pStyle w:val="TableCaption"/>
      </w:pPr>
      <w:r>
        <w:rPr>
          <w:i/>
        </w:rPr>
        <w:t xml:space="preserve">Linear mixed effects model testing effects of population, sentence type, and performance during the learning phase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learning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8" w:name="individual-differences"/>
      <w:r>
        <w:t xml:space="preserve">2.2.5	Individual differences.</w:t>
      </w:r>
      <w:bookmarkEnd w:id="48"/>
    </w:p>
    <w:p>
      <w:pPr>
        <w:pStyle w:val="FirstParagraph"/>
      </w:pPr>
      <w:r>
        <w:t xml:space="preserve">Next, we examined whether performance was related to vocabulary knowledge (dominant language vocabulary, non-dominant language vocabulary, and total vocabulary) or exposure to language mixing. To fully explore the data, we computed correlations separately for learning and test phases, both for each population separately as well as for the whole sample combined. Thus, a total of 24 different correlations were computed (see Table</w:t>
      </w:r>
      <w:r>
        <w:t xml:space="preserve"> </w:t>
      </w:r>
      <w:r>
        <w:t xml:space="preserve">7</w:t>
      </w:r>
      <w:r>
        <w:t xml:space="preserve">). None of the correlations approached statistical significance, even without controlling for multiple comparisons (ps ⩾ 0.13).</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-0.10</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dominant language vocabulary</w:t>
            </w:r>
          </w:p>
        </w:tc>
        <w:tc>
          <w:p>
            <w:pPr>
              <w:pStyle w:val="Compact"/>
              <w:jc w:val="left"/>
            </w:pPr>
            <w:r>
              <w:t xml:space="preserve">-0.02</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non-dominant language vocabulary</w:t>
            </w:r>
          </w:p>
        </w:tc>
        <w:tc>
          <w:p>
            <w:pPr>
              <w:pStyle w:val="Compact"/>
              <w:jc w:val="left"/>
            </w:pPr>
            <w:r>
              <w:t xml:space="preserve">-0.10</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-0.07</w:t>
            </w:r>
          </w:p>
        </w:tc>
        <w:tc>
          <w:p>
            <w:pPr>
              <w:pStyle w:val="Compact"/>
              <w:jc w:val="left"/>
            </w:pPr>
            <w:r>
              <w:t xml:space="preserve">-0.14</w:t>
            </w:r>
          </w:p>
        </w:tc>
        <w:tc>
          <w:p>
            <w:pPr>
              <w:pStyle w:val="Compact"/>
              <w:jc w:val="left"/>
            </w:pPr>
            <w:r>
              <w:t xml:space="preserve">-0.02</w:t>
            </w:r>
          </w:p>
        </w:tc>
      </w:tr>
      <w:tr>
        <w:tc>
          <w:p>
            <w:pPr>
              <w:pStyle w:val="Compact"/>
              <w:jc w:val="left"/>
            </w:pPr>
            <w:r>
              <w:t xml:space="preserve">learning</w:t>
            </w:r>
          </w:p>
        </w:tc>
        <w:tc>
          <w:p>
            <w:pPr>
              <w:pStyle w:val="Compact"/>
              <w:jc w:val="left"/>
            </w:pPr>
            <w:r>
              <w:t xml:space="preserve">language mixing</w:t>
            </w:r>
          </w:p>
        </w:tc>
        <w:tc>
          <w:p>
            <w:pPr>
              <w:pStyle w:val="Compact"/>
              <w:jc w:val="left"/>
            </w:pPr>
            <w:r>
              <w:t xml:space="preserve">-0.10</w:t>
            </w:r>
          </w:p>
        </w:tc>
        <w:tc>
          <w:p>
            <w:pPr>
              <w:pStyle w:val="Compact"/>
              <w:jc w:val="left"/>
            </w:pPr>
            <w:r>
              <w:t xml:space="preserve">0.14</w:t>
            </w:r>
          </w:p>
        </w:tc>
        <w:tc>
          <w:p>
            <w:pPr>
              <w:pStyle w:val="Compact"/>
              <w:jc w:val="left"/>
            </w:pPr>
            <w:r>
              <w:t xml:space="preserve">-0.11</w:t>
            </w:r>
          </w:p>
        </w:tc>
      </w:tr>
      <w:tr>
        <w:tc>
          <w:p>
            <w:pPr>
              <w:pStyle w:val="Compact"/>
              <w:jc w:val="left"/>
            </w:pPr>
            <w:r>
              <w:t xml:space="preserve">learning</w:t>
            </w:r>
          </w:p>
        </w:tc>
        <w:tc>
          <w:p>
            <w:pPr>
              <w:pStyle w:val="Compact"/>
              <w:jc w:val="left"/>
            </w:pPr>
            <w:r>
              <w:t xml:space="preserve">dominant language vocabulary</w:t>
            </w:r>
          </w:p>
        </w:tc>
        <w:tc>
          <w:p>
            <w:pPr>
              <w:pStyle w:val="Compact"/>
              <w:jc w:val="left"/>
            </w:pPr>
            <w:r>
              <w:t xml:space="preserve">-0.02</w:t>
            </w:r>
          </w:p>
        </w:tc>
        <w:tc>
          <w:p>
            <w:pPr>
              <w:pStyle w:val="Compact"/>
              <w:jc w:val="left"/>
            </w:pPr>
            <w:r>
              <w:t xml:space="preserve">0.25</w:t>
            </w:r>
          </w:p>
        </w:tc>
        <w:tc>
          <w:p>
            <w:pPr>
              <w:pStyle w:val="Compact"/>
              <w:jc w:val="left"/>
            </w:pPr>
            <w:r>
              <w:t xml:space="preserve">-0.01</w:t>
            </w:r>
          </w:p>
        </w:tc>
      </w:tr>
      <w:tr>
        <w:tc>
          <w:p>
            <w:pPr>
              <w:pStyle w:val="Compact"/>
              <w:jc w:val="left"/>
            </w:pPr>
            <w:r>
              <w:t xml:space="preserve">learning</w:t>
            </w:r>
          </w:p>
        </w:tc>
        <w:tc>
          <w:p>
            <w:pPr>
              <w:pStyle w:val="Compact"/>
              <w:jc w:val="left"/>
            </w:pPr>
            <w:r>
              <w:t xml:space="preserve">non-dominant language vocabulary</w:t>
            </w:r>
          </w:p>
        </w:tc>
        <w:tc>
          <w:p>
            <w:pPr>
              <w:pStyle w:val="Compact"/>
              <w:jc w:val="left"/>
            </w:pPr>
            <w:r>
              <w:t xml:space="preserve">-0.10</w:t>
            </w:r>
          </w:p>
        </w:tc>
        <w:tc>
          <w:p>
            <w:pPr>
              <w:pStyle w:val="Compact"/>
              <w:jc w:val="left"/>
            </w:pPr>
            <w:r>
              <w:t xml:space="preserve">0.18</w:t>
            </w:r>
          </w:p>
        </w:tc>
        <w:tc>
          <w:p>
            <w:pPr>
              <w:pStyle w:val="Compact"/>
              <w:jc w:val="left"/>
            </w:pPr>
            <w:r>
              <w:t xml:space="preserve">0.05</w:t>
            </w:r>
          </w:p>
        </w:tc>
      </w:tr>
      <w:tr>
        <w:tc>
          <w:p>
            <w:pPr>
              <w:pStyle w:val="Compact"/>
              <w:jc w:val="left"/>
            </w:pPr>
            <w:r>
              <w:t xml:space="preserve">learning</w:t>
            </w:r>
          </w:p>
        </w:tc>
        <w:tc>
          <w:p>
            <w:pPr>
              <w:pStyle w:val="Compact"/>
              <w:jc w:val="left"/>
            </w:pPr>
            <w:r>
              <w:t xml:space="preserve">total vocabulary</w:t>
            </w:r>
          </w:p>
        </w:tc>
        <w:tc>
          <w:p>
            <w:pPr>
              <w:pStyle w:val="Compact"/>
              <w:jc w:val="left"/>
            </w:pPr>
            <w:r>
              <w:t xml:space="preserve">-0.07</w:t>
            </w:r>
          </w:p>
        </w:tc>
        <w:tc>
          <w:p>
            <w:pPr>
              <w:pStyle w:val="Compact"/>
              <w:jc w:val="left"/>
            </w:pPr>
            <w:r>
              <w:t xml:space="preserve">0.23</w:t>
            </w:r>
          </w:p>
        </w:tc>
        <w:tc>
          <w:p>
            <w:pPr>
              <w:pStyle w:val="Compact"/>
              <w:jc w:val="left"/>
            </w:pPr>
            <w:r>
              <w:t xml:space="preserve">0.11</w:t>
            </w:r>
          </w:p>
        </w:tc>
      </w:tr>
    </w:tbl>
    <w:p>
      <w:pPr>
        <w:pStyle w:val="berschrift1"/>
      </w:pPr>
      <w:bookmarkStart w:id="49" w:name="general-discussion"/>
      <w:r>
        <w:t xml:space="preserve">3	General discussion</w:t>
      </w:r>
      <w:bookmarkEnd w:id="49"/>
    </w:p>
    <w:p>
      <w:pPr>
        <w:pStyle w:val="FirstParagraph"/>
      </w:pPr>
      <w:r>
        <w:t xml:space="preserve">We tested whether and how language mixing affects novel word learning in 3-year-old bilingual children from two language communities: French-English bilinguals in Montreal, and Spanish-English bilinguals in New Jersey.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(at least sometimes)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during the learning phase, regardless of whether they encountered its label in a single-language or a mixed-language sentence. Eye-tracking data, which was only available for French-English bilinguals, additionally revealed that French-English bilinguals successfully directed their gaze to the target novel object. That is, children generally shifted their eyes to the</w:t>
      </w:r>
      <w:r>
        <w:t xml:space="preserve"> </w:t>
      </w:r>
      <w:r>
        <w:t xml:space="preserve">‘</w:t>
      </w:r>
      <w:r>
        <w:t xml:space="preserve">correct</w:t>
      </w:r>
      <w:r>
        <w:t xml:space="preserve">’</w:t>
      </w:r>
      <w:r>
        <w:t xml:space="preserve"> </w:t>
      </w:r>
      <w:r>
        <w:t xml:space="preserve">location independent of sentence type, population, or their previous experience with language mixing. This presents a key problem: despite consistently successful looking toward the correct referents, Spanish-English bilinguals did not appear to successfully learn either of the novel word-object mappings (perhaps because they were less efficient overall in orienting to the target novel referent), yet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(Fernald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children retain the label. The authors suggested that although the familiar objects helped children identify the novel object, they also competed as possible referents for the novel word. Such complexity was also present in our design. On each learning trial, children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 Our results converge with this theoretical framework, as for both French-English and Spanish-English bilinguals, children who spent more time looking at the labeled object during the learning phase performed better at test.</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et al., 2018, 2019)</w:t>
      </w:r>
      <w:r>
        <w:t xml:space="preserve">. Such comparisons are essential for evaluating the generalizability of findings across populations of bilingual learners. 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out the possibility that small differences in setups, stimuli, and coding approaches between the two labs contributed to our divergent findings, although we took as many steps as possible to minimize these differences. However, both labs have a history of detecting subtle processing effects in related paradigms with both bilinguals and monolinguals of this approximate age.</w:t>
      </w:r>
    </w:p>
    <w:p>
      <w:pPr>
        <w:pStyle w:val="Textkrper"/>
      </w:pPr>
      <w:r>
        <w:t xml:space="preserve">We believe that the differences we observed are likely to be attributable to differences between the populations themselves. Indeed, there are a wide range of differences between our two groups of learners, which collectively highlight the importance of examining multiple populations in bilingual research. In our dataset, the two samples were similar in terms of how much language mixing they encountered (according to parental report), although this still leaves open the possibility that they might encounter different types of language mixing, which could be either similar to or distinct from our stimuli. We did observe that the families of French-English bilingual participants were of higher average socioeconomic status than the Spanish-English bilinguals, and had higher vocabularies, and previous research points to socioeconomic status as an important influence on early language processing and vocabulary growth</w:t>
      </w:r>
      <w:r>
        <w:t xml:space="preserve"> </w:t>
      </w:r>
      <w:r>
        <w:t xml:space="preserve">(e.g., Fernald et al., 2013)</w:t>
      </w:r>
      <w:r>
        <w:t xml:space="preserve">. However, it is safe to assume that other dimensions of language experience which we were not able to measure directly also play a role in shaping bilingual learning. For example, we do not know how typical our chosen novel words were of other words in their vocabularies (even though the words were always pronounced with language-specific phonology). Moreover, these bilinguals’ learning takes place in different cultural milieus, with potentially different family-level and/or society-level differences in language attitudes.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A second possibility is that bilingual children learn over time that language mixing does not offer an optimal moment for learning, and thus they either implicitly or explicitly disengage and/or do not encode novel words that appear in mixed-language sentences. Toddlers have been shown to apply at least some selectivity when learning words; for example, they prefer word labels that come from reliable over unreliable speakers</w:t>
      </w:r>
      <w:r>
        <w:t xml:space="preserve"> </w:t>
      </w:r>
      <w:r>
        <w:t xml:space="preserve">(Mangardich &amp; Sabbagh, 2018)</w:t>
      </w:r>
      <w:r>
        <w:t xml:space="preserve">. It may be that children interpret language mixing as a signal of a speaker’s uncertainty or unreliability in that moment, which may block efficient encoding of novel information. This possibility would need to be tested empirically in a future study that broadly examines children’s uptake of new information in communicative contexts with frequent vs. infrequent language mixing.</w:t>
      </w:r>
    </w:p>
    <w:p>
      <w:pPr>
        <w:pStyle w:val="Textkrper"/>
      </w:pPr>
      <w:r>
        <w:t xml:space="preserve">Another approach to evaluating these contrasting – but complementary – ideas would be to teach children words in language-mixing contexts with simpler visuals than those used in the current design. For example, in an eye-tracking task, the child could view just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learning and/or show failure to learn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but in a range of language processing contexts, in order to better understand when code mixing does and does not impact word learning. In our study, children heard a code-mixed noun prior to encountering a novel word. However, code-mixing comes in many other forms, at different parts of the phrase, and for different parts of speech. Moreover, parents sometimes code-mixe by providing immediate translations of words and phrases, which is likely to reflect a conscious effort to teach their children new words</w:t>
      </w:r>
      <w:r>
        <w:t xml:space="preserve"> </w:t>
      </w:r>
      <w:r>
        <w:t xml:space="preserve">(Byers-Heinlein, 2013; Kremin et al., 2020)</w:t>
      </w:r>
      <w:r>
        <w:t xml:space="preserve">. In the end, it is likely that some types of code-mixing would actually support rather than derail word learning</w:t>
      </w:r>
      <w:r>
        <w:t xml:space="preserve"> </w:t>
      </w:r>
      <w:r>
        <w:t xml:space="preserve">(e.g., Read, Contreras, Rodriguez, &amp; Jara, 2020)</w:t>
      </w:r>
      <w:r>
        <w:t xml:space="preserve">.</w:t>
      </w:r>
    </w:p>
    <w:p>
      <w:pPr>
        <w:pStyle w:val="Textkrper"/>
      </w:pPr>
      <w:r>
        <w:t xml:space="preserve">To conclude, these experiments provide two main contributions to existing research. First, the data suggest that language mixing can sometimes hinder bilingual children’s learning of new words that occur downstream, but leave open important questions as to why. Second, the two experiments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0" w:name="references"/>
      <w:r>
        <w:t xml:space="preserve">3.1	References</w:t>
      </w:r>
      <w:bookmarkEnd w:id="50"/>
    </w:p>
    <w:bookmarkStart w:id="168" w:name="refs"/>
    <w:bookmarkStart w:id="52"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1">
        <w:r>
          <w:rPr>
            <w:rStyle w:val="Hyperlink"/>
          </w:rPr>
          <w:t xml:space="preserve">https://doi.org/10.3758/BF03200936</w:t>
        </w:r>
      </w:hyperlink>
    </w:p>
    <w:bookmarkEnd w:id="52"/>
    <w:bookmarkStart w:id="54"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3">
        <w:r>
          <w:rPr>
            <w:rStyle w:val="Hyperlink"/>
          </w:rPr>
          <w:t xml:space="preserve">https://doi.org/10.1017/S0305000914000695</w:t>
        </w:r>
      </w:hyperlink>
    </w:p>
    <w:bookmarkEnd w:id="54"/>
    <w:bookmarkStart w:id="56"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5">
        <w:r>
          <w:rPr>
            <w:rStyle w:val="Hyperlink"/>
          </w:rPr>
          <w:t xml:space="preserve">https://doi.org/10.1111/cdev.13079</w:t>
        </w:r>
      </w:hyperlink>
    </w:p>
    <w:bookmarkEnd w:id="56"/>
    <w:bookmarkStart w:id="58"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7">
        <w:r>
          <w:rPr>
            <w:rStyle w:val="Hyperlink"/>
          </w:rPr>
          <w:t xml:space="preserve">https://doi.org/10.1016/j.cognition.2012.08.008</w:t>
        </w:r>
      </w:hyperlink>
    </w:p>
    <w:bookmarkEnd w:id="58"/>
    <w:bookmarkStart w:id="59"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59"/>
    <w:bookmarkStart w:id="61"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0">
        <w:r>
          <w:rPr>
            <w:rStyle w:val="Hyperlink"/>
          </w:rPr>
          <w:t xml:space="preserve">https://doi.org/10.1017/S1366728912000120</w:t>
        </w:r>
      </w:hyperlink>
    </w:p>
    <w:bookmarkEnd w:id="61"/>
    <w:bookmarkStart w:id="63"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2">
        <w:r>
          <w:rPr>
            <w:rStyle w:val="Hyperlink"/>
          </w:rPr>
          <w:t xml:space="preserve">https://doi.org/10.1111/lang.12055</w:t>
        </w:r>
      </w:hyperlink>
    </w:p>
    <w:bookmarkEnd w:id="63"/>
    <w:bookmarkStart w:id="65"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64">
        <w:r>
          <w:rPr>
            <w:rStyle w:val="Hyperlink"/>
          </w:rPr>
          <w:t xml:space="preserve">https://doi.org/10.1073/pnas.1703220114</w:t>
        </w:r>
      </w:hyperlink>
    </w:p>
    <w:bookmarkEnd w:id="65"/>
    <w:bookmarkStart w:id="67"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66">
        <w:r>
          <w:rPr>
            <w:rStyle w:val="Hyperlink"/>
          </w:rPr>
          <w:t xml:space="preserve">https://doi.org/10.31234/osf.io/sqh9d</w:t>
        </w:r>
      </w:hyperlink>
    </w:p>
    <w:bookmarkEnd w:id="67"/>
    <w:bookmarkStart w:id="69"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68">
        <w:r>
          <w:rPr>
            <w:rStyle w:val="Hyperlink"/>
          </w:rPr>
          <w:t xml:space="preserve">https://doi.org/10.1111/infa.12315</w:t>
        </w:r>
      </w:hyperlink>
    </w:p>
    <w:bookmarkEnd w:id="69"/>
    <w:bookmarkStart w:id="70"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0"/>
    <w:bookmarkStart w:id="72"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1">
        <w:r>
          <w:rPr>
            <w:rStyle w:val="Hyperlink"/>
          </w:rPr>
          <w:t xml:space="preserve">https://doi.org/10.1007/BF01067622</w:t>
        </w:r>
      </w:hyperlink>
    </w:p>
    <w:bookmarkEnd w:id="72"/>
    <w:bookmarkStart w:id="74"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73">
        <w:r>
          <w:rPr>
            <w:rStyle w:val="Hyperlink"/>
          </w:rPr>
          <w:t xml:space="preserve">https://doi.org/10.1016/j.wocn.2010.12.002</w:t>
        </w:r>
      </w:hyperlink>
    </w:p>
    <w:bookmarkEnd w:id="74"/>
    <w:bookmarkStart w:id="76"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75">
        <w:r>
          <w:rPr>
            <w:rStyle w:val="Hyperlink"/>
          </w:rPr>
          <w:t xml:space="preserve">https://doi.org/10.1017/S1366728917000220</w:t>
        </w:r>
      </w:hyperlink>
    </w:p>
    <w:bookmarkEnd w:id="76"/>
    <w:bookmarkStart w:id="78" w:name="ref-eyetracking_r"/>
    <w:p>
      <w:pPr>
        <w:pStyle w:val="Literaturverzeichnis"/>
      </w:pPr>
      <w:r>
        <w:t xml:space="preserve">Dink, J., &amp; Ferguson, B. (2015). eyetrackingR: An R Library for Eye-tracking Data Analysis. Retrieved from</w:t>
      </w:r>
      <w:r>
        <w:t xml:space="preserve"> </w:t>
      </w:r>
      <w:hyperlink r:id="rId77">
        <w:r>
          <w:rPr>
            <w:rStyle w:val="Hyperlink"/>
          </w:rPr>
          <w:t xml:space="preserve">http://www.eyetrackingr.com</w:t>
        </w:r>
      </w:hyperlink>
    </w:p>
    <w:bookmarkEnd w:id="78"/>
    <w:bookmarkStart w:id="79"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79"/>
    <w:bookmarkStart w:id="80"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0"/>
    <w:bookmarkStart w:id="81"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1"/>
    <w:bookmarkStart w:id="83"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82">
        <w:r>
          <w:rPr>
            <w:rStyle w:val="Hyperlink"/>
          </w:rPr>
          <w:t xml:space="preserve">https://doi.org/10.1177/13670069050090010601</w:t>
        </w:r>
      </w:hyperlink>
    </w:p>
    <w:bookmarkEnd w:id="83"/>
    <w:bookmarkStart w:id="84"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84"/>
    <w:bookmarkStart w:id="86"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85">
        <w:r>
          <w:rPr>
            <w:rStyle w:val="Hyperlink"/>
          </w:rPr>
          <w:t xml:space="preserve">https://doi.org/10.1111/j.1467-8624.2011.01692.x</w:t>
        </w:r>
      </w:hyperlink>
    </w:p>
    <w:bookmarkEnd w:id="86"/>
    <w:bookmarkStart w:id="88"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87">
        <w:r>
          <w:rPr>
            <w:rStyle w:val="Hyperlink"/>
          </w:rPr>
          <w:t xml:space="preserve">https://doi.org/10.1111/desc.12019</w:t>
        </w:r>
      </w:hyperlink>
    </w:p>
    <w:bookmarkEnd w:id="88"/>
    <w:bookmarkStart w:id="90" w:name="ref-fernald_2008"/>
    <w:p>
      <w:pPr>
        <w:pStyle w:val="Literaturverzeichnis"/>
      </w:pPr>
      <w:r>
        <w:t xml:space="preserve">Fernald, A., Marchman, V., &amp; Hurtado, N. (2008).</w:t>
      </w:r>
      <w:r>
        <w:t xml:space="preserve"> </w:t>
      </w:r>
      <w:r>
        <w:rPr>
          <w:i/>
        </w:rPr>
        <w:t xml:space="preserve">Input affects uptake: How early language experience influences processing efficiency and vocabulary learning</w:t>
      </w:r>
      <w:r>
        <w:t xml:space="preserve">.</w:t>
      </w:r>
      <w:r>
        <w:t xml:space="preserve"> </w:t>
      </w:r>
      <w:hyperlink r:id="rId89">
        <w:r>
          <w:rPr>
            <w:rStyle w:val="Hyperlink"/>
          </w:rPr>
          <w:t xml:space="preserve">https://doi.org/10.1109/DEVLRN.2008.4640802</w:t>
        </w:r>
      </w:hyperlink>
    </w:p>
    <w:bookmarkEnd w:id="90"/>
    <w:bookmarkStart w:id="92"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1">
        <w:r>
          <w:rPr>
            <w:rStyle w:val="Hyperlink"/>
          </w:rPr>
          <w:t xml:space="preserve">https://doi.org/10.1037/0012-1649.42.1.98</w:t>
        </w:r>
      </w:hyperlink>
    </w:p>
    <w:bookmarkEnd w:id="92"/>
    <w:bookmarkStart w:id="94"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93">
        <w:r>
          <w:rPr>
            <w:rStyle w:val="Hyperlink"/>
          </w:rPr>
          <w:t xml:space="preserve">https://doi.org/10.1017/S0305000916000209</w:t>
        </w:r>
      </w:hyperlink>
    </w:p>
    <w:bookmarkEnd w:id="94"/>
    <w:bookmarkStart w:id="96" w:name="ref-gilkerson2017"/>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248–265.</w:t>
      </w:r>
      <w:r>
        <w:t xml:space="preserve"> </w:t>
      </w:r>
      <w:hyperlink r:id="rId95">
        <w:r>
          <w:rPr>
            <w:rStyle w:val="Hyperlink"/>
          </w:rPr>
          <w:t xml:space="preserve">https://doi.org/https://doi.org/10.1044/2016_AJSLP-15-0169</w:t>
        </w:r>
      </w:hyperlink>
    </w:p>
    <w:bookmarkEnd w:id="96"/>
    <w:bookmarkStart w:id="98"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97">
        <w:r>
          <w:rPr>
            <w:rStyle w:val="Hyperlink"/>
          </w:rPr>
          <w:t xml:space="preserve">https://doi.org/10.1111/j.1467-8624.1998.tb06215.x</w:t>
        </w:r>
      </w:hyperlink>
    </w:p>
    <w:bookmarkEnd w:id="98"/>
    <w:bookmarkStart w:id="100"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99">
        <w:r>
          <w:rPr>
            <w:rStyle w:val="Hyperlink"/>
          </w:rPr>
          <w:t xml:space="preserve">https://doi.org/10.1002/1097-0355(198921)10:1&lt;25::AID-IMHJ2280100104&gt;3.0.CO;2-R</w:t>
        </w:r>
      </w:hyperlink>
    </w:p>
    <w:bookmarkEnd w:id="100"/>
    <w:bookmarkStart w:id="102"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101">
        <w:r>
          <w:rPr>
            <w:rStyle w:val="Hyperlink"/>
          </w:rPr>
          <w:t xml:space="preserve">https://doi.org/10.1037/h0084193</w:t>
        </w:r>
      </w:hyperlink>
    </w:p>
    <w:bookmarkEnd w:id="102"/>
    <w:bookmarkStart w:id="103"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03"/>
    <w:bookmarkStart w:id="105"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04">
        <w:r>
          <w:rPr>
            <w:rStyle w:val="Hyperlink"/>
          </w:rPr>
          <w:t xml:space="preserve">https://doi.org/10.1080/15250000701795598</w:t>
        </w:r>
      </w:hyperlink>
    </w:p>
    <w:bookmarkEnd w:id="105"/>
    <w:bookmarkStart w:id="107"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06">
        <w:r>
          <w:rPr>
            <w:rStyle w:val="Hyperlink"/>
          </w:rPr>
          <w:t xml:space="preserve">https://doi.org/10.1017/S136672891300014X</w:t>
        </w:r>
      </w:hyperlink>
    </w:p>
    <w:bookmarkEnd w:id="107"/>
    <w:bookmarkStart w:id="108"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08"/>
    <w:bookmarkStart w:id="110"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09">
        <w:r>
          <w:rPr>
            <w:rStyle w:val="Hyperlink"/>
          </w:rPr>
          <w:t xml:space="preserve">https://doi.org/10.31234/osf.io/rk2ah</w:t>
        </w:r>
      </w:hyperlink>
    </w:p>
    <w:bookmarkEnd w:id="110"/>
    <w:bookmarkStart w:id="112"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11">
        <w:r>
          <w:rPr>
            <w:rStyle w:val="Hyperlink"/>
          </w:rPr>
          <w:t xml:space="preserve">https://doi.org/10.1075/lab.15010.val</w:t>
        </w:r>
      </w:hyperlink>
    </w:p>
    <w:bookmarkEnd w:id="112"/>
    <w:bookmarkStart w:id="114"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13">
        <w:r>
          <w:rPr>
            <w:rStyle w:val="Hyperlink"/>
          </w:rPr>
          <w:t xml:space="preserve">https://doi.org/10.1111/desc.12569</w:t>
        </w:r>
      </w:hyperlink>
    </w:p>
    <w:bookmarkEnd w:id="114"/>
    <w:bookmarkStart w:id="116"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15">
        <w:r>
          <w:rPr>
            <w:rStyle w:val="Hyperlink"/>
          </w:rPr>
          <w:t xml:space="preserve">https://doi.org/10.1017/S1366728916000833</w:t>
        </w:r>
      </w:hyperlink>
    </w:p>
    <w:bookmarkEnd w:id="116"/>
    <w:bookmarkStart w:id="118"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17">
        <w:r>
          <w:rPr>
            <w:rStyle w:val="Hyperlink"/>
          </w:rPr>
          <w:t xml:space="preserve">https://doi.org/10.1111/j.1467-9280.2007.01871.x</w:t>
        </w:r>
      </w:hyperlink>
    </w:p>
    <w:bookmarkEnd w:id="118"/>
    <w:bookmarkStart w:id="120"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19">
        <w:r>
          <w:rPr>
            <w:rStyle w:val="Hyperlink"/>
          </w:rPr>
          <w:t xml:space="preserve">https://doi.org/10.1080/15248372.2013.835312</w:t>
        </w:r>
      </w:hyperlink>
    </w:p>
    <w:bookmarkEnd w:id="120"/>
    <w:bookmarkStart w:id="122"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21">
        <w:r>
          <w:rPr>
            <w:rStyle w:val="Hyperlink"/>
          </w:rPr>
          <w:t xml:space="preserve">https://doi.org/10.1016/S0022-5371(71)80018-X</w:t>
        </w:r>
      </w:hyperlink>
    </w:p>
    <w:bookmarkEnd w:id="122"/>
    <w:bookmarkStart w:id="124" w:name="ref-mangardich_2018"/>
    <w:p>
      <w:pPr>
        <w:pStyle w:val="Literaturverzeichnis"/>
      </w:pPr>
      <w:r>
        <w:t xml:space="preserve">Mangardich, H., &amp; Sabbagh, M. A. (2018). Children remember words from ignorant speakers but do not attach meaning: Evidence from event-related potentials.</w:t>
      </w:r>
      <w:r>
        <w:t xml:space="preserve"> </w:t>
      </w:r>
      <w:r>
        <w:rPr>
          <w:i/>
        </w:rPr>
        <w:t xml:space="preserve">Developmental Science</w:t>
      </w:r>
      <w:r>
        <w:t xml:space="preserve">,</w:t>
      </w:r>
      <w:r>
        <w:t xml:space="preserve"> </w:t>
      </w:r>
      <w:r>
        <w:rPr>
          <w:i/>
        </w:rPr>
        <w:t xml:space="preserve">21</w:t>
      </w:r>
      <w:r>
        <w:t xml:space="preserve">(2), e12544.</w:t>
      </w:r>
      <w:r>
        <w:t xml:space="preserve"> </w:t>
      </w:r>
      <w:hyperlink r:id="rId123">
        <w:r>
          <w:rPr>
            <w:rStyle w:val="Hyperlink"/>
          </w:rPr>
          <w:t xml:space="preserve">https://doi.org/10.1111/desc.12544</w:t>
        </w:r>
      </w:hyperlink>
    </w:p>
    <w:bookmarkEnd w:id="124"/>
    <w:bookmarkStart w:id="126"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25">
        <w:r>
          <w:rPr>
            <w:rStyle w:val="Hyperlink"/>
          </w:rPr>
          <w:t xml:space="preserve">https://doi.org/10.1017/S0305000909990055</w:t>
        </w:r>
      </w:hyperlink>
    </w:p>
    <w:bookmarkEnd w:id="126"/>
    <w:bookmarkStart w:id="128"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27">
        <w:r>
          <w:rPr>
            <w:rStyle w:val="Hyperlink"/>
          </w:rPr>
          <w:t xml:space="preserve">https://doi.org/10.1044/1092-4388(2007/067)</w:t>
        </w:r>
      </w:hyperlink>
    </w:p>
    <w:bookmarkEnd w:id="128"/>
    <w:bookmarkStart w:id="130"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29">
        <w:r>
          <w:rPr>
            <w:rStyle w:val="Hyperlink"/>
          </w:rPr>
          <w:t xml:space="preserve">https://doi.org/10.1006/jmla.1998.2602</w:t>
        </w:r>
      </w:hyperlink>
    </w:p>
    <w:bookmarkEnd w:id="130"/>
    <w:bookmarkStart w:id="132"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31">
        <w:r>
          <w:rPr>
            <w:rStyle w:val="Hyperlink"/>
          </w:rPr>
          <w:t xml:space="preserve">https://doi.org/10.1006/brln.2001.2588</w:t>
        </w:r>
      </w:hyperlink>
    </w:p>
    <w:bookmarkEnd w:id="132"/>
    <w:bookmarkStart w:id="134"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33">
        <w:r>
          <w:rPr>
            <w:rStyle w:val="Hyperlink"/>
          </w:rPr>
          <w:t xml:space="preserve">https://doi.org/10.1017/S0305000919000400</w:t>
        </w:r>
      </w:hyperlink>
    </w:p>
    <w:bookmarkEnd w:id="134"/>
    <w:bookmarkStart w:id="136"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35">
        <w:r>
          <w:rPr>
            <w:rStyle w:val="Hyperlink"/>
          </w:rPr>
          <w:t xml:space="preserve">https://doi.org/10.1080/15250000902994073</w:t>
        </w:r>
      </w:hyperlink>
    </w:p>
    <w:bookmarkEnd w:id="136"/>
    <w:bookmarkStart w:id="138"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37">
        <w:r>
          <w:rPr>
            <w:rStyle w:val="Hyperlink"/>
          </w:rPr>
          <w:t xml:space="preserve">https://doi.org/10.1111/desc.12901</w:t>
        </w:r>
      </w:hyperlink>
    </w:p>
    <w:bookmarkEnd w:id="138"/>
    <w:bookmarkStart w:id="140"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39">
        <w:r>
          <w:rPr>
            <w:rStyle w:val="Hyperlink"/>
          </w:rPr>
          <w:t xml:space="preserve">https://doi.org/10.1111/j.1467-8624.2011.01660.x</w:t>
        </w:r>
      </w:hyperlink>
    </w:p>
    <w:bookmarkEnd w:id="140"/>
    <w:bookmarkStart w:id="142"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41">
        <w:r>
          <w:rPr>
            <w:rStyle w:val="Hyperlink"/>
          </w:rPr>
          <w:t xml:space="preserve">https://doi.org/10.1017/S1366728915000322</w:t>
        </w:r>
      </w:hyperlink>
    </w:p>
    <w:bookmarkEnd w:id="142"/>
    <w:bookmarkStart w:id="143"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43"/>
    <w:bookmarkStart w:id="145"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44">
        <w:r>
          <w:rPr>
            <w:rStyle w:val="Hyperlink"/>
          </w:rPr>
          <w:t xml:space="preserve">https://doi.org/10.1111/desc.12794</w:t>
        </w:r>
      </w:hyperlink>
    </w:p>
    <w:bookmarkEnd w:id="145"/>
    <w:bookmarkStart w:id="147"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46">
        <w:r>
          <w:rPr>
            <w:rStyle w:val="Hyperlink"/>
          </w:rPr>
          <w:t xml:space="preserve">https://doi.org/10.1093/brain/122.12.2221</w:t>
        </w:r>
      </w:hyperlink>
    </w:p>
    <w:bookmarkEnd w:id="147"/>
    <w:bookmarkStart w:id="149"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48">
        <w:r>
          <w:rPr>
            <w:rStyle w:val="Hyperlink"/>
          </w:rPr>
          <w:t xml:space="preserve">https://doi.org/10.1016/j.neuropsychologia.2004.04.013</w:t>
        </w:r>
      </w:hyperlink>
    </w:p>
    <w:bookmarkEnd w:id="149"/>
    <w:bookmarkStart w:id="151" w:name="ref-r_core"/>
    <w:p>
      <w:pPr>
        <w:pStyle w:val="Literaturverzeichnis"/>
      </w:pPr>
      <w:r>
        <w:t xml:space="preserve">R Core Team. (2018). R: A language and environment for statistical computing. Vienna, Austria: R Foundation for Statistical Computing. Retrieved from</w:t>
      </w:r>
      <w:r>
        <w:t xml:space="preserve"> </w:t>
      </w:r>
      <w:hyperlink r:id="rId150">
        <w:r>
          <w:rPr>
            <w:rStyle w:val="Hyperlink"/>
          </w:rPr>
          <w:t xml:space="preserve">https://www.R-project.org/</w:t>
        </w:r>
      </w:hyperlink>
    </w:p>
    <w:bookmarkEnd w:id="151"/>
    <w:bookmarkStart w:id="153"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52">
        <w:r>
          <w:rPr>
            <w:rStyle w:val="Hyperlink"/>
          </w:rPr>
          <w:t xml:space="preserve">https://doi.org/10.1080/10409289.2020.1780090</w:t>
        </w:r>
      </w:hyperlink>
    </w:p>
    <w:bookmarkEnd w:id="153"/>
    <w:bookmarkStart w:id="155"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54">
        <w:r>
          <w:rPr>
            <w:rStyle w:val="Hyperlink"/>
          </w:rPr>
          <w:t xml:space="preserve">https://doi.org/10.1002/wcs.1421</w:t>
        </w:r>
      </w:hyperlink>
    </w:p>
    <w:bookmarkEnd w:id="155"/>
    <w:bookmarkStart w:id="157"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56">
        <w:r>
          <w:rPr>
            <w:rStyle w:val="Hyperlink"/>
          </w:rPr>
          <w:t xml:space="preserve">https://doi.org/10.1111/cdev.12747</w:t>
        </w:r>
      </w:hyperlink>
    </w:p>
    <w:bookmarkEnd w:id="157"/>
    <w:bookmarkStart w:id="159"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58">
        <w:r>
          <w:rPr>
            <w:rStyle w:val="Hyperlink"/>
          </w:rPr>
          <w:t xml:space="preserve">https://doi.org/10.3758/BF03198298</w:t>
        </w:r>
      </w:hyperlink>
    </w:p>
    <w:bookmarkEnd w:id="159"/>
    <w:bookmarkStart w:id="161"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60">
        <w:r>
          <w:rPr>
            <w:rStyle w:val="Hyperlink"/>
          </w:rPr>
          <w:t xml:space="preserve">https://doi.org/10.1037/h0081105</w:t>
        </w:r>
      </w:hyperlink>
    </w:p>
    <w:bookmarkEnd w:id="161"/>
    <w:bookmarkStart w:id="163"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62">
        <w:r>
          <w:rPr>
            <w:rStyle w:val="Hyperlink"/>
          </w:rPr>
          <w:t xml:space="preserve">https://doi.org/10.1002/9781444344035.ch3</w:t>
        </w:r>
      </w:hyperlink>
    </w:p>
    <w:bookmarkEnd w:id="163"/>
    <w:bookmarkStart w:id="165"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64">
        <w:r>
          <w:rPr>
            <w:rStyle w:val="Hyperlink"/>
          </w:rPr>
          <w:t xml:space="preserve">https://doi.org/10.1006/jmla.1999.2700</w:t>
        </w:r>
      </w:hyperlink>
    </w:p>
    <w:bookmarkEnd w:id="165"/>
    <w:bookmarkStart w:id="167"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66">
        <w:r>
          <w:rPr>
            <w:rStyle w:val="Hyperlink"/>
          </w:rPr>
          <w:t xml:space="preserve">https://doi.org/10.1002/aur.2225</w:t>
        </w:r>
      </w:hyperlink>
    </w:p>
    <w:bookmarkEnd w:id="167"/>
    <w:bookmarkEnd w:id="168"/>
    <w:p>
      <w:pPr>
        <w:pStyle w:val="Textkrper"/>
      </w:pPr>
    </w:p>
    <w:p>
      <w:pPr>
        <w:pStyle w:val="berschrift2"/>
      </w:pPr>
      <w:bookmarkStart w:id="169" w:name="appendix"/>
      <w:r>
        <w:t xml:space="preserve">3.2	Appendix</w:t>
      </w:r>
      <w:bookmarkEnd w:id="169"/>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77" Target="http://www.eyetrackingr.com" TargetMode="External" /><Relationship Type="http://schemas.openxmlformats.org/officeDocument/2006/relationships/hyperlink" Id="rId99" Target="https://doi.org/10.1002/1097-0355(198921)10:1%3C25::AID-IMHJ2280100104%3E3.0.CO;2-R" TargetMode="External" /><Relationship Type="http://schemas.openxmlformats.org/officeDocument/2006/relationships/hyperlink" Id="rId162" Target="https://doi.org/10.1002/9781444344035.ch3" TargetMode="External" /><Relationship Type="http://schemas.openxmlformats.org/officeDocument/2006/relationships/hyperlink" Id="rId166" Target="https://doi.org/10.1002/aur.2225" TargetMode="External" /><Relationship Type="http://schemas.openxmlformats.org/officeDocument/2006/relationships/hyperlink" Id="rId154" Target="https://doi.org/10.1002/wcs.1421" TargetMode="External" /><Relationship Type="http://schemas.openxmlformats.org/officeDocument/2006/relationships/hyperlink" Id="rId131" Target="https://doi.org/10.1006/brln.2001.2588" TargetMode="External" /><Relationship Type="http://schemas.openxmlformats.org/officeDocument/2006/relationships/hyperlink" Id="rId129" Target="https://doi.org/10.1006/jmla.1998.2602" TargetMode="External" /><Relationship Type="http://schemas.openxmlformats.org/officeDocument/2006/relationships/hyperlink" Id="rId164" Target="https://doi.org/10.1006/jmla.1999.2700" TargetMode="External" /><Relationship Type="http://schemas.openxmlformats.org/officeDocument/2006/relationships/hyperlink" Id="rId71" Target="https://doi.org/10.1007/BF01067622" TargetMode="External" /><Relationship Type="http://schemas.openxmlformats.org/officeDocument/2006/relationships/hyperlink" Id="rId121"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48" Target="https://doi.org/10.1016/j.neuropsychologia.2004.04.013" TargetMode="External" /><Relationship Type="http://schemas.openxmlformats.org/officeDocument/2006/relationships/hyperlink" Id="rId73" Target="https://doi.org/10.1016/j.wocn.2010.12.002" TargetMode="External" /><Relationship Type="http://schemas.openxmlformats.org/officeDocument/2006/relationships/hyperlink" Id="rId125"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93" Target="https://doi.org/10.1017/S0305000916000209" TargetMode="External" /><Relationship Type="http://schemas.openxmlformats.org/officeDocument/2006/relationships/hyperlink" Id="rId133" Target="https://doi.org/10.1017/S0305000919000400" TargetMode="External" /><Relationship Type="http://schemas.openxmlformats.org/officeDocument/2006/relationships/hyperlink" Id="rId60" Target="https://doi.org/10.1017/S1366728912000120" TargetMode="External" /><Relationship Type="http://schemas.openxmlformats.org/officeDocument/2006/relationships/hyperlink" Id="rId106" Target="https://doi.org/10.1017/S136672891300014X" TargetMode="External" /><Relationship Type="http://schemas.openxmlformats.org/officeDocument/2006/relationships/hyperlink" Id="rId141" Target="https://doi.org/10.1017/S1366728915000322" TargetMode="External" /><Relationship Type="http://schemas.openxmlformats.org/officeDocument/2006/relationships/hyperlink" Id="rId115" Target="https://doi.org/10.1017/S1366728916000833" TargetMode="External" /><Relationship Type="http://schemas.openxmlformats.org/officeDocument/2006/relationships/hyperlink" Id="rId75" Target="https://doi.org/10.1017/S1366728917000220" TargetMode="External" /><Relationship Type="http://schemas.openxmlformats.org/officeDocument/2006/relationships/hyperlink" Id="rId91" Target="https://doi.org/10.1037/0012-1649.42.1.98" TargetMode="External" /><Relationship Type="http://schemas.openxmlformats.org/officeDocument/2006/relationships/hyperlink" Id="rId160" Target="https://doi.org/10.1037/h0081105" TargetMode="External" /><Relationship Type="http://schemas.openxmlformats.org/officeDocument/2006/relationships/hyperlink" Id="rId101" Target="https://doi.org/10.1037/h0084193" TargetMode="External" /><Relationship Type="http://schemas.openxmlformats.org/officeDocument/2006/relationships/hyperlink" Id="rId127" Target="https://doi.org/10.1044/1092-4388(2007/067)" TargetMode="External" /><Relationship Type="http://schemas.openxmlformats.org/officeDocument/2006/relationships/hyperlink" Id="rId64" Target="https://doi.org/10.1073/pnas.1703220114" TargetMode="External" /><Relationship Type="http://schemas.openxmlformats.org/officeDocument/2006/relationships/hyperlink" Id="rId111" Target="https://doi.org/10.1075/lab.15010.val" TargetMode="External" /><Relationship Type="http://schemas.openxmlformats.org/officeDocument/2006/relationships/hyperlink" Id="rId152" Target="https://doi.org/10.1080/10409289.2020.1780090" TargetMode="External" /><Relationship Type="http://schemas.openxmlformats.org/officeDocument/2006/relationships/hyperlink" Id="rId119" Target="https://doi.org/10.1080/15248372.2013.835312" TargetMode="External" /><Relationship Type="http://schemas.openxmlformats.org/officeDocument/2006/relationships/hyperlink" Id="rId104" Target="https://doi.org/10.1080/15250000701795598" TargetMode="External" /><Relationship Type="http://schemas.openxmlformats.org/officeDocument/2006/relationships/hyperlink" Id="rId135" Target="https://doi.org/10.1080/15250000902994073" TargetMode="External" /><Relationship Type="http://schemas.openxmlformats.org/officeDocument/2006/relationships/hyperlink" Id="rId146" Target="https://doi.org/10.1093/brain/122.12.2221" TargetMode="External" /><Relationship Type="http://schemas.openxmlformats.org/officeDocument/2006/relationships/hyperlink" Id="rId89" Target="https://doi.org/10.1109/DEVLRN.2008.4640802" TargetMode="External" /><Relationship Type="http://schemas.openxmlformats.org/officeDocument/2006/relationships/hyperlink" Id="rId156"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87" Target="https://doi.org/10.1111/desc.12019" TargetMode="External" /><Relationship Type="http://schemas.openxmlformats.org/officeDocument/2006/relationships/hyperlink" Id="rId123" Target="https://doi.org/10.1111/desc.12544" TargetMode="External" /><Relationship Type="http://schemas.openxmlformats.org/officeDocument/2006/relationships/hyperlink" Id="rId113" Target="https://doi.org/10.1111/desc.12569" TargetMode="External" /><Relationship Type="http://schemas.openxmlformats.org/officeDocument/2006/relationships/hyperlink" Id="rId144" Target="https://doi.org/10.1111/desc.12794" TargetMode="External" /><Relationship Type="http://schemas.openxmlformats.org/officeDocument/2006/relationships/hyperlink" Id="rId137" Target="https://doi.org/10.1111/desc.12901" TargetMode="External" /><Relationship Type="http://schemas.openxmlformats.org/officeDocument/2006/relationships/hyperlink" Id="rId68" Target="https://doi.org/10.1111/infa.12315" TargetMode="External" /><Relationship Type="http://schemas.openxmlformats.org/officeDocument/2006/relationships/hyperlink" Id="rId97" Target="https://doi.org/10.1111/j.1467-8624.1998.tb06215.x" TargetMode="External" /><Relationship Type="http://schemas.openxmlformats.org/officeDocument/2006/relationships/hyperlink" Id="rId139" Target="https://doi.org/10.1111/j.1467-8624.2011.01660.x" TargetMode="External" /><Relationship Type="http://schemas.openxmlformats.org/officeDocument/2006/relationships/hyperlink" Id="rId85" Target="https://doi.org/10.1111/j.1467-8624.2011.01692.x" TargetMode="External" /><Relationship Type="http://schemas.openxmlformats.org/officeDocument/2006/relationships/hyperlink" Id="rId117" Target="https://doi.org/10.1111/j.1467-9280.2007.01871.x" TargetMode="External" /><Relationship Type="http://schemas.openxmlformats.org/officeDocument/2006/relationships/hyperlink" Id="rId62" Target="https://doi.org/10.1111/lang.12055" TargetMode="External" /><Relationship Type="http://schemas.openxmlformats.org/officeDocument/2006/relationships/hyperlink" Id="rId82" Target="https://doi.org/10.1177/13670069050090010601" TargetMode="External" /><Relationship Type="http://schemas.openxmlformats.org/officeDocument/2006/relationships/hyperlink" Id="rId109" Target="https://doi.org/10.31234/osf.io/rk2ah" TargetMode="External" /><Relationship Type="http://schemas.openxmlformats.org/officeDocument/2006/relationships/hyperlink" Id="rId66" Target="https://doi.org/10.31234/osf.io/sqh9d" TargetMode="External" /><Relationship Type="http://schemas.openxmlformats.org/officeDocument/2006/relationships/hyperlink" Id="rId158"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95" Target="https://doi.org/https://doi.org/10.1044/2016_AJSLP-15-0169"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0"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77" Target="http://www.eyetrackingr.com" TargetMode="External" /><Relationship Type="http://schemas.openxmlformats.org/officeDocument/2006/relationships/hyperlink" Id="rId99" Target="https://doi.org/10.1002/1097-0355(198921)10:1%3C25::AID-IMHJ2280100104%3E3.0.CO;2-R" TargetMode="External" /><Relationship Type="http://schemas.openxmlformats.org/officeDocument/2006/relationships/hyperlink" Id="rId162" Target="https://doi.org/10.1002/9781444344035.ch3" TargetMode="External" /><Relationship Type="http://schemas.openxmlformats.org/officeDocument/2006/relationships/hyperlink" Id="rId166" Target="https://doi.org/10.1002/aur.2225" TargetMode="External" /><Relationship Type="http://schemas.openxmlformats.org/officeDocument/2006/relationships/hyperlink" Id="rId154" Target="https://doi.org/10.1002/wcs.1421" TargetMode="External" /><Relationship Type="http://schemas.openxmlformats.org/officeDocument/2006/relationships/hyperlink" Id="rId131" Target="https://doi.org/10.1006/brln.2001.2588" TargetMode="External" /><Relationship Type="http://schemas.openxmlformats.org/officeDocument/2006/relationships/hyperlink" Id="rId129" Target="https://doi.org/10.1006/jmla.1998.2602" TargetMode="External" /><Relationship Type="http://schemas.openxmlformats.org/officeDocument/2006/relationships/hyperlink" Id="rId164" Target="https://doi.org/10.1006/jmla.1999.2700" TargetMode="External" /><Relationship Type="http://schemas.openxmlformats.org/officeDocument/2006/relationships/hyperlink" Id="rId71" Target="https://doi.org/10.1007/BF01067622" TargetMode="External" /><Relationship Type="http://schemas.openxmlformats.org/officeDocument/2006/relationships/hyperlink" Id="rId121"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48" Target="https://doi.org/10.1016/j.neuropsychologia.2004.04.013" TargetMode="External" /><Relationship Type="http://schemas.openxmlformats.org/officeDocument/2006/relationships/hyperlink" Id="rId73" Target="https://doi.org/10.1016/j.wocn.2010.12.002" TargetMode="External" /><Relationship Type="http://schemas.openxmlformats.org/officeDocument/2006/relationships/hyperlink" Id="rId125"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93" Target="https://doi.org/10.1017/S0305000916000209" TargetMode="External" /><Relationship Type="http://schemas.openxmlformats.org/officeDocument/2006/relationships/hyperlink" Id="rId133" Target="https://doi.org/10.1017/S0305000919000400" TargetMode="External" /><Relationship Type="http://schemas.openxmlformats.org/officeDocument/2006/relationships/hyperlink" Id="rId60" Target="https://doi.org/10.1017/S1366728912000120" TargetMode="External" /><Relationship Type="http://schemas.openxmlformats.org/officeDocument/2006/relationships/hyperlink" Id="rId106" Target="https://doi.org/10.1017/S136672891300014X" TargetMode="External" /><Relationship Type="http://schemas.openxmlformats.org/officeDocument/2006/relationships/hyperlink" Id="rId141" Target="https://doi.org/10.1017/S1366728915000322" TargetMode="External" /><Relationship Type="http://schemas.openxmlformats.org/officeDocument/2006/relationships/hyperlink" Id="rId115" Target="https://doi.org/10.1017/S1366728916000833" TargetMode="External" /><Relationship Type="http://schemas.openxmlformats.org/officeDocument/2006/relationships/hyperlink" Id="rId75" Target="https://doi.org/10.1017/S1366728917000220" TargetMode="External" /><Relationship Type="http://schemas.openxmlformats.org/officeDocument/2006/relationships/hyperlink" Id="rId91" Target="https://doi.org/10.1037/0012-1649.42.1.98" TargetMode="External" /><Relationship Type="http://schemas.openxmlformats.org/officeDocument/2006/relationships/hyperlink" Id="rId160" Target="https://doi.org/10.1037/h0081105" TargetMode="External" /><Relationship Type="http://schemas.openxmlformats.org/officeDocument/2006/relationships/hyperlink" Id="rId101" Target="https://doi.org/10.1037/h0084193" TargetMode="External" /><Relationship Type="http://schemas.openxmlformats.org/officeDocument/2006/relationships/hyperlink" Id="rId127" Target="https://doi.org/10.1044/1092-4388(2007/067)" TargetMode="External" /><Relationship Type="http://schemas.openxmlformats.org/officeDocument/2006/relationships/hyperlink" Id="rId64" Target="https://doi.org/10.1073/pnas.1703220114" TargetMode="External" /><Relationship Type="http://schemas.openxmlformats.org/officeDocument/2006/relationships/hyperlink" Id="rId111" Target="https://doi.org/10.1075/lab.15010.val" TargetMode="External" /><Relationship Type="http://schemas.openxmlformats.org/officeDocument/2006/relationships/hyperlink" Id="rId152" Target="https://doi.org/10.1080/10409289.2020.1780090" TargetMode="External" /><Relationship Type="http://schemas.openxmlformats.org/officeDocument/2006/relationships/hyperlink" Id="rId119" Target="https://doi.org/10.1080/15248372.2013.835312" TargetMode="External" /><Relationship Type="http://schemas.openxmlformats.org/officeDocument/2006/relationships/hyperlink" Id="rId104" Target="https://doi.org/10.1080/15250000701795598" TargetMode="External" /><Relationship Type="http://schemas.openxmlformats.org/officeDocument/2006/relationships/hyperlink" Id="rId135" Target="https://doi.org/10.1080/15250000902994073" TargetMode="External" /><Relationship Type="http://schemas.openxmlformats.org/officeDocument/2006/relationships/hyperlink" Id="rId146" Target="https://doi.org/10.1093/brain/122.12.2221" TargetMode="External" /><Relationship Type="http://schemas.openxmlformats.org/officeDocument/2006/relationships/hyperlink" Id="rId89" Target="https://doi.org/10.1109/DEVLRN.2008.4640802" TargetMode="External" /><Relationship Type="http://schemas.openxmlformats.org/officeDocument/2006/relationships/hyperlink" Id="rId156"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87" Target="https://doi.org/10.1111/desc.12019" TargetMode="External" /><Relationship Type="http://schemas.openxmlformats.org/officeDocument/2006/relationships/hyperlink" Id="rId123" Target="https://doi.org/10.1111/desc.12544" TargetMode="External" /><Relationship Type="http://schemas.openxmlformats.org/officeDocument/2006/relationships/hyperlink" Id="rId113" Target="https://doi.org/10.1111/desc.12569" TargetMode="External" /><Relationship Type="http://schemas.openxmlformats.org/officeDocument/2006/relationships/hyperlink" Id="rId144" Target="https://doi.org/10.1111/desc.12794" TargetMode="External" /><Relationship Type="http://schemas.openxmlformats.org/officeDocument/2006/relationships/hyperlink" Id="rId137" Target="https://doi.org/10.1111/desc.12901" TargetMode="External" /><Relationship Type="http://schemas.openxmlformats.org/officeDocument/2006/relationships/hyperlink" Id="rId68" Target="https://doi.org/10.1111/infa.12315" TargetMode="External" /><Relationship Type="http://schemas.openxmlformats.org/officeDocument/2006/relationships/hyperlink" Id="rId97" Target="https://doi.org/10.1111/j.1467-8624.1998.tb06215.x" TargetMode="External" /><Relationship Type="http://schemas.openxmlformats.org/officeDocument/2006/relationships/hyperlink" Id="rId139" Target="https://doi.org/10.1111/j.1467-8624.2011.01660.x" TargetMode="External" /><Relationship Type="http://schemas.openxmlformats.org/officeDocument/2006/relationships/hyperlink" Id="rId85" Target="https://doi.org/10.1111/j.1467-8624.2011.01692.x" TargetMode="External" /><Relationship Type="http://schemas.openxmlformats.org/officeDocument/2006/relationships/hyperlink" Id="rId117" Target="https://doi.org/10.1111/j.1467-9280.2007.01871.x" TargetMode="External" /><Relationship Type="http://schemas.openxmlformats.org/officeDocument/2006/relationships/hyperlink" Id="rId62" Target="https://doi.org/10.1111/lang.12055" TargetMode="External" /><Relationship Type="http://schemas.openxmlformats.org/officeDocument/2006/relationships/hyperlink" Id="rId82" Target="https://doi.org/10.1177/13670069050090010601" TargetMode="External" /><Relationship Type="http://schemas.openxmlformats.org/officeDocument/2006/relationships/hyperlink" Id="rId109" Target="https://doi.org/10.31234/osf.io/rk2ah" TargetMode="External" /><Relationship Type="http://schemas.openxmlformats.org/officeDocument/2006/relationships/hyperlink" Id="rId66" Target="https://doi.org/10.31234/osf.io/sqh9d" TargetMode="External" /><Relationship Type="http://schemas.openxmlformats.org/officeDocument/2006/relationships/hyperlink" Id="rId158"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95" Target="https://doi.org/https://doi.org/10.1044/2016_AJSLP-15-0169"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0"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2021-01-19T16:22:26Z</dcterms:created>
  <dcterms:modified xsi:type="dcterms:W3CDTF">2021-01-19T16:22:26Z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/Library/Frameworks/R.framework/Versions/3.6/Resources/library/papaja/rmd/apa6.csl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umbersections">
    <vt:lpwstr>no</vt:lpwstr>
  </property>
  <property fmtid="{D5CDD505-2E9C-101B-9397-08002B2CF9AE}" pid="14" name="output">
    <vt:lpwstr>papaja::apa6_word</vt:lpwstr>
  </property>
  <property fmtid="{D5CDD505-2E9C-101B-9397-08002B2CF9AE}" pid="15" name="shorttitle">
    <vt:lpwstr>Language mixing word learning</vt:lpwstr>
  </property>
  <property fmtid="{D5CDD505-2E9C-101B-9397-08002B2CF9AE}" pid="16" name="tablelist">
    <vt:lpwstr>no</vt:lpwstr>
  </property>
</Properties>
</file>