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03F97E8" w:rsidP="6FD664C1" w:rsidRDefault="103F97E8" w14:paraId="36B8C42A" w14:textId="7DB0A1A4">
      <w:pPr>
        <w:spacing w:beforeAutospacing="off" w:afterAutospacing="off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lt"/>
        </w:rPr>
      </w:pPr>
      <w:r w:rsidRPr="6FD664C1" w:rsidR="6FD664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lt-LT"/>
        </w:rPr>
        <w:t>2 komanda:</w:t>
      </w:r>
    </w:p>
    <w:p w:rsidR="103F97E8" w:rsidP="6FD664C1" w:rsidRDefault="103F97E8" w14:paraId="484E9DFF" w14:textId="58E2C7C2">
      <w:pPr>
        <w:spacing w:beforeAutospacing="off" w:afterAutospacing="off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lt"/>
        </w:rPr>
      </w:pPr>
      <w:r w:rsidRPr="6FD664C1" w:rsidR="6FD664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lt-LT"/>
        </w:rPr>
        <w:t>Kristupas Kuras</w:t>
      </w:r>
    </w:p>
    <w:p w:rsidR="103F97E8" w:rsidP="6FD664C1" w:rsidRDefault="103F97E8" w14:paraId="5CCEBA5D" w14:textId="69C77071">
      <w:pPr>
        <w:spacing w:beforeAutospacing="off" w:afterAutospacing="off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lt"/>
        </w:rPr>
      </w:pPr>
      <w:r w:rsidRPr="6FD664C1" w:rsidR="6FD664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lt-LT"/>
        </w:rPr>
        <w:t xml:space="preserve">Žygimantas </w:t>
      </w:r>
      <w:r w:rsidRPr="6FD664C1" w:rsidR="6FD664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lt-LT"/>
        </w:rPr>
        <w:t>Latkauskas</w:t>
      </w:r>
    </w:p>
    <w:p w:rsidR="103F97E8" w:rsidP="6FD664C1" w:rsidRDefault="103F97E8" w14:paraId="1C18F161" w14:textId="13A16A19">
      <w:pPr>
        <w:spacing w:beforeAutospacing="off" w:afterAutospacing="off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lt"/>
        </w:rPr>
      </w:pPr>
      <w:r w:rsidRPr="6FD664C1" w:rsidR="6FD664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lt-LT"/>
        </w:rPr>
        <w:t>Lukas Račkauskas</w:t>
      </w:r>
    </w:p>
    <w:p w:rsidR="6FD664C1" w:rsidP="6FD664C1" w:rsidRDefault="6FD664C1" w14:paraId="45630573" w14:textId="3C0EF716">
      <w:pPr>
        <w:pStyle w:val="Normal"/>
        <w:jc w:val="center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lt"/>
        </w:rPr>
        <w:t>„</w:t>
      </w:r>
      <w:r w:rsidRPr="6FD664C1" w:rsidR="6FD664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lt"/>
        </w:rPr>
        <w:t>Tesla” įvaizdžio gerinimas – Rinkos potencialo ir konkurentų analizė</w:t>
      </w:r>
    </w:p>
    <w:p w:rsidR="6FD664C1" w:rsidP="6FD664C1" w:rsidRDefault="6FD664C1" w14:paraId="7CB6B368" w14:textId="7E1A43FD">
      <w:pPr>
        <w:pStyle w:val="Heading2"/>
        <w:rPr>
          <w:rFonts w:ascii="Arial" w:hAnsi="Arial" w:eastAsia="Arial" w:cs="Arial"/>
          <w:noProof w:val="0"/>
          <w:color w:val="auto"/>
          <w:sz w:val="28"/>
          <w:szCs w:val="28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8"/>
          <w:szCs w:val="28"/>
          <w:lang w:val="en-US"/>
        </w:rPr>
        <w:t>1. Rinka</w:t>
      </w:r>
    </w:p>
    <w:p w:rsidR="6FD664C1" w:rsidP="6FD664C1" w:rsidRDefault="6FD664C1" w14:paraId="16B8499B" w14:textId="761D903B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Vertinant Tesla įvaizdžio gerinimo projekto potencialą Baltijos šalyse, pirmiausia būtina įvertinti regiono automobilių rinkos dydį ir elektromobilių segmento dalį. Baltijos šalių (Lietuvos, Latvijos ir Estijos) populiacija siekia apie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6,13 mln. gyventojų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, iš kurių apie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3,1 mln. turi vairuotojo pažymėjimą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.</w:t>
      </w:r>
    </w:p>
    <w:p w:rsidR="6FD664C1" w:rsidP="6FD664C1" w:rsidRDefault="6FD664C1" w14:paraId="3AA13D93" w14:textId="3C78C75B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Remiantis oficialiais registracijos duomenimis,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2024 m. Lietuvoje įregistruota apie 33 016 naujų lengvųjų automobilių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(1). Latvijoje tuo pačiu laikotarpiu registruota apie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19 900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, o Estijoje – apie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13 000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automobilių (2; 3). Taigi bendras Baltijos šalių naujų automobilių rinkos dydis sudaro apie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65 000 automobilių per metus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. Nors Europos mastu tai yra santykinai nedidelė rinka, ji pasižymi stabilia paklausa ir nuoseklia atsigavimo tendencija (2).</w:t>
      </w:r>
    </w:p>
    <w:p w:rsidR="6FD664C1" w:rsidP="6FD664C1" w:rsidRDefault="6FD664C1" w14:paraId="02CFE1F8" w14:textId="4EFA1D36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Vidutinė naujo automobilio kaina regione siekia apie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33 000 eurų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, todėl bendros naujų automobilių rinkos vertė gali būti apskaičiuojama taip:</w:t>
      </w:r>
    </w:p>
    <w:p w:rsidR="6FD664C1" w:rsidP="6FD664C1" w:rsidRDefault="6FD664C1" w14:paraId="05E80DE2" w14:textId="33DCAB2E">
      <w:pPr>
        <w:spacing w:before="240" w:beforeAutospacing="off" w:after="240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65 000 × 33 000 =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2,15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mlrd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.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eurų</w:t>
      </w:r>
    </w:p>
    <w:p w:rsidR="6FD664C1" w:rsidP="6FD664C1" w:rsidRDefault="6FD664C1" w14:paraId="6E64E5A1" w14:textId="5498FCCC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Elektromobilių (BEV) segmentas yra svarbiausias vertinant Tesla rinkos potencialą, kadangi įmonė specializuojasi tik elektrinių transporto priemonių gamyboje. Baltijos šalyse elektromobilių dalis skiriasi priklausomai nuo valstybės: Estijoje ji siekia apie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17 %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, o Lietuvoje ir Latvijoje – apie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10–15 %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(8; 5). Taikant konservatyvų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15 % vidurkį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, galima apskaičiuoti elektromobilių rinkos dydį:</w:t>
      </w:r>
    </w:p>
    <w:p w:rsidR="6FD664C1" w:rsidP="6FD664C1" w:rsidRDefault="6FD664C1" w14:paraId="54D96221" w14:textId="7A1EE81D">
      <w:pPr>
        <w:spacing w:before="240" w:beforeAutospacing="off" w:after="240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65 000 × 15 % =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9 750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elektromobilių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 per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metus</w:t>
      </w:r>
    </w:p>
    <w:p w:rsidR="6FD664C1" w:rsidP="6FD664C1" w:rsidRDefault="6FD664C1" w14:paraId="0540A074" w14:textId="1CF5C262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Vidutinė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elektromobilio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kaina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Baltijos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šalyse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yra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didesnė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nei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vidaus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degimo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variklio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automobilių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ir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siekia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apie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40 000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eurų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,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todėl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elektromobilių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rinkos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vertė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gali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būti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vertinama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</w:t>
      </w:r>
    </w:p>
    <w:p w:rsidR="6FD664C1" w:rsidP="6FD664C1" w:rsidRDefault="6FD664C1" w14:paraId="261BAF37" w14:textId="19290A63">
      <w:pPr>
        <w:spacing w:before="240" w:beforeAutospacing="off" w:after="240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9 750 × 40 000 =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390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mln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.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eurų</w:t>
      </w:r>
    </w:p>
    <w:p w:rsidR="6FD664C1" w:rsidP="6FD664C1" w:rsidRDefault="6FD664C1" w14:paraId="79DD79EA" w14:textId="43CE2AA0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Remiantis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registracijos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duomenų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interpretacijomis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, Tesla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Baltijos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šalyse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parduoda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apie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900 - 1 00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0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automobil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ių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 pe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r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met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us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,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tod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ė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l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bendro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j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e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nau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j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automobil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rinko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j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e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j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o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dal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suda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r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o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ap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ie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1 - 2 %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,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o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elektromobil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segmen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te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–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ap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ie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10 -12 %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(4).</w:t>
      </w:r>
    </w:p>
    <w:p w:rsidR="6FD664C1" w:rsidP="6FD664C1" w:rsidRDefault="6FD664C1" w14:paraId="5EDDED51" w14:textId="19F91BF3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Vertinant rinkos potencialą įvaizdžio gerinimo projekto kontekste, galima modeliuoti galimą rinkos dalies augimą. Jei Tesla, sustiprinusi savo reputaciją ir komunikacijos strategiją regione, padidintų EV rinkos dalį nuo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10 % iki 13 %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, papildomi pardavimai būtų:</w:t>
      </w:r>
    </w:p>
    <w:p w:rsidR="6FD664C1" w:rsidP="6FD664C1" w:rsidRDefault="6FD664C1" w14:paraId="4C9EE8B5" w14:textId="68BAD3BE">
      <w:pPr>
        <w:spacing w:before="240" w:beforeAutospacing="off" w:after="240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9 750 × 3 % =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292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automobiliai</w:t>
      </w:r>
    </w:p>
    <w:p w:rsidR="6FD664C1" w:rsidP="6FD664C1" w:rsidRDefault="6FD664C1" w14:paraId="0B69E746" w14:textId="2A4003B0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Atsižvelgiant į tai, kad vidutinė Tesla automobilio kaina Baltijos rinkoje siekia apie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45 000 eurų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, potenciali papildoma apyvarta sudarytų:</w:t>
      </w:r>
    </w:p>
    <w:p w:rsidR="6FD664C1" w:rsidP="6FD664C1" w:rsidRDefault="6FD664C1" w14:paraId="1D17884B" w14:textId="4F263B63">
      <w:pPr>
        <w:spacing w:before="240" w:beforeAutospacing="off" w:after="240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292 × 45 000 =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13 140 000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eurų</w:t>
      </w:r>
    </w:p>
    <w:p w:rsidR="6FD664C1" w:rsidP="6FD664C1" w:rsidRDefault="6FD664C1" w14:paraId="555241D6" w14:textId="4686634D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Tai rodo, kad net nedidelis rinkos dalies padidėjimas gali generuoti reikšmingą ekonominį efektą.</w:t>
      </w:r>
    </w:p>
    <w:p w:rsidR="6FD664C1" w:rsidP="6FD664C1" w:rsidRDefault="6FD664C1" w14:paraId="1BAD72D3" w14:textId="3FF4903A">
      <w:pPr>
        <w:pStyle w:val="Heading2"/>
        <w:rPr>
          <w:rFonts w:ascii="Arial" w:hAnsi="Arial" w:eastAsia="Arial" w:cs="Arial"/>
          <w:noProof w:val="0"/>
          <w:color w:val="auto"/>
          <w:sz w:val="28"/>
          <w:szCs w:val="28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8"/>
          <w:szCs w:val="28"/>
          <w:lang w:val="en-US"/>
        </w:rPr>
        <w:t xml:space="preserve">2. </w:t>
      </w:r>
      <w:r w:rsidRPr="6FD664C1" w:rsidR="6FD664C1">
        <w:rPr>
          <w:rFonts w:ascii="Arial" w:hAnsi="Arial" w:eastAsia="Arial" w:cs="Arial"/>
          <w:noProof w:val="0"/>
          <w:color w:val="auto"/>
          <w:sz w:val="28"/>
          <w:szCs w:val="28"/>
          <w:lang w:val="en-US"/>
        </w:rPr>
        <w:t>Pasiekiamumas</w:t>
      </w:r>
      <w:r w:rsidRPr="6FD664C1" w:rsidR="6FD664C1">
        <w:rPr>
          <w:rFonts w:ascii="Arial" w:hAnsi="Arial" w:eastAsia="Arial" w:cs="Arial"/>
          <w:noProof w:val="0"/>
          <w:color w:val="auto"/>
          <w:sz w:val="28"/>
          <w:szCs w:val="28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8"/>
          <w:szCs w:val="28"/>
          <w:lang w:val="en-US"/>
        </w:rPr>
        <w:t>renginiais</w:t>
      </w:r>
    </w:p>
    <w:p w:rsidR="6FD664C1" w:rsidP="6FD664C1" w:rsidRDefault="6FD664C1" w14:paraId="15A4F1B2" w14:textId="55FDD291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Vertinant Tesla įvaizdžio gerinimo galimybes Baltijos regione, svarbus komunikacijos kanalas yra ekologiniai ir tvarumo tematikos renginiai. Remiantis regioninių organizacijų, verslo asociacijų ir renginių platformų duomenimis, Baltijos šalyse kasmet vyksta apie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50–150 ekologinių, energetikos ir tvarumo tematikos renginių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(9; 10; 11).</w:t>
      </w:r>
    </w:p>
    <w:p w:rsidR="6FD664C1" w:rsidP="6FD664C1" w:rsidRDefault="6FD664C1" w14:paraId="16C07DD2" w14:textId="4A814318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Didžiąją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jų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dalį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sudaro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energetikos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ir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elektromobilumo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forumai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,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verslo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bei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politikos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konferencijos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ir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bendruomeninės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aplinkosaugos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iniciatyvos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.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Pavyzdžiui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,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„Nordic–Baltic Sustainable Business Summit“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pritraukia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apie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200–400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dalyvių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,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Energy Forum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-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ik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600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dalyvi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, o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International Baltic Road Conference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steb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daugia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u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ne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500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dalyvi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r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dešimti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įmoni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(9; 10; 11).</w:t>
      </w:r>
    </w:p>
    <w:p w:rsidR="6FD664C1" w:rsidP="6FD664C1" w:rsidRDefault="6FD664C1" w14:paraId="69416490" w14:textId="3FFB7B77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Vertinant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komunikacinį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poveikį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,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svarbu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ne tik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fizinių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dalyvių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skaičius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, bet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ir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platesnis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informacijos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sklaidos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potencialas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.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Įtraukus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socialinių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tinklų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komunikaciją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,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žiniasklaidos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publikacijas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ir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partnerių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kanalus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,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vieno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renginio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bendras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pasiekiamumas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gali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siekti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10 000 - 30 000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žmoni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.</w:t>
      </w:r>
    </w:p>
    <w:p w:rsidR="6FD664C1" w:rsidP="6FD664C1" w:rsidRDefault="6FD664C1" w14:paraId="17FFA6F1" w14:textId="35384FCD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Jei Tesla dalyvautų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trijuose regioniniuose renginiuose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, bendras komunikacinis pasiekiamumas galėtų siekti:</w:t>
      </w:r>
    </w:p>
    <w:p w:rsidR="6FD664C1" w:rsidP="6FD664C1" w:rsidRDefault="6FD664C1" w14:paraId="678384E3" w14:textId="707444A5">
      <w:pPr>
        <w:spacing w:before="240" w:beforeAutospacing="off" w:after="240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3 × 20 000 =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60 000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žmonių</w:t>
      </w:r>
    </w:p>
    <w:p w:rsidR="6FD664C1" w:rsidP="6FD664C1" w:rsidRDefault="6FD664C1" w14:paraId="153CC55A" w14:textId="5487B97D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Jei net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2 % šios auditorijos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taptų potencialiais klientais ar aktyviais prekės ženklo sekėjais, galima tikėtis:</w:t>
      </w:r>
    </w:p>
    <w:p w:rsidR="6FD664C1" w:rsidP="6FD664C1" w:rsidRDefault="6FD664C1" w14:paraId="79FA027D" w14:textId="354C8E02">
      <w:pPr>
        <w:spacing w:before="240" w:beforeAutospacing="off" w:after="240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60 000 × 2 % =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1 200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potencialių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klientų</w:t>
      </w:r>
    </w:p>
    <w:p w:rsidR="6FD664C1" w:rsidP="6FD664C1" w:rsidRDefault="6FD664C1" w14:paraId="056EE769" w14:textId="6820AE0E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Be formalios konferencijų infrastruktūros, svarbi įvaizdžio formavimo dalis yra socialinės atsakomybės (CSR) iniciatyvos. Baltijos šalyse populiarios tokios veiklos kaip medžių sodinimo akcijos, aplinkos tvarkymo projektai ir bendruomeninės ekologinės kampanijos (8; 7).</w:t>
      </w:r>
    </w:p>
    <w:p w:rsidR="6FD664C1" w:rsidP="6FD664C1" w:rsidRDefault="6FD664C1" w14:paraId="1C02BB9B" w14:textId="7D89D827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Tokios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veiklos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paprastai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pritraukia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50 - 500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dalyvi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,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tačia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u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pasižym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stipri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u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emocini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u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r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reputacini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u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poveiki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u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.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Dė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l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aktyvau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dalijimos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socialiniuos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e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tinkluos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e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j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komunikacini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pasiekiamuma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gal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būt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keli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kartu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didesni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ne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fizini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dalyvi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skaičiu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.</w:t>
      </w:r>
    </w:p>
    <w:p w:rsidR="6FD664C1" w:rsidP="6FD664C1" w:rsidRDefault="6FD664C1" w14:paraId="458F999E" w14:textId="00A75182">
      <w:pPr>
        <w:pStyle w:val="Heading2"/>
        <w:rPr>
          <w:rFonts w:ascii="Arial" w:hAnsi="Arial" w:eastAsia="Arial" w:cs="Arial"/>
          <w:noProof w:val="0"/>
          <w:color w:val="auto"/>
          <w:sz w:val="28"/>
          <w:szCs w:val="28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8"/>
          <w:szCs w:val="28"/>
          <w:lang w:val="en-US"/>
        </w:rPr>
        <w:t xml:space="preserve">3. </w:t>
      </w:r>
      <w:r w:rsidRPr="6FD664C1" w:rsidR="6FD664C1">
        <w:rPr>
          <w:rFonts w:ascii="Arial" w:hAnsi="Arial" w:eastAsia="Arial" w:cs="Arial"/>
          <w:noProof w:val="0"/>
          <w:color w:val="auto"/>
          <w:sz w:val="28"/>
          <w:szCs w:val="28"/>
          <w:lang w:val="en-US"/>
        </w:rPr>
        <w:t>Konkurentai</w:t>
      </w:r>
    </w:p>
    <w:p w:rsidR="6FD664C1" w:rsidP="6FD664C1" w:rsidRDefault="6FD664C1" w14:paraId="39C8E58F" w14:textId="63E8704B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Pastaraisiais metais Baltijos šalių elektromobilių rinkoje aktyviai plečiasi Kinijos automobilių gamintojai, kurie tampa vis reikšmingesniais Tesla konkurentais (5; 6).</w:t>
      </w:r>
    </w:p>
    <w:p w:rsidR="6FD664C1" w:rsidP="6FD664C1" w:rsidRDefault="6FD664C1" w14:paraId="4410E2DC" w14:textId="72CA136D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Vienas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iš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pavyzdžių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-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Xpen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g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,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kuri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planuoj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a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plėtr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ą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Baltijo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šalys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e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bendradarbiaudama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u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regionin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e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automobili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ų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prekybo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grup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e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Modus Group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.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Oficialioj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e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komunikacijoj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e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akcentuojam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kel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pagrindinia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aspekta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</w:t>
      </w:r>
    </w:p>
    <w:p w:rsidR="6FD664C1" w:rsidP="6FD664C1" w:rsidRDefault="6FD664C1" w14:paraId="6760CA79" w14:textId="45AA28D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pažangios technologijos ir autonominio vairavimo sprendimai,</w:t>
      </w:r>
    </w:p>
    <w:p w:rsidR="6FD664C1" w:rsidP="6FD664C1" w:rsidRDefault="6FD664C1" w14:paraId="3B3D2CD6" w14:textId="732FD09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aukšti saugumo standartai (Euro NCAP 5 žvaigždučių reitingas),</w:t>
      </w:r>
    </w:p>
    <w:p w:rsidR="6FD664C1" w:rsidP="6FD664C1" w:rsidRDefault="6FD664C1" w14:paraId="224CE227" w14:textId="0DA334E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vietinių salonų ir serviso centrų kūrimas.</w:t>
      </w:r>
    </w:p>
    <w:p w:rsidR="6FD664C1" w:rsidP="6FD664C1" w:rsidRDefault="6FD664C1" w14:paraId="5F7F5973" w14:textId="6CACD644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Partnerystės su vietinėmis įmonėmis komunikacijoje naudojamos siekiant didinti vartotojų pasitikėjimą ir sumažinti skepticizmą dėl kiniškos kilmės produktų (6).</w:t>
      </w:r>
    </w:p>
    <w:p w:rsidR="6FD664C1" w:rsidP="6FD664C1" w:rsidRDefault="6FD664C1" w14:paraId="2999E05A" w14:textId="7F9A0146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Kitas konkurentas yra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Great Wall Motor (GWM)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, kurio elektromobilių prekės ženklas </w:t>
      </w:r>
      <w:r w:rsidRPr="6FD664C1" w:rsidR="6FD664C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ORA</w:t>
      </w: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Baltijos regiono komunikacijoje pozicionuojamas kaip prieinamas ir modernus miesto mobilumo sprendimas. Šio gamintojo rinkodaros žinutės daugiausia orientuotos į gerą kainos ir kokybės santykį, ekologišką mobilumą ir patrauklų dizainą (5; 4).</w:t>
      </w:r>
    </w:p>
    <w:p w:rsidR="6FD664C1" w:rsidP="6FD664C1" w:rsidRDefault="6FD664C1" w14:paraId="69BCA0DF" w14:textId="2AC0CACB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Bendrai vertinant, Kinijos elektromobilių gamintojų komunikacija Baltijos šalyse remiasi trimis pagrindinėmis strategijomis:</w:t>
      </w:r>
    </w:p>
    <w:p w:rsidR="6FD664C1" w:rsidP="6FD664C1" w:rsidRDefault="6FD664C1" w14:paraId="5555D16B" w14:textId="2445E7A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technologinio patikimumo ir saugumo įvaizdžio kūrimu,</w:t>
      </w:r>
    </w:p>
    <w:p w:rsidR="6FD664C1" w:rsidP="6FD664C1" w:rsidRDefault="6FD664C1" w14:paraId="578FF1D0" w14:textId="36C3E1C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konkurencingo kainos ir vertės santykio akcentavimu,</w:t>
      </w:r>
    </w:p>
    <w:p w:rsidR="6FD664C1" w:rsidP="6FD664C1" w:rsidRDefault="6FD664C1" w14:paraId="5F1B30DF" w14:textId="2D25D1B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lokalizacija per regioninius partnerius.</w:t>
      </w:r>
    </w:p>
    <w:p w:rsidR="6FD664C1" w:rsidP="6FD664C1" w:rsidRDefault="6FD664C1" w14:paraId="016ED8DF" w14:textId="6F2819B1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Šios strategijos padeda gamintojams neutralizuoti vartotojų stereotipus apie kiniškos kilmės technologijas ir palaipsniui didinti jų rinkos dalį Europos elektromobilių rinkoje (4; 5).</w:t>
      </w:r>
    </w:p>
    <w:p w:rsidR="6FD664C1" w:rsidP="6FD664C1" w:rsidRDefault="6FD664C1" w14:paraId="431CAE86" w14:textId="5204F731">
      <w:pPr>
        <w:pStyle w:val="Heading2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sz w:val="28"/>
          <w:szCs w:val="28"/>
          <w:lang w:val="en-US"/>
        </w:rPr>
        <w:t>Literatūros</w:t>
      </w:r>
      <w:r w:rsidRPr="6FD664C1" w:rsidR="6FD664C1">
        <w:rPr>
          <w:rFonts w:ascii="Arial" w:hAnsi="Arial" w:eastAsia="Arial" w:cs="Arial"/>
          <w:noProof w:val="0"/>
          <w:color w:val="auto"/>
          <w:sz w:val="28"/>
          <w:szCs w:val="28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sz w:val="28"/>
          <w:szCs w:val="28"/>
          <w:lang w:val="en-US"/>
        </w:rPr>
        <w:t>sąrašas</w:t>
      </w:r>
    </w:p>
    <w:p w:rsidR="6FD664C1" w:rsidP="6FD664C1" w:rsidRDefault="6FD664C1" w14:paraId="25D5E39A" w14:textId="0F8F1E5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LRT. (2024).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2024-aisiais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lietuviai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pirko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daugiau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naujų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automobilių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. 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>Prieiga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 per 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>internetą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: </w:t>
      </w:r>
      <w:hyperlink r:id="Rc8f9f242ce164cd7">
        <w:r w:rsidRPr="6FD664C1" w:rsidR="6FD664C1">
          <w:rPr>
            <w:rStyle w:val="Hyperlink"/>
            <w:rFonts w:ascii="Arial" w:hAnsi="Arial" w:eastAsia="Arial" w:cs="Arial"/>
            <w:noProof w:val="0"/>
            <w:color w:val="auto"/>
            <w:lang w:val="en-US"/>
          </w:rPr>
          <w:t>https://www.lrt.lt/naujienos/eismas/7/2469116/2024-aisiais-lietuviai-pirko-ne-tik-daugiau-nauju-automobiliu-bet-ir-keturraciu</w:t>
        </w:r>
      </w:hyperlink>
    </w:p>
    <w:p w:rsidR="6FD664C1" w:rsidP="6FD664C1" w:rsidRDefault="6FD664C1" w14:paraId="4768A187" w14:textId="3471F8A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Latvian Public Media. (2025).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New car registrations boomed in third quarter in Latvia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. 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>Prieiga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 per 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>internetą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: </w:t>
      </w:r>
      <w:hyperlink r:id="Rfe9c867790d34602">
        <w:r w:rsidRPr="6FD664C1" w:rsidR="6FD664C1">
          <w:rPr>
            <w:rStyle w:val="Hyperlink"/>
            <w:rFonts w:ascii="Arial" w:hAnsi="Arial" w:eastAsia="Arial" w:cs="Arial"/>
            <w:noProof w:val="0"/>
            <w:color w:val="auto"/>
            <w:lang w:val="en-US"/>
          </w:rPr>
          <w:t>https://eng.lsm.lv/article/economy/transport/11.10.2025-new-car-registrations-boomed-in-third-quarter-in-latvia.a617973/</w:t>
        </w:r>
      </w:hyperlink>
    </w:p>
    <w:p w:rsidR="6FD664C1" w:rsidP="6FD664C1" w:rsidRDefault="6FD664C1" w14:paraId="0E9F5F9B" w14:textId="6A64C96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>Autoportaal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. (2025).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Estonian passenger car market statistics and sales figures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. 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>Prieiga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 per 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>internetą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: </w:t>
      </w:r>
      <w:hyperlink r:id="R19c39acb31844c8f">
        <w:r w:rsidRPr="6FD664C1" w:rsidR="6FD664C1">
          <w:rPr>
            <w:rStyle w:val="Hyperlink"/>
            <w:rFonts w:ascii="Arial" w:hAnsi="Arial" w:eastAsia="Arial" w:cs="Arial"/>
            <w:noProof w:val="0"/>
            <w:color w:val="auto"/>
            <w:lang w:val="en-US"/>
          </w:rPr>
          <w:t>https://autoportaal.ee/en/news/305/2025-estonian-passenger-car-market-statistics-and-sales-figures</w:t>
        </w:r>
      </w:hyperlink>
    </w:p>
    <w:p w:rsidR="6FD664C1" w:rsidP="6FD664C1" w:rsidRDefault="6FD664C1" w14:paraId="6558F95D" w14:textId="1ED288C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JATO Dynamics. (2025).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Transporto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priemonių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rinkos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ataskaita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: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populiariausi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EV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prekės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ženklai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Europoje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>. European New Mobility Analysis.</w:t>
      </w:r>
    </w:p>
    <w:p w:rsidR="6FD664C1" w:rsidP="6FD664C1" w:rsidRDefault="6FD664C1" w14:paraId="3519CB23" w14:textId="06AFEE8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TV3.lt. (2024).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Kinijos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elektromobilių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plėtra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Europoje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stabtelėjo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: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importo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muitai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smogė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pardavimams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, bet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gamintojai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nesitraukia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>.</w:t>
      </w:r>
    </w:p>
    <w:p w:rsidR="6FD664C1" w:rsidP="6FD664C1" w:rsidRDefault="6FD664C1" w14:paraId="2CD8965C" w14:textId="718FE4C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>Infoerdve.lt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. (2026).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Kinijos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elektromobilių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pergalės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metai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?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Kodėl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2026-ieji bus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lemtingi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Europai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>.</w:t>
      </w:r>
    </w:p>
    <w:p w:rsidR="6FD664C1" w:rsidP="6FD664C1" w:rsidRDefault="6FD664C1" w14:paraId="0C5F7034" w14:textId="74921DD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>LRT.lt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. (2024).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Kiniški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elektromobiliai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Europoje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: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kokią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įtaką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jie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darys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naudotų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automobilių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kainoms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?</w:t>
      </w:r>
    </w:p>
    <w:p w:rsidR="6FD664C1" w:rsidP="6FD664C1" w:rsidRDefault="6FD664C1" w14:paraId="7BE06445" w14:textId="033CFCA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>Norbutas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, S. (2024).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Ar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lietuviai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važinės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kiniškais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elektromobiliais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?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>LRT.lt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>.</w:t>
      </w:r>
    </w:p>
    <w:p w:rsidR="6FD664C1" w:rsidP="6FD664C1" w:rsidRDefault="6FD664C1" w14:paraId="74C8638D" w14:textId="069755A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Energy Forum. (2025).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Energy Forum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oficiali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informacija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. 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>Prieiga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 per 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>internetą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: </w:t>
      </w:r>
      <w:hyperlink r:id="R9f8a9e67996c4f0f">
        <w:r w:rsidRPr="6FD664C1" w:rsidR="6FD664C1">
          <w:rPr>
            <w:rStyle w:val="Hyperlink"/>
            <w:rFonts w:ascii="Arial" w:hAnsi="Arial" w:eastAsia="Arial" w:cs="Arial"/>
            <w:noProof w:val="0"/>
            <w:color w:val="auto"/>
            <w:lang w:val="en-US"/>
          </w:rPr>
          <w:t>https://energyforum.lt</w:t>
        </w:r>
      </w:hyperlink>
    </w:p>
    <w:p w:rsidR="6FD664C1" w:rsidP="6FD664C1" w:rsidRDefault="6FD664C1" w14:paraId="385B82B8" w14:textId="102FE8D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Nordic–Baltic Chamber of Commerce. (2024).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Nordic–Baltic Sustainable Business Summit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. 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>Prieiga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 per 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>internetą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: </w:t>
      </w:r>
      <w:hyperlink r:id="R248ef4fe7a974503">
        <w:r w:rsidRPr="6FD664C1" w:rsidR="6FD664C1">
          <w:rPr>
            <w:rStyle w:val="Hyperlink"/>
            <w:rFonts w:ascii="Arial" w:hAnsi="Arial" w:eastAsia="Arial" w:cs="Arial"/>
            <w:noProof w:val="0"/>
            <w:color w:val="auto"/>
            <w:lang w:val="en-US"/>
          </w:rPr>
          <w:t>https://estcham.lt/sustainable-business-summit/</w:t>
        </w:r>
      </w:hyperlink>
    </w:p>
    <w:p w:rsidR="6FD664C1" w:rsidP="6FD664C1" w:rsidRDefault="6FD664C1" w14:paraId="35D6DD82" w14:textId="6347F26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lang w:val="en-US"/>
        </w:rPr>
      </w:pP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UTU Group. (2025).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 xml:space="preserve">International Baltic Road Conference (IBRC) </w:t>
      </w:r>
      <w:r w:rsidRPr="6FD664C1" w:rsidR="6FD664C1">
        <w:rPr>
          <w:rFonts w:ascii="Arial" w:hAnsi="Arial" w:eastAsia="Arial" w:cs="Arial"/>
          <w:i w:val="1"/>
          <w:iCs w:val="1"/>
          <w:noProof w:val="0"/>
          <w:color w:val="auto"/>
          <w:lang w:val="en-US"/>
        </w:rPr>
        <w:t>apžvalga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. 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>Prieiga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 per 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>internetą</w:t>
      </w:r>
      <w:r w:rsidRPr="6FD664C1" w:rsidR="6FD664C1">
        <w:rPr>
          <w:rFonts w:ascii="Arial" w:hAnsi="Arial" w:eastAsia="Arial" w:cs="Arial"/>
          <w:noProof w:val="0"/>
          <w:color w:val="auto"/>
          <w:lang w:val="en-US"/>
        </w:rPr>
        <w:t xml:space="preserve">: </w:t>
      </w:r>
      <w:hyperlink r:id="R9854640952ac4bf3">
        <w:r w:rsidRPr="6FD664C1" w:rsidR="6FD664C1">
          <w:rPr>
            <w:rStyle w:val="Hyperlink"/>
            <w:rFonts w:ascii="Arial" w:hAnsi="Arial" w:eastAsia="Arial" w:cs="Arial"/>
            <w:noProof w:val="0"/>
            <w:color w:val="auto"/>
            <w:lang w:val="en-US"/>
          </w:rPr>
          <w:t>https://www.utugroup.com/lt/naujienos/utu-ibrc-2025-ismanus-elektromobiliu-ikrovimo-sprendimai/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558881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4afc7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2146c6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7c462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3aee3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c72ba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ba728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dd441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0b021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95d98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dd495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dc95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6da4f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67a9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ef1f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0f5e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b11b8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abe73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86f6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b6e61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b57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0e2e8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f5c1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7c2f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F6F2D8"/>
    <w:rsid w:val="014DFFD3"/>
    <w:rsid w:val="026D9BF2"/>
    <w:rsid w:val="031A9C35"/>
    <w:rsid w:val="037B0186"/>
    <w:rsid w:val="043D746D"/>
    <w:rsid w:val="05119063"/>
    <w:rsid w:val="0543C31A"/>
    <w:rsid w:val="07A6A79A"/>
    <w:rsid w:val="0B91A814"/>
    <w:rsid w:val="0BE6EBA2"/>
    <w:rsid w:val="0C06FC79"/>
    <w:rsid w:val="0C7E7A96"/>
    <w:rsid w:val="0EE29698"/>
    <w:rsid w:val="0F403163"/>
    <w:rsid w:val="103F97E8"/>
    <w:rsid w:val="10F02398"/>
    <w:rsid w:val="13538B4F"/>
    <w:rsid w:val="15622BA1"/>
    <w:rsid w:val="16F825AB"/>
    <w:rsid w:val="176EFB41"/>
    <w:rsid w:val="187857B5"/>
    <w:rsid w:val="19E253D3"/>
    <w:rsid w:val="1A5C135B"/>
    <w:rsid w:val="1AB11921"/>
    <w:rsid w:val="1BFDF5C4"/>
    <w:rsid w:val="1CBA2976"/>
    <w:rsid w:val="1DBBC83F"/>
    <w:rsid w:val="1E7F3592"/>
    <w:rsid w:val="1ED0E8B4"/>
    <w:rsid w:val="1EF6F2D8"/>
    <w:rsid w:val="21613132"/>
    <w:rsid w:val="21A8B2D8"/>
    <w:rsid w:val="225453DD"/>
    <w:rsid w:val="22F318B3"/>
    <w:rsid w:val="22F9285C"/>
    <w:rsid w:val="2349661D"/>
    <w:rsid w:val="237B4A14"/>
    <w:rsid w:val="24705421"/>
    <w:rsid w:val="24F7D572"/>
    <w:rsid w:val="25201F26"/>
    <w:rsid w:val="2606F380"/>
    <w:rsid w:val="2612BF19"/>
    <w:rsid w:val="2684EEEB"/>
    <w:rsid w:val="26D0DA2B"/>
    <w:rsid w:val="278864D5"/>
    <w:rsid w:val="27E34597"/>
    <w:rsid w:val="2B7EDD1D"/>
    <w:rsid w:val="2C042F6C"/>
    <w:rsid w:val="2E8B3769"/>
    <w:rsid w:val="2E8BF9F7"/>
    <w:rsid w:val="318D4FCA"/>
    <w:rsid w:val="319A2199"/>
    <w:rsid w:val="31B22C6E"/>
    <w:rsid w:val="3294BA1C"/>
    <w:rsid w:val="32C01BC1"/>
    <w:rsid w:val="332CBF6B"/>
    <w:rsid w:val="33D989DB"/>
    <w:rsid w:val="34625FD6"/>
    <w:rsid w:val="34B1D0D7"/>
    <w:rsid w:val="362CE3DB"/>
    <w:rsid w:val="36E98F31"/>
    <w:rsid w:val="37DF5EF2"/>
    <w:rsid w:val="3B187F93"/>
    <w:rsid w:val="4004CAA0"/>
    <w:rsid w:val="401213C6"/>
    <w:rsid w:val="402D29DE"/>
    <w:rsid w:val="4050C7E8"/>
    <w:rsid w:val="423F6FDA"/>
    <w:rsid w:val="43103954"/>
    <w:rsid w:val="44B3BC83"/>
    <w:rsid w:val="451BB462"/>
    <w:rsid w:val="460C88F3"/>
    <w:rsid w:val="47D4EADD"/>
    <w:rsid w:val="483B784B"/>
    <w:rsid w:val="48EF17FE"/>
    <w:rsid w:val="49015084"/>
    <w:rsid w:val="4974CEEE"/>
    <w:rsid w:val="4A22C01A"/>
    <w:rsid w:val="4C78315F"/>
    <w:rsid w:val="4C95F8DF"/>
    <w:rsid w:val="4C9EC02E"/>
    <w:rsid w:val="4CA2390A"/>
    <w:rsid w:val="4D54D15B"/>
    <w:rsid w:val="4D767203"/>
    <w:rsid w:val="4D9A85CE"/>
    <w:rsid w:val="4DD189B4"/>
    <w:rsid w:val="4F4ADD74"/>
    <w:rsid w:val="515BBF07"/>
    <w:rsid w:val="52A3FDFF"/>
    <w:rsid w:val="52C462F4"/>
    <w:rsid w:val="52F00A01"/>
    <w:rsid w:val="532B699E"/>
    <w:rsid w:val="5406225C"/>
    <w:rsid w:val="557E7997"/>
    <w:rsid w:val="56256D9E"/>
    <w:rsid w:val="573D4695"/>
    <w:rsid w:val="599D2F80"/>
    <w:rsid w:val="5AE00620"/>
    <w:rsid w:val="5B3CCB20"/>
    <w:rsid w:val="5B92AE0F"/>
    <w:rsid w:val="5C192316"/>
    <w:rsid w:val="5CDD82AB"/>
    <w:rsid w:val="60211596"/>
    <w:rsid w:val="602B5F20"/>
    <w:rsid w:val="61D1987B"/>
    <w:rsid w:val="62143355"/>
    <w:rsid w:val="62690147"/>
    <w:rsid w:val="6302FB05"/>
    <w:rsid w:val="634CFB96"/>
    <w:rsid w:val="673DF3FF"/>
    <w:rsid w:val="674CB217"/>
    <w:rsid w:val="675354BC"/>
    <w:rsid w:val="6910770C"/>
    <w:rsid w:val="6942708E"/>
    <w:rsid w:val="6A0F19D1"/>
    <w:rsid w:val="6A954B34"/>
    <w:rsid w:val="6ADBB0D9"/>
    <w:rsid w:val="6D3685F8"/>
    <w:rsid w:val="6D4A9293"/>
    <w:rsid w:val="6E147B83"/>
    <w:rsid w:val="6EB813EA"/>
    <w:rsid w:val="6FD664C1"/>
    <w:rsid w:val="6FF881D3"/>
    <w:rsid w:val="71A4AB02"/>
    <w:rsid w:val="71DB51A0"/>
    <w:rsid w:val="71F460C3"/>
    <w:rsid w:val="72142CD6"/>
    <w:rsid w:val="722DAC97"/>
    <w:rsid w:val="7310D99F"/>
    <w:rsid w:val="732CE719"/>
    <w:rsid w:val="7369151A"/>
    <w:rsid w:val="74DEB5D1"/>
    <w:rsid w:val="752B8261"/>
    <w:rsid w:val="754DC788"/>
    <w:rsid w:val="75D39663"/>
    <w:rsid w:val="76B45A61"/>
    <w:rsid w:val="772783D4"/>
    <w:rsid w:val="7876156E"/>
    <w:rsid w:val="787F908D"/>
    <w:rsid w:val="78B747E2"/>
    <w:rsid w:val="7A11A9CB"/>
    <w:rsid w:val="7B46EDA1"/>
    <w:rsid w:val="7CBA9D7B"/>
    <w:rsid w:val="7DAA477A"/>
    <w:rsid w:val="7E8ED679"/>
    <w:rsid w:val="7E91E86D"/>
    <w:rsid w:val="7EEA6661"/>
    <w:rsid w:val="7FC050D2"/>
    <w:rsid w:val="7FC2D904"/>
    <w:rsid w:val="7FCB9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E005"/>
  <w15:chartTrackingRefBased/>
  <w15:docId w15:val="{C71B869E-FFF3-49BD-AC51-052C7BAC01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A954B34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6A954B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A954B3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A954B34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A954B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48e4974483438c" /><Relationship Type="http://schemas.openxmlformats.org/officeDocument/2006/relationships/hyperlink" Target="https://www.lrt.lt/naujienos/eismas/7/2469116/2024-aisiais-lietuviai-pirko-ne-tik-daugiau-nauju-automobiliu-bet-ir-keturraciu" TargetMode="External" Id="Rc8f9f242ce164cd7" /><Relationship Type="http://schemas.openxmlformats.org/officeDocument/2006/relationships/hyperlink" Target="https://eng.lsm.lv/article/economy/transport/11.10.2025-new-car-registrations-boomed-in-third-quarter-in-latvia.a617973/" TargetMode="External" Id="Rfe9c867790d34602" /><Relationship Type="http://schemas.openxmlformats.org/officeDocument/2006/relationships/hyperlink" Target="https://autoportaal.ee/en/news/305/2025-estonian-passenger-car-market-statistics-and-sales-figures" TargetMode="External" Id="R19c39acb31844c8f" /><Relationship Type="http://schemas.openxmlformats.org/officeDocument/2006/relationships/hyperlink" Target="https://energyforum.lt/" TargetMode="External" Id="R9f8a9e67996c4f0f" /><Relationship Type="http://schemas.openxmlformats.org/officeDocument/2006/relationships/hyperlink" Target="https://estcham.lt/sustainable-business-summit/" TargetMode="External" Id="R248ef4fe7a974503" /><Relationship Type="http://schemas.openxmlformats.org/officeDocument/2006/relationships/hyperlink" Target="https://www.utugroup.com/lt/naujienos/utu-ibrc-2025-ismanus-elektromobiliu-ikrovimo-sprendimai/" TargetMode="External" Id="R9854640952ac4bf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2026-02-24T18:43:24.3450519Z</dcterms:created>
  <dcterms:modified xsi:type="dcterms:W3CDTF">2026-03-04T19:55:11.4552068Z</dcterms:modified>
  <dc:creator>Kristupas Kuras</dc:creator>
  <lastModifiedBy>Guest User</lastModifiedBy>
</coreProperties>
</file>