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0b0b"/>
          <w:sz w:val="40"/>
          <w:szCs w:val="40"/>
        </w:rPr>
        <w:t xml:space="preserve">AI Judges for Car-Aesthetics Ratings</w:t>
      </w:r>
    </w:p>
    <w:p>
      <w:pPr>
        <w:spacing w:after="40"/>
      </w:pPr>
      <w:r>
        <w:rPr>
          <w:color w:val="52514e"/>
          <w:sz w:val="24"/>
          <w:szCs w:val="24"/>
        </w:rPr>
        <w:t xml:space="preserve">Top judges vs. baselines — full-pool evaluation, per-dimension metrics, and significance tests</w:t>
      </w:r>
    </w:p>
    <w:p>
      <w:pPr>
        <w:pBdr>
          <w:bottom w:val="single" w:color="c3c2b7" w:sz="6" w:space="6"/>
        </w:pBdr>
        <w:spacing w:after="200"/>
      </w:pPr>
      <w:r>
        <w:rPr>
          <w:i/>
          <w:iCs/>
          <w:color w:val="898781"/>
          <w:sz w:val="18"/>
          <w:szCs w:val="18"/>
        </w:rPr>
        <w:t xml:space="preserve">Full pool: 672 raters × 20 held-out cars × 5 dimensions (67,200 predictions per run), 2 random seeds, seed-averaged. Generated 2026-07-27.</w:t>
      </w:r>
    </w:p>
    <w:p>
      <w:pPr>
        <w:pStyle w:val="Heading1"/>
        <w:spacing w:after="120" w:before="260"/>
      </w:pPr>
      <w:r>
        <w:rPr>
          <w:color w:val="0b0b0b"/>
        </w:rPr>
        <w:t xml:space="preserve">Executive summary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Twelve of a rater’s own car ratings, shown to the model as in-context exemplars, do almost all of the work. </w:t>
      </w:r>
      <w:r>
        <w:rPr>
          <w:color w:val="0b0b0b"/>
          <w:sz w:val="22"/>
          <w:szCs w:val="22"/>
        </w:rPr>
        <w:t xml:space="preserve">Moving from the constant </w:t>
      </w:r>
      <w:r>
        <w:rPr>
          <w:b/>
          <w:bCs/>
          <w:color w:val="0b0b0b"/>
          <w:sz w:val="22"/>
          <w:szCs w:val="22"/>
        </w:rPr>
        <w:t xml:space="preserve">population-mean</w:t>
      </w:r>
      <w:r>
        <w:rPr>
          <w:color w:val="0b0b0b"/>
          <w:sz w:val="22"/>
          <w:szCs w:val="22"/>
        </w:rPr>
        <w:t xml:space="preserve"> baseline to the exemplar judge </w:t>
      </w:r>
      <w:r>
        <w:rPr>
          <w:b/>
          <w:bCs/>
          <w:color w:val="2a78d6"/>
          <w:sz w:val="22"/>
          <w:szCs w:val="22"/>
        </w:rPr>
        <w:t xml:space="preserve">b_persona</w:t>
      </w:r>
      <w:r>
        <w:rPr>
          <w:color w:val="0b0b0b"/>
          <w:sz w:val="22"/>
          <w:szCs w:val="22"/>
        </w:rPr>
        <w:t xml:space="preserve"> cuts mean absolute error from 1.256 to 0.852 and lifts rank agreement (ICC) from ≈0 to 0.665. </w:t>
      </w:r>
      <w:r>
        <w:rPr>
          <w:color w:val="0b0b0b"/>
          <w:sz w:val="22"/>
          <w:szCs w:val="22"/>
        </w:rPr>
        <w:t xml:space="preserve">Every other lever tested — interpreted-demographic “taste cards,” a two-stage prediction recipe, and their combination — is worth at most 0.0055 MAE on top of that — under 2% of what the exemplars deliver.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The best guide-conditioned design, </w:t>
      </w:r>
      <w:r>
        <w:rPr>
          <w:b/>
          <w:bCs/>
          <w:color w:val="eb6834"/>
          <w:sz w:val="22"/>
          <w:szCs w:val="22"/>
        </w:rPr>
        <w:t xml:space="preserve">g_card_twostage</w:t>
      </w:r>
      <w:r>
        <w:rPr>
          <w:color w:val="0b0b0b"/>
          <w:sz w:val="22"/>
          <w:szCs w:val="22"/>
        </w:rPr>
        <w:t xml:space="preserve">, posts the lowest MAE overall (0.846) and the effect is statistically real (95% CI excludes zero on both seeds; Wilcoxon p ≈ 3×10⁻³). But it is a </w:t>
      </w:r>
      <w:r>
        <w:rPr>
          <w:i/>
          <w:iCs/>
          <w:color w:val="0b0b0b"/>
          <w:sz w:val="22"/>
          <w:szCs w:val="22"/>
        </w:rPr>
        <w:t xml:space="preserve">calibration</w:t>
      </w:r>
      <w:r>
        <w:rPr>
          <w:color w:val="0b0b0b"/>
          <w:sz w:val="22"/>
          <w:szCs w:val="22"/>
        </w:rPr>
        <w:t xml:space="preserve"> gain, not a personalization gain: rank-agreement metrics (ICC, Spearman ρ, within-rater ρ) tick </w:t>
      </w:r>
      <w:r>
        <w:rPr>
          <w:i/>
          <w:iCs/>
          <w:color w:val="0b0b0b"/>
          <w:sz w:val="22"/>
          <w:szCs w:val="22"/>
        </w:rPr>
        <w:t xml:space="preserve">down</w:t>
      </w:r>
      <w:r>
        <w:rPr>
          <w:color w:val="0b0b0b"/>
          <w:sz w:val="22"/>
          <w:szCs w:val="22"/>
        </w:rPr>
        <w:t xml:space="preserve"> by ~0.002, and the entire MAE improvement is concentrated in the single </w:t>
      </w:r>
      <w:r>
        <w:rPr>
          <w:b/>
          <w:bCs/>
          <w:color w:val="0b0b0b"/>
          <w:sz w:val="22"/>
          <w:szCs w:val="22"/>
        </w:rPr>
        <w:t xml:space="preserve">preference</w:t>
      </w:r>
      <w:r>
        <w:rPr>
          <w:color w:val="0b0b0b"/>
          <w:sz w:val="22"/>
          <w:szCs w:val="22"/>
        </w:rPr>
        <w:t xml:space="preserve"> dimension (−0.017). By the pre-registered rule — a winning judge must lower MAE </w:t>
      </w:r>
      <w:r>
        <w:rPr>
          <w:i/>
          <w:iCs/>
          <w:color w:val="0b0b0b"/>
          <w:sz w:val="22"/>
          <w:szCs w:val="22"/>
        </w:rPr>
        <w:t xml:space="preserve">and</w:t>
      </w:r>
      <w:r>
        <w:rPr>
          <w:color w:val="0b0b0b"/>
          <w:sz w:val="22"/>
          <w:szCs w:val="22"/>
        </w:rPr>
        <w:t xml:space="preserve"> raise ICC/ρ — </w:t>
      </w:r>
      <w:r>
        <w:rPr>
          <w:b/>
          <w:bCs/>
          <w:color w:val="2a78d6"/>
          <w:sz w:val="22"/>
          <w:szCs w:val="22"/>
        </w:rPr>
        <w:t xml:space="preserve">b_persona</w:t>
      </w:r>
      <w:r>
        <w:rPr>
          <w:color w:val="0b0b0b"/>
          <w:sz w:val="22"/>
          <w:szCs w:val="22"/>
        </w:rPr>
        <w:t xml:space="preserve"> remains the recommended judge; g_card_twostage is documented as an optional MAE-only variant.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The new population-mean baseline is itself informative: at MAE 1.256 it is </w:t>
      </w:r>
      <w:r>
        <w:rPr>
          <w:b/>
          <w:bCs/>
          <w:color w:val="0b0b0b"/>
          <w:sz w:val="22"/>
          <w:szCs w:val="22"/>
        </w:rPr>
        <w:t xml:space="preserve">worse</w:t>
      </w:r>
      <w:r>
        <w:rPr>
          <w:color w:val="0b0b0b"/>
          <w:sz w:val="22"/>
          <w:szCs w:val="22"/>
        </w:rPr>
        <w:t xml:space="preserve"> than the 0-shot LLM (1.161), and because it is constant within a dimension it has </w:t>
      </w:r>
      <w:r>
        <w:rPr>
          <w:b/>
          <w:bCs/>
          <w:color w:val="0b0b0b"/>
          <w:sz w:val="22"/>
          <w:szCs w:val="22"/>
        </w:rPr>
        <w:t xml:space="preserve">no ability to rank cars at all</w:t>
      </w:r>
      <w:r>
        <w:rPr>
          <w:color w:val="0b0b0b"/>
          <w:sz w:val="22"/>
          <w:szCs w:val="22"/>
        </w:rPr>
        <w:t xml:space="preserve"> (ICC = 0, ρ undefined). It marks the true floor against which every judge’s ranking ability should be read.</w:t>
      </w:r>
    </w:p>
    <w:p>
      <w:pPr>
        <w:pStyle w:val="Heading1"/>
        <w:spacing w:after="120" w:before="260"/>
      </w:pPr>
      <w:r>
        <w:rPr>
          <w:color w:val="0b0b0b"/>
        </w:rPr>
        <w:t xml:space="preserve">Methods</w:t>
      </w:r>
    </w:p>
    <w:p>
      <w:pPr>
        <w:pStyle w:val="Heading2"/>
        <w:spacing w:after="120" w:before="260"/>
      </w:pPr>
      <w:r>
        <w:rPr>
          <w:color w:val="0b0b0b"/>
        </w:rPr>
        <w:t xml:space="preserve">Judges and baselines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All numbers are recomputed from scratch from the per-cell prediction files of the full-pool confirmation runs (tag </w:t>
      </w:r>
      <w:r>
        <w:rPr>
          <w:rFonts w:ascii="Consolas" w:cs="Consolas" w:eastAsia="Consolas" w:hAnsi="Consolas"/>
          <w:color w:val="0b0b0b"/>
          <w:sz w:val="20"/>
          <w:szCs w:val="20"/>
        </w:rPr>
        <w:t xml:space="preserve">confirm800</w:t>
      </w:r>
      <w:r>
        <w:rPr>
          <w:color w:val="0b0b0b"/>
          <w:sz w:val="22"/>
          <w:szCs w:val="22"/>
        </w:rPr>
        <w:t xml:space="preserve">), independently reproducing the run-level MAE/ICC/ρ to four decimals. Five systems are compared: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0b0b0b"/>
          <w:sz w:val="22"/>
          <w:szCs w:val="22"/>
        </w:rPr>
        <w:t xml:space="preserve">Population mean (constant) — NEW baseline. </w:t>
      </w:r>
      <w:r>
        <w:rPr>
          <w:color w:val="0b0b0b"/>
          <w:sz w:val="22"/>
          <w:szCs w:val="22"/>
        </w:rPr>
        <w:t xml:space="preserve">For each dimension, predict the grand mean of that dimension across the evaluation set. The simplest possible predictor: it captures the level of each attribute and nothing about which car or which person.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0b0b0b"/>
          <w:sz w:val="22"/>
          <w:szCs w:val="22"/>
        </w:rPr>
        <w:t xml:space="preserve">Per-car mean (consensus) — reference baseline. </w:t>
      </w:r>
      <w:r>
        <w:rPr>
          <w:color w:val="0b0b0b"/>
          <w:sz w:val="22"/>
          <w:szCs w:val="22"/>
        </w:rPr>
        <w:t xml:space="preserve">Predict each car’s average rating per dimension (the population consensus). Strong on shared taste; identical for every rater of a given car, so it cannot personalize.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0b0b0b"/>
          <w:sz w:val="22"/>
          <w:szCs w:val="22"/>
        </w:rPr>
        <w:t xml:space="preserve">b_nocontext (no-context, 0-shot). </w:t>
      </w:r>
      <w:r>
        <w:rPr>
          <w:color w:val="0b0b0b"/>
          <w:sz w:val="22"/>
          <w:szCs w:val="22"/>
        </w:rPr>
        <w:t xml:space="preserve">The image-only LLM judge with no exemplars — the project’s standing anchor for “what the model knows before it sees the person.”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0b0b0b"/>
          <w:sz w:val="22"/>
          <w:szCs w:val="22"/>
        </w:rPr>
        <w:t xml:space="preserve">b_persona (recommended). </w:t>
      </w:r>
      <w:r>
        <w:rPr>
          <w:color w:val="0b0b0b"/>
          <w:sz w:val="22"/>
          <w:szCs w:val="22"/>
        </w:rPr>
        <w:t xml:space="preserve">12 random own-car exemplars + persona prompt. The incumbent winner of the earlier lever sweep.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  <w:color w:val="0b0b0b"/>
          <w:sz w:val="22"/>
          <w:szCs w:val="22"/>
        </w:rPr>
        <w:t xml:space="preserve">g_card_twostage (variant). </w:t>
      </w:r>
      <w:r>
        <w:rPr>
          <w:color w:val="0b0b0b"/>
          <w:sz w:val="22"/>
          <w:szCs w:val="22"/>
        </w:rPr>
        <w:t xml:space="preserve">b_persona plus a per-rater taste card (interpreted demographics/Big-Five) and the two-stage recipe (estimate shared styling first, then convert to the person’s numbers).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Metrics per dimension and overall: MAE, RMSE, within-1 accuracy, ICC(2,1) absolute agreement, Spearman ρ, quadratic-weighted κ, and within-rater ρ (mean over raters of the correlation between a rater’s true and predicted ratings). </w:t>
      </w:r>
      <w:r>
        <w:rPr>
          <w:color w:val="0b0b0b"/>
          <w:sz w:val="22"/>
          <w:szCs w:val="22"/>
        </w:rPr>
        <w:t xml:space="preserve">Statistical tests: paired Wilcoxon signed-rank on per-cell absolute errors, and 95% confidence intervals on ΔMAE from a cluster bootstrap that resamples raters (2,000 iterations), so the uncertainty respects the 672 independent people rather than the 67,200 correlated cells.</w:t>
      </w:r>
    </w:p>
    <w:p>
      <w:pPr>
        <w:pStyle w:val="Heading1"/>
        <w:spacing w:after="120" w:before="260"/>
      </w:pPr>
      <w:r>
        <w:rPr>
          <w:color w:val="0b0b0b"/>
        </w:rPr>
        <w:t xml:space="preserve">Overall results</w:t>
      </w:r>
    </w:p>
    <w:tbl>
      <w:tblPr>
        <w:tblW w:type="dxa" w:w="9750"/>
        <w:tblBorders>
          <w:top w:val="single" w:color="c3c2b7" w:sz="2"/>
          <w:left w:val="none"/>
          <w:bottom w:val="single" w:color="c3c2b7" w:sz="2"/>
          <w:right w:val="none"/>
          <w:insideH w:val="single" w:color="e1e0d9" w:sz="1"/>
          <w:insideV w:val="none"/>
        </w:tblBorders>
      </w:tblPr>
      <w:tblGrid>
        <w:gridCol w:w="2400"/>
        <w:gridCol w:w="900"/>
        <w:gridCol w:w="900"/>
        <w:gridCol w:w="1050"/>
        <w:gridCol w:w="1100"/>
        <w:gridCol w:w="1200"/>
        <w:gridCol w:w="850"/>
        <w:gridCol w:w="1350"/>
      </w:tblGrid>
      <w:tr>
        <w:trPr>
          <w:tblHeader/>
        </w:trPr>
        <w:tc>
          <w:tcPr>
            <w:tcW w:type="dxa" w:w="24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Judge / baseline</w:t>
            </w:r>
          </w:p>
        </w:tc>
        <w:tc>
          <w:tcPr>
            <w:tcW w:type="dxa" w:w="9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MAE ↓</w:t>
            </w:r>
          </w:p>
        </w:tc>
        <w:tc>
          <w:tcPr>
            <w:tcW w:type="dxa" w:w="9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RMSE ↓</w:t>
            </w:r>
          </w:p>
        </w:tc>
        <w:tc>
          <w:tcPr>
            <w:tcW w:type="dxa" w:w="105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Within-1 ↑</w:t>
            </w:r>
          </w:p>
        </w:tc>
        <w:tc>
          <w:tcPr>
            <w:tcW w:type="dxa" w:w="11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ICC(2,1) ↑</w:t>
            </w:r>
          </w:p>
        </w:tc>
        <w:tc>
          <w:tcPr>
            <w:tcW w:type="dxa" w:w="12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Spearman ρ ↑</w:t>
            </w:r>
          </w:p>
        </w:tc>
        <w:tc>
          <w:tcPr>
            <w:tcW w:type="dxa" w:w="85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Wtd κ ↑</w:t>
            </w:r>
          </w:p>
        </w:tc>
        <w:tc>
          <w:tcPr>
            <w:tcW w:type="dxa" w:w="135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Within-rater ρ ↑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Population mean (constant)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1.256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1.491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0.427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No-context (0-shot LLM)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1.161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1.517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0.686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0.427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0.448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0.427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0.483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Per-car mean (consensus)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1.001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1.234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0.589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0.539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0.603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0.523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0.621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b_persona (recommended)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0.852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1.236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0.813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0.664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0.665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0.593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g_card_twostage (variant)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0.846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1.221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0.816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0.662</w:t>
            </w:r>
          </w:p>
        </w:tc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0.663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0.592</w:t>
            </w:r>
          </w:p>
        </w:tc>
      </w:tr>
    </w:tbl>
    <w:p>
      <w:pPr>
        <w:spacing w:after="180" w:before="80"/>
      </w:pPr>
      <w:r>
        <w:rPr>
          <w:i/>
          <w:iCs/>
          <w:color w:val="52514e"/>
          <w:sz w:val="17"/>
          <w:szCs w:val="17"/>
        </w:rPr>
        <w:t xml:space="preserve">Table 1. Seed-averaged overall metrics. Arrows show the good direction. The population-mean baseline’s rank metrics are shown as “—”: within a dimension it is constant, so ICC/ρ are 0 or undefined.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1. </w:t>
      </w:r>
      <w:r>
        <w:rPr>
          <w:i/>
          <w:iCs/>
          <w:color w:val="52514e"/>
          <w:sz w:val="17"/>
          <w:szCs w:val="17"/>
        </w:rPr>
        <w:t xml:space="preserve">Performance ladder from the constant baseline to the best judge. The large gaps are baseline→exemplar; b_persona and g_card_twostage are visually indistinguishable.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Reading the ladder: the population-mean baseline (MAE 1.256) is beaten by the 0-shot LLM (1.161), which is beaten by per-car consensus (1.001), which is beaten by the personalized exemplar judges (~0.85). </w:t>
      </w:r>
      <w:r>
        <w:rPr>
          <w:color w:val="0b0b0b"/>
          <w:sz w:val="22"/>
          <w:szCs w:val="22"/>
        </w:rPr>
        <w:t xml:space="preserve">The single largest jump is adding the 12 exemplars — 0.31 MAE, about 27% — which also carries ICC from 0.427 to 0.665. Everything after that is a rounding error by comparison.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b0b0b"/>
        </w:rPr>
        <w:t xml:space="preserve">Per-dimension results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2. </w:t>
      </w:r>
      <w:r>
        <w:rPr>
          <w:i/>
          <w:iCs/>
          <w:color w:val="52514e"/>
          <w:sz w:val="17"/>
          <w:szCs w:val="17"/>
        </w:rPr>
        <w:t xml:space="preserve">MAE for every judge across all five dimensions. Rugged is the best-predicted dimension for the exemplar judges (MAE ≈ 0.70); preference is the hardest for every method.</w:t>
      </w:r>
    </w:p>
    <w:p>
      <w:pPr>
        <w:pStyle w:val="Heading2"/>
        <w:spacing w:after="120" w:before="260"/>
      </w:pPr>
      <w:r>
        <w:rPr>
          <w:color w:val="0b0b0b"/>
        </w:rPr>
        <w:t xml:space="preserve">MAE by dimension</w:t>
      </w:r>
    </w:p>
    <w:tbl>
      <w:tblPr>
        <w:tblW w:type="dxa" w:w="8400"/>
        <w:tblBorders>
          <w:top w:val="single" w:color="c3c2b7" w:sz="2"/>
          <w:left w:val="none"/>
          <w:bottom w:val="single" w:color="c3c2b7" w:sz="2"/>
          <w:right w:val="none"/>
          <w:insideH w:val="single" w:color="e1e0d9" w:sz="1"/>
          <w:insideV w:val="none"/>
        </w:tblBorders>
      </w:tblPr>
      <w:tblGrid>
        <w:gridCol w:w="260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6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Judge / baseline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Sporty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Luxurious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Modern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Rugged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Preference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Population mean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1.360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1.279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1.093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1.289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1.257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No-context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1.182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1.125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1.067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1.081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1.351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Per-car mean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1.037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0.986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0.955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0.965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1.061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b_persona (recommended)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0.893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0.872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0.853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0.698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0.942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g_card_twostage (variant)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0.891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0.868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0.852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0.696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0.924</w:t>
            </w:r>
          </w:p>
        </w:tc>
      </w:tr>
    </w:tbl>
    <w:p>
      <w:pPr>
        <w:spacing w:after="160" w:before="80"/>
      </w:pPr>
      <w:r>
        <w:rPr>
          <w:i/>
          <w:iCs/>
          <w:color w:val="52514e"/>
          <w:sz w:val="17"/>
          <w:szCs w:val="17"/>
        </w:rPr>
        <w:t xml:space="preserve">Table 2. Seed-averaged MAE per dimension (lower is better).</w:t>
      </w:r>
    </w:p>
    <w:p>
      <w:pPr>
        <w:pStyle w:val="Heading2"/>
        <w:spacing w:after="120" w:before="260"/>
      </w:pPr>
      <w:r>
        <w:rPr>
          <w:color w:val="0b0b0b"/>
        </w:rPr>
        <w:t xml:space="preserve">ICC(2,1) agreement by dimension</w:t>
      </w:r>
    </w:p>
    <w:tbl>
      <w:tblPr>
        <w:tblW w:type="dxa" w:w="8400"/>
        <w:tblBorders>
          <w:top w:val="single" w:color="c3c2b7" w:sz="2"/>
          <w:left w:val="none"/>
          <w:bottom w:val="single" w:color="c3c2b7" w:sz="2"/>
          <w:right w:val="none"/>
          <w:insideH w:val="single" w:color="e1e0d9" w:sz="1"/>
          <w:insideV w:val="none"/>
        </w:tblBorders>
      </w:tblPr>
      <w:tblGrid>
        <w:gridCol w:w="260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6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Judge / baseline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Sporty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Luxurious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Modern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Rugged</w:t>
            </w:r>
          </w:p>
        </w:tc>
        <w:tc>
          <w:tcPr>
            <w:tcW w:type="dxa" w:w="116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Preference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Population mean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0.00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0.00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0.00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0.00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No-context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0.382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0.345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0.289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0.509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0.178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Per-car mean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0.514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0.513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0.424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0.533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0.382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a78d6"/>
                <w:sz w:val="19"/>
                <w:szCs w:val="19"/>
              </w:rPr>
              <w:t xml:space="preserve">b_persona (recommended)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0.641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0.620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0.585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0.728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a78d6"/>
                <w:sz w:val="19"/>
                <w:szCs w:val="19"/>
              </w:rPr>
              <w:t xml:space="preserve">0.567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g_card_twostage (variant)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0.633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0.618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0.577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0.725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b6834"/>
                <w:sz w:val="19"/>
                <w:szCs w:val="19"/>
              </w:rPr>
              <w:t xml:space="preserve">0.575</w:t>
            </w:r>
          </w:p>
        </w:tc>
      </w:tr>
    </w:tbl>
    <w:p>
      <w:pPr>
        <w:spacing w:after="160" w:before="80"/>
      </w:pPr>
      <w:r>
        <w:rPr>
          <w:i/>
          <w:iCs/>
          <w:color w:val="52514e"/>
          <w:sz w:val="17"/>
          <w:szCs w:val="17"/>
        </w:rPr>
        <w:t xml:space="preserve">Table 3. Seed-averaged ICC(2,1) per dimension (higher is better). The constant baseline is 0 by construction.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Two patterns stand out. First, </w:t>
      </w:r>
      <w:r>
        <w:rPr>
          <w:b/>
          <w:bCs/>
          <w:color w:val="0b0b0b"/>
          <w:sz w:val="22"/>
          <w:szCs w:val="22"/>
        </w:rPr>
        <w:t xml:space="preserve">rugged</w:t>
      </w:r>
      <w:r>
        <w:rPr>
          <w:color w:val="0b0b0b"/>
          <w:sz w:val="22"/>
          <w:szCs w:val="22"/>
        </w:rPr>
        <w:t xml:space="preserve"> is where the exemplar judges do best in both error (MAE 0.70) and agreement (ICC 0.73) — consistent with rugged carrying a strong, legible personal signal that 12 examples capture cleanly. Second, </w:t>
      </w:r>
      <w:r>
        <w:rPr>
          <w:b/>
          <w:bCs/>
          <w:color w:val="0b0b0b"/>
          <w:sz w:val="22"/>
          <w:szCs w:val="22"/>
        </w:rPr>
        <w:t xml:space="preserve">preference</w:t>
      </w:r>
      <w:r>
        <w:rPr>
          <w:color w:val="0b0b0b"/>
          <w:sz w:val="22"/>
          <w:szCs w:val="22"/>
        </w:rPr>
        <w:t xml:space="preserve"> is uniformly the hardest holistic dimension, and it is the only place the two-stage recipe moves the needle (see below).</w:t>
      </w:r>
    </w:p>
    <w:p>
      <w:pPr>
        <w:pStyle w:val="Heading2"/>
        <w:spacing w:after="120" w:before="260"/>
      </w:pPr>
      <w:r>
        <w:rPr>
          <w:color w:val="0b0b0b"/>
        </w:rPr>
        <w:t xml:space="preserve">Full metric suite, one figure per dimension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Each panel shows all five systems on one dimension: error metrics on the left (lower is better), agreement/ranking metrics on the right (higher is better). The constant baseline’s ranking bars are marked “n/a”.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3. </w:t>
      </w:r>
      <w:r>
        <w:rPr>
          <w:i/>
          <w:iCs/>
          <w:color w:val="52514e"/>
          <w:sz w:val="17"/>
          <w:szCs w:val="17"/>
        </w:rPr>
        <w:t xml:space="preserve">Sporty: MAE/RMSE and ICC/ρ/within-rater ρ across all judges and baselines.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4. </w:t>
      </w:r>
      <w:r>
        <w:rPr>
          <w:i/>
          <w:iCs/>
          <w:color w:val="52514e"/>
          <w:sz w:val="17"/>
          <w:szCs w:val="17"/>
        </w:rPr>
        <w:t xml:space="preserve">Luxurious: MAE/RMSE and ICC/ρ/within-rater ρ across all judges and baselines.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5. </w:t>
      </w:r>
      <w:r>
        <w:rPr>
          <w:i/>
          <w:iCs/>
          <w:color w:val="52514e"/>
          <w:sz w:val="17"/>
          <w:szCs w:val="17"/>
        </w:rPr>
        <w:t xml:space="preserve">Modern: MAE/RMSE and ICC/ρ/within-rater ρ across all judges and baselines.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6. </w:t>
      </w:r>
      <w:r>
        <w:rPr>
          <w:i/>
          <w:iCs/>
          <w:color w:val="52514e"/>
          <w:sz w:val="17"/>
          <w:szCs w:val="17"/>
        </w:rPr>
        <w:t xml:space="preserve">Rugged: MAE/RMSE and ICC/ρ/within-rater ρ across all judges and baselines.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7. </w:t>
      </w:r>
      <w:r>
        <w:rPr>
          <w:i/>
          <w:iCs/>
          <w:color w:val="52514e"/>
          <w:sz w:val="17"/>
          <w:szCs w:val="17"/>
        </w:rPr>
        <w:t xml:space="preserve">Preference: MAE/RMSE and ICC/ρ/within-rater ρ across all judges and baselines.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b0b0b"/>
        </w:rPr>
        <w:t xml:space="preserve">Statistical comparisons</w:t>
      </w:r>
    </w:p>
    <w:tbl>
      <w:tblPr>
        <w:tblW w:type="dxa" w:w="9000"/>
        <w:tblBorders>
          <w:top w:val="single" w:color="c3c2b7" w:sz="2"/>
          <w:left w:val="none"/>
          <w:bottom w:val="single" w:color="c3c2b7" w:sz="2"/>
          <w:right w:val="none"/>
          <w:insideH w:val="single" w:color="e1e0d9" w:sz="1"/>
          <w:insideV w:val="none"/>
        </w:tblBorders>
      </w:tblPr>
      <w:tblGrid>
        <w:gridCol w:w="3200"/>
        <w:gridCol w:w="1100"/>
        <w:gridCol w:w="2100"/>
        <w:gridCol w:w="1200"/>
        <w:gridCol w:w="1400"/>
      </w:tblGrid>
      <w:tr>
        <w:trPr>
          <w:tblHeader/>
        </w:trPr>
        <w:tc>
          <w:tcPr>
            <w:tcW w:type="dxa" w:w="32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Comparison (A − B)</w:t>
            </w:r>
          </w:p>
        </w:tc>
        <w:tc>
          <w:tcPr>
            <w:tcW w:type="dxa" w:w="11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ΔMAE</w:t>
            </w:r>
          </w:p>
        </w:tc>
        <w:tc>
          <w:tcPr>
            <w:tcW w:type="dxa" w:w="21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95% CI (cluster boot.)</w:t>
            </w:r>
          </w:p>
        </w:tc>
        <w:tc>
          <w:tcPr>
            <w:tcW w:type="dxa" w:w="12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Wilcoxon p</w:t>
            </w:r>
          </w:p>
        </w:tc>
        <w:tc>
          <w:tcPr>
            <w:tcW w:type="dxa" w:w="14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No-context − Population mean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−0.094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[−0.112, −0.077]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5e-92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LLM beats constant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Per-car mean − Population mean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−0.255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[−0.266, −0.244]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&lt;1e-300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consensus ≫ constant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b_persona − Population mean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−0.404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[−0.426, −0.382]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&lt;1e-300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huge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g_card_twostage − Population mean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−0.409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[−0.431, −0.389]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&lt;1e-300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huge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b_persona − No-context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−0.309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[−0.330, −0.290]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&lt;1e-300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value of context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b_persona − Per-car mean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−0.149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[−0.169, −0.130]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&lt;1e-300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personalization gain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g_card_twostage − b_persona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−0.0055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[−0.010, −0.001]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3.2e-3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real, tiny, MAE-only</w:t>
            </w:r>
          </w:p>
        </w:tc>
      </w:tr>
    </w:tbl>
    <w:p>
      <w:pPr>
        <w:spacing w:after="160" w:before="80"/>
      </w:pPr>
      <w:r>
        <w:rPr>
          <w:i/>
          <w:iCs/>
          <w:color w:val="52514e"/>
          <w:sz w:val="17"/>
          <w:szCs w:val="17"/>
        </w:rPr>
        <w:t xml:space="preserve">Table 4. Paired ΔMAE (A − B, negative means A is better), 95% cluster-bootstrap CI (clustered by rater), and paired Wilcoxon p (larger of the two seeds). Every comparison excludes zero.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8. </w:t>
      </w:r>
      <w:r>
        <w:rPr>
          <w:i/>
          <w:iCs/>
          <w:color w:val="52514e"/>
          <w:sz w:val="17"/>
          <w:szCs w:val="17"/>
        </w:rPr>
        <w:t xml:space="preserve">The same comparisons as a forest plot. The value of context (b_persona − no-context, −0.31) dwarfs the finalist gain (g_card_twostage − b_persona, −0.0055) by roughly 56×.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All differences are statistically significant, but effect sizes span two orders of magnitude. The finalist improvement of g_card_twostage over b_persona is real and replicated — the cluster-bootstrap CI excludes zero on both seeds and the effect is 3× the measured run-to-run noise floor — yet it is about 1.8% of the value the exemplars themselves provide.</w:t>
      </w:r>
    </w:p>
    <w:p>
      <w:pPr>
        <w:pStyle w:val="Heading2"/>
        <w:spacing w:after="120" w:before="260"/>
      </w:pPr>
      <w:r>
        <w:rPr>
          <w:color w:val="0b0b0b"/>
        </w:rPr>
        <w:t xml:space="preserve">Where the two-stage recipe helps: preference only</w:t>
      </w:r>
    </w:p>
    <w:tbl>
      <w:tblPr>
        <w:tblW w:type="dxa" w:w="9200"/>
        <w:tblBorders>
          <w:top w:val="single" w:color="c3c2b7" w:sz="2"/>
          <w:left w:val="none"/>
          <w:bottom w:val="single" w:color="c3c2b7" w:sz="2"/>
          <w:right w:val="none"/>
          <w:insideH w:val="single" w:color="e1e0d9" w:sz="1"/>
          <w:insideV w:val="none"/>
        </w:tblBorders>
      </w:tblPr>
      <w:tblGrid>
        <w:gridCol w:w="1900"/>
        <w:gridCol w:w="3000"/>
        <w:gridCol w:w="2600"/>
        <w:gridCol w:w="1700"/>
      </w:tblGrid>
      <w:tr>
        <w:trPr>
          <w:tblHeader/>
        </w:trPr>
        <w:tc>
          <w:tcPr>
            <w:tcW w:type="dxa" w:w="19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Dimension</w:t>
            </w:r>
          </w:p>
        </w:tc>
        <w:tc>
          <w:tcPr>
            <w:tcW w:type="dxa" w:w="30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ΔMAE (variant − b_persona)</w:t>
            </w:r>
          </w:p>
        </w:tc>
        <w:tc>
          <w:tcPr>
            <w:tcW w:type="dxa" w:w="26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Wilcoxon p (seed 0, 1)</w:t>
            </w:r>
          </w:p>
        </w:tc>
        <w:tc>
          <w:tcPr>
            <w:tcW w:type="dxa" w:w="1700"/>
            <w:shd w:fill="f0ef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CI excludes 0?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Sporty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−0.0019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0.393, 0.050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Luxurious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−0.0048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0.346, 0.138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Modern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−0.0014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0.864, 0.327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Rugged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−0.0017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0.150, 0.742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b0b0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Preference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−0.0174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0.000, 0.015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b6834"/>
                <w:sz w:val="19"/>
                <w:szCs w:val="19"/>
              </w:rPr>
              <w:t xml:space="preserve">yes ✓</w:t>
            </w:r>
          </w:p>
        </w:tc>
      </w:tr>
    </w:tbl>
    <w:p>
      <w:pPr>
        <w:spacing w:after="160" w:before="80"/>
      </w:pPr>
      <w:r>
        <w:rPr>
          <w:i/>
          <w:iCs/>
          <w:color w:val="52514e"/>
          <w:sz w:val="17"/>
          <w:szCs w:val="17"/>
        </w:rPr>
        <w:t xml:space="preserve">Table 5. g_card_twostage vs. b_persona, per dimension. Only preference is significant; the other four dimensions are indistinguishable from the incumbent.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7"/>
          <w:szCs w:val="17"/>
        </w:rPr>
        <w:t xml:space="preserve">Figure 9. </w:t>
      </w:r>
      <w:r>
        <w:rPr>
          <w:i/>
          <w:iCs/>
          <w:color w:val="52514e"/>
          <w:sz w:val="17"/>
          <w:szCs w:val="17"/>
        </w:rPr>
        <w:t xml:space="preserve">Per-dimension ΔMAE for the finalist vs. incumbent. The gain lives entirely in preference (−0.017); the other four straddle zero.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This is the crux of the verdict. The two-stage recipe improves the </w:t>
      </w:r>
      <w:r>
        <w:rPr>
          <w:i/>
          <w:iCs/>
          <w:color w:val="0b0b0b"/>
          <w:sz w:val="22"/>
          <w:szCs w:val="22"/>
        </w:rPr>
        <w:t xml:space="preserve">level</w:t>
      </w:r>
      <w:r>
        <w:rPr>
          <w:color w:val="0b0b0b"/>
          <w:sz w:val="22"/>
          <w:szCs w:val="22"/>
        </w:rPr>
        <w:t xml:space="preserve"> of predictions on the hardest holistic dimension (population anchoring pulls preference predictions toward better-calibrated values), but it does not track any person’s </w:t>
      </w:r>
      <w:r>
        <w:rPr>
          <w:i/>
          <w:iCs/>
          <w:color w:val="0b0b0b"/>
          <w:sz w:val="22"/>
          <w:szCs w:val="22"/>
        </w:rPr>
        <w:t xml:space="preserve">ordering</w:t>
      </w:r>
      <w:r>
        <w:rPr>
          <w:color w:val="0b0b0b"/>
          <w:sz w:val="22"/>
          <w:szCs w:val="22"/>
        </w:rPr>
        <w:t xml:space="preserve"> of cars better than b_persona already does. Its overall ICC and ρ are fractionally </w:t>
      </w:r>
      <w:r>
        <w:rPr>
          <w:i/>
          <w:iCs/>
          <w:color w:val="0b0b0b"/>
          <w:sz w:val="22"/>
          <w:szCs w:val="22"/>
        </w:rPr>
        <w:t xml:space="preserve">lower</w:t>
      </w:r>
      <w:r>
        <w:rPr>
          <w:color w:val="0b0b0b"/>
          <w:sz w:val="22"/>
          <w:szCs w:val="22"/>
        </w:rPr>
        <w:t xml:space="preserve">, not higher — the signature of a calibration effect rather than sharper personalization.</w:t>
      </w:r>
    </w:p>
    <w:p>
      <w:pPr>
        <w:pStyle w:val="Heading1"/>
        <w:spacing w:after="120" w:before="260"/>
      </w:pPr>
      <w:r>
        <w:rPr>
          <w:color w:val="0b0b0b"/>
        </w:rPr>
        <w:t xml:space="preserve">The population-mean baseline in context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The requested constant baseline answers a specific question: how much of each judge’s accuracy is just knowing the average rating? The answer is “less than you might fear, and none of the ranking.” </w:t>
      </w:r>
      <w:r>
        <w:rPr>
          <w:color w:val="0b0b0b"/>
          <w:sz w:val="22"/>
          <w:szCs w:val="22"/>
        </w:rPr>
        <w:t xml:space="preserve">On MAE the constant scores 1.256 — actually worse than the 0-shot LLM, because guessing 3.5 for every car pays a large penalty on the extremes. More importantly, a constant has </w:t>
      </w:r>
      <w:r>
        <w:rPr>
          <w:b/>
          <w:bCs/>
          <w:color w:val="0b0b0b"/>
          <w:sz w:val="22"/>
          <w:szCs w:val="22"/>
        </w:rPr>
        <w:t xml:space="preserve">zero</w:t>
      </w:r>
      <w:r>
        <w:rPr>
          <w:color w:val="0b0b0b"/>
          <w:sz w:val="22"/>
          <w:szCs w:val="22"/>
        </w:rPr>
        <w:t xml:space="preserve"> rank information: within any dimension its ICC is 0 and Spearman ρ is undefined. </w:t>
      </w:r>
      <w:r>
        <w:rPr>
          <w:color w:val="0b0b0b"/>
          <w:sz w:val="22"/>
          <w:szCs w:val="22"/>
        </w:rPr>
        <w:t xml:space="preserve">So the ICC gap from 0 (constant) to 0.665 (b_persona) is a clean measure of how much genuine car-to-car and person-to-person discrimination the judge adds over knowing nothing but the mean. The median would shave a little off the constant’s MAE, but not its total absence of ranking ability.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The per-car consensus baseline is the more demanding reference: at MAE 1.001 / ICC 0.539 it already captures the large shared component of taste, and it even edges b_persona on average </w:t>
      </w:r>
      <w:r>
        <w:rPr>
          <w:i/>
          <w:iCs/>
          <w:color w:val="0b0b0b"/>
          <w:sz w:val="22"/>
          <w:szCs w:val="22"/>
        </w:rPr>
        <w:t xml:space="preserve">within-rater</w:t>
      </w:r>
      <w:r>
        <w:rPr>
          <w:color w:val="0b0b0b"/>
          <w:sz w:val="22"/>
          <w:szCs w:val="22"/>
        </w:rPr>
        <w:t xml:space="preserve"> ρ (0.621 vs 0.593) because most of a person’s car-to-car ordering is shared. b_persona’s advantage over consensus (ΔMAE −0.149, ICC +0.126) is precisely the personalization headroom — the part of the signal that is specific to the individual.</w:t>
      </w:r>
    </w:p>
    <w:p>
      <w:pPr>
        <w:pStyle w:val="Heading1"/>
        <w:spacing w:after="120" w:before="260"/>
      </w:pPr>
      <w:r>
        <w:rPr>
          <w:color w:val="0b0b0b"/>
        </w:rPr>
        <w:t xml:space="preserve">Reliability and the noise floor</w:t>
      </w:r>
    </w:p>
    <w:p>
      <w:pPr>
        <w:spacing w:after="140" w:line="276"/>
      </w:pPr>
      <w:r>
        <w:rPr>
          <w:color w:val="0b0b0b"/>
          <w:sz w:val="22"/>
          <w:szCs w:val="22"/>
        </w:rPr>
        <w:t xml:space="preserve">An identical re-run of b_persona (same config, same split, seed 0) reproduced MAE to within 0.00003 (0.853140 vs 0.853110), even though ~15% of individual cell predictions flip between runs due to server-side nondeterminism at temperature 0. </w:t>
      </w:r>
      <w:r>
        <w:rPr>
          <w:color w:val="0b0b0b"/>
          <w:sz w:val="22"/>
          <w:szCs w:val="22"/>
        </w:rPr>
        <w:t xml:space="preserve">Aggregate metrics are therefore rock-stable at N = 672 while individual predictions are noisy — which is exactly why the finalist effect had to be confirmed at the full pool: the 150-rater search had estimated it at −0.014, three times larger, a textbook winner’s-curse shrinkage once the full sample was in.</w:t>
      </w:r>
    </w:p>
    <w:p>
      <w:pPr>
        <w:pStyle w:val="Heading1"/>
        <w:spacing w:after="120" w:before="260"/>
      </w:pPr>
      <w:r>
        <w:rPr>
          <w:color w:val="0b0b0b"/>
        </w:rPr>
        <w:t xml:space="preserve">Verdict and recommendation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  <w:color w:val="0b0b0b"/>
          <w:sz w:val="22"/>
          <w:szCs w:val="22"/>
        </w:rPr>
        <w:t xml:space="preserve">Ship b_persona. </w:t>
      </w:r>
      <w:r>
        <w:rPr>
          <w:color w:val="0b0b0b"/>
          <w:sz w:val="22"/>
          <w:szCs w:val="22"/>
        </w:rPr>
        <w:t xml:space="preserve">It is the only design that satisfies the pre-registered win rule (lower error and higher agreement). Overall MAE 0.852, ICC 0.665, ρ 0.664.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  <w:color w:val="0b0b0b"/>
          <w:sz w:val="22"/>
          <w:szCs w:val="22"/>
        </w:rPr>
        <w:t xml:space="preserve">Keep g_card_twostage as a documented MAE-only variant. </w:t>
      </w:r>
      <w:r>
        <w:rPr>
          <w:color w:val="0b0b0b"/>
          <w:sz w:val="22"/>
          <w:szCs w:val="22"/>
        </w:rPr>
        <w:t xml:space="preserve">Its −0.0055 MAE edge is real and replicated but is calibration, not personalization: ICC/ρ tick down and the gain is confined to preference. Prefer it only where absolute error on preference is the sole objective and per-person ranking does not matter.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  <w:color w:val="0b0b0b"/>
          <w:sz w:val="22"/>
          <w:szCs w:val="22"/>
        </w:rPr>
        <w:t xml:space="preserve">Lead with the taste-card null. </w:t>
      </w:r>
      <w:r>
        <w:rPr>
          <w:color w:val="0b0b0b"/>
          <w:sz w:val="22"/>
          <w:szCs w:val="22"/>
        </w:rPr>
        <w:t xml:space="preserve">Interpreting demographics into structured priors adds nothing measurable over the raw exemplars — 12 rated examples already encode the person’s leniency, spread, and tilt. This is a clean, defensible negative result.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  <w:color w:val="0b0b0b"/>
          <w:sz w:val="22"/>
          <w:szCs w:val="22"/>
        </w:rPr>
        <w:t xml:space="preserve">Spend the next runs on ranking, not calibration. </w:t>
      </w:r>
      <w:r>
        <w:rPr>
          <w:color w:val="0b0b0b"/>
          <w:sz w:val="22"/>
          <w:szCs w:val="22"/>
        </w:rPr>
        <w:t xml:space="preserve">Every method plateaus at ICC ≈ 0.66 / within-rater ρ ≈ 0.59; nothing tested moved person-specific ranking. The most promising untried lever is guide-conditioned context selection — using the taste card to choose which exemplars to show (e.g. spanning the rugged/preference axes) — because it attacks ranking, the one axis that has not moved since exemplars were introduced.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333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47a841912ad265acad4ce6818b1606e6e6d77b.png"/><Relationship Id="rId8" Type="http://schemas.openxmlformats.org/officeDocument/2006/relationships/image" Target="media/0b6cc319b23a4d5b52a9351ef80f0a7eb3ad7708.png"/><Relationship Id="rId9" Type="http://schemas.openxmlformats.org/officeDocument/2006/relationships/image" Target="media/2a67474bb4b90f4d830f8b1b44bb5659c8254339.png"/><Relationship Id="rId10" Type="http://schemas.openxmlformats.org/officeDocument/2006/relationships/image" Target="media/5b5f2193f85b77455e281f073b321877fbf1e983.png"/><Relationship Id="rId11" Type="http://schemas.openxmlformats.org/officeDocument/2006/relationships/image" Target="media/3732e44d6406bb17ae01133bcab18d360a4e7476.png"/><Relationship Id="rId12" Type="http://schemas.openxmlformats.org/officeDocument/2006/relationships/image" Target="media/91a1c8eaf0e0736fa09aeb57edf6dd73cb7769ba.png"/><Relationship Id="rId13" Type="http://schemas.openxmlformats.org/officeDocument/2006/relationships/image" Target="media/8cd7ec0dec9d4605db7949a8ba0194869ff9d139.png"/><Relationship Id="rId14" Type="http://schemas.openxmlformats.org/officeDocument/2006/relationships/image" Target="media/646f0e52afcf9b0a675badf30a386f6f2367253b.png"/><Relationship Id="rId15" Type="http://schemas.openxmlformats.org/officeDocument/2006/relationships/image" Target="media/66dd647bd0e9b42fd4a261d607551b6f9b2f6cd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2026-07-27T00:05:13.250Z</dcterms:created>
  <dcterms:modified xsi:type="dcterms:W3CDTF">2026-07-27T00:05:13.252Z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