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i w:val="1"/>
        </w:rPr>
      </w:pPr>
      <w:r w:rsidDel="00000000" w:rsidR="00000000" w:rsidRPr="00000000">
        <w:rPr>
          <w:b w:val="1"/>
          <w:rtl w:val="0"/>
        </w:rPr>
        <w:t xml:space="preserve">Title</w:t>
      </w:r>
      <w:r w:rsidDel="00000000" w:rsidR="00000000" w:rsidRPr="00000000">
        <w:rPr>
          <w:rtl w:val="0"/>
        </w:rPr>
        <w:t xml:space="preserve">: The search for ‘wholeness’ in reparative narratives: cryptographic ‘haunting’ in</w:t>
      </w:r>
      <w:r w:rsidDel="00000000" w:rsidR="00000000" w:rsidRPr="00000000">
        <w:rPr>
          <w:i w:val="1"/>
          <w:rtl w:val="0"/>
        </w:rPr>
        <w:t xml:space="preserve"> The Woman Warrior</w:t>
      </w:r>
      <w:r w:rsidDel="00000000" w:rsidR="00000000" w:rsidRPr="00000000">
        <w:rPr>
          <w:rtl w:val="0"/>
        </w:rPr>
        <w:t xml:space="preserve"> &amp; </w:t>
      </w:r>
      <w:r w:rsidDel="00000000" w:rsidR="00000000" w:rsidRPr="00000000">
        <w:rPr>
          <w:i w:val="1"/>
          <w:rtl w:val="0"/>
        </w:rPr>
        <w:t xml:space="preserve">Devotion</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the ways in which both Maxine Kingston’s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 (1976)</w:t>
      </w:r>
      <w:r w:rsidDel="00000000" w:rsidR="00000000" w:rsidRPr="00000000">
        <w:rPr>
          <w:rFonts w:ascii="Times New Roman" w:cs="Times New Roman" w:eastAsia="Times New Roman" w:hAnsi="Times New Roman"/>
          <w:sz w:val="24"/>
          <w:szCs w:val="24"/>
          <w:rtl w:val="0"/>
        </w:rPr>
        <w:t xml:space="preserve">, and Red Candle Game’s </w:t>
      </w:r>
      <w:r w:rsidDel="00000000" w:rsidR="00000000" w:rsidRPr="00000000">
        <w:rPr>
          <w:rFonts w:ascii="Times New Roman" w:cs="Times New Roman" w:eastAsia="Times New Roman" w:hAnsi="Times New Roman"/>
          <w:i w:val="1"/>
          <w:sz w:val="24"/>
          <w:szCs w:val="24"/>
          <w:rtl w:val="0"/>
        </w:rPr>
        <w:t xml:space="preserve">Devotion</w:t>
      </w:r>
      <w:r w:rsidDel="00000000" w:rsidR="00000000" w:rsidRPr="00000000">
        <w:rPr>
          <w:rFonts w:ascii="Times New Roman" w:cs="Times New Roman" w:eastAsia="Times New Roman" w:hAnsi="Times New Roman"/>
          <w:sz w:val="24"/>
          <w:szCs w:val="24"/>
          <w:rtl w:val="0"/>
        </w:rPr>
        <w:t xml:space="preserve"> (2019)</w:t>
      </w:r>
      <w:r w:rsidDel="00000000" w:rsidR="00000000" w:rsidRPr="00000000">
        <w:rPr>
          <w:rFonts w:ascii="Times New Roman" w:cs="Times New Roman" w:eastAsia="Times New Roman" w:hAnsi="Times New Roman"/>
          <w:sz w:val="24"/>
          <w:szCs w:val="24"/>
          <w:rtl w:val="0"/>
        </w:rPr>
        <w:t xml:space="preserve">, use memory as the occasion for each protagonist’s pursuit of ‘wholeness’ and the formation of the cryptographic narrative. Specifically, I aim to explore different definitions of ‘wholeness’ as well as how the untranslated remnants (e.g., scenes of ‘haunting’) from each protagonist’s dominant narrative creates a parallel narrative known as the cryptographic narrative.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Kingston in her memoir,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 sorts through non-chronological myths, memories, and talk-stories from her mother, who emigrated from China, and her own childhood growing up in San Francisco, America. Stories of a distant China are interwoven within the seams of Maxine’s own memories as she struggles to define an female identity that lies between her Chinese ancestry and the Western contemporary present. On the other hand, </w:t>
      </w:r>
      <w:r w:rsidDel="00000000" w:rsidR="00000000" w:rsidRPr="00000000">
        <w:rPr>
          <w:rFonts w:ascii="Times New Roman" w:cs="Times New Roman" w:eastAsia="Times New Roman" w:hAnsi="Times New Roman"/>
          <w:i w:val="1"/>
          <w:sz w:val="24"/>
          <w:szCs w:val="24"/>
          <w:rtl w:val="0"/>
        </w:rPr>
        <w:t xml:space="preserve">Devotion</w:t>
      </w:r>
      <w:r w:rsidDel="00000000" w:rsidR="00000000" w:rsidRPr="00000000">
        <w:rPr>
          <w:rFonts w:ascii="Times New Roman" w:cs="Times New Roman" w:eastAsia="Times New Roman" w:hAnsi="Times New Roman"/>
          <w:sz w:val="24"/>
          <w:szCs w:val="24"/>
          <w:rtl w:val="0"/>
        </w:rPr>
        <w:t xml:space="preserve">, developed by Red Candle Games, is a first-person psychological horror game set in post-martial law Taiwan centered around the tragedy that befalls the fictitious Du Family. The game traverses through various stages of an 1980s Taipei apartment complex, inviting players to piece together relics of the family’s history amidst traditional Taiwanese folklore and superstitions. </w:t>
      </w: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the scholarly analysis of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symbolic ‘ghosts’ focus on the significance of using the supernatural to redefine the feminine experience: from how the ghosts can provide an “authority” that directly challenges patriarchal structures (Jenkins 69) to how such evil spirits embody the “hidden, dangerous power of women” (Simmons 56). However I aim to understand how these scenes of ‘haunting’ are established as part of a cryptographic narrative that challenges the protagonists’ idea of ‘wholeness.’ </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examined different ways in which </w:t>
      </w:r>
      <w:r w:rsidDel="00000000" w:rsidR="00000000" w:rsidRPr="00000000">
        <w:rPr>
          <w:rFonts w:ascii="Times New Roman" w:cs="Times New Roman" w:eastAsia="Times New Roman" w:hAnsi="Times New Roman"/>
          <w:i w:val="1"/>
          <w:sz w:val="24"/>
          <w:szCs w:val="24"/>
          <w:rtl w:val="0"/>
        </w:rPr>
        <w:t xml:space="preserve">Devotion</w:t>
      </w:r>
      <w:r w:rsidDel="00000000" w:rsidR="00000000" w:rsidRPr="00000000">
        <w:rPr>
          <w:rFonts w:ascii="Times New Roman" w:cs="Times New Roman" w:eastAsia="Times New Roman" w:hAnsi="Times New Roman"/>
          <w:sz w:val="24"/>
          <w:szCs w:val="24"/>
          <w:rtl w:val="0"/>
        </w:rPr>
        <w:t xml:space="preserve"> (2019) and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 (1976) defined ‘wholeness,’ specifically in the cyclical reproduction of Chinese/Taiwanese tradition and one’s personal sense of self. By understanding the subtractive process of achieving subjective ‘wholeness,’ it is clear that remnants which do not fit within the dominant narrative dictated by each protagonist becomes part of a parallel, cryptographic narrative. I explore different scenes of ‘haunting’ within </w:t>
      </w:r>
      <w:r w:rsidDel="00000000" w:rsidR="00000000" w:rsidRPr="00000000">
        <w:rPr>
          <w:rFonts w:ascii="Times New Roman" w:cs="Times New Roman" w:eastAsia="Times New Roman" w:hAnsi="Times New Roman"/>
          <w:i w:val="1"/>
          <w:sz w:val="24"/>
          <w:szCs w:val="24"/>
          <w:rtl w:val="0"/>
        </w:rPr>
        <w:t xml:space="preserve">Devotion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 which include the ‘haunting’ of ‘ghosts,’ untranslated in-game notes, and undeciphered myths about ancient China. In the pursuit of ‘wholeness,’ </w:t>
      </w:r>
      <w:r w:rsidDel="00000000" w:rsidR="00000000" w:rsidRPr="00000000">
        <w:rPr>
          <w:rFonts w:ascii="Times New Roman" w:cs="Times New Roman" w:eastAsia="Times New Roman" w:hAnsi="Times New Roman"/>
          <w:i w:val="1"/>
          <w:sz w:val="24"/>
          <w:szCs w:val="24"/>
          <w:rtl w:val="0"/>
        </w:rPr>
        <w:t xml:space="preserve">Devotion</w:t>
      </w:r>
      <w:r w:rsidDel="00000000" w:rsidR="00000000" w:rsidRPr="00000000">
        <w:rPr>
          <w:rFonts w:ascii="Times New Roman" w:cs="Times New Roman" w:eastAsia="Times New Roman" w:hAnsi="Times New Roman"/>
          <w:sz w:val="24"/>
          <w:szCs w:val="24"/>
          <w:rtl w:val="0"/>
        </w:rPr>
        <w:t xml:space="preserve">’s Feng Yu risks rewriting others’ desires to fit his own and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’s Maxine attempts to forcefully insert herself into others’ narratives to discover her own self. Yet, these subtractive revisions to others’ narratives are revealed to fragment the larger narratives at play. </w:t>
      </w:r>
      <w:r w:rsidDel="00000000" w:rsidR="00000000" w:rsidRPr="00000000">
        <w:rPr>
          <w:rFonts w:ascii="Times New Roman" w:cs="Times New Roman" w:eastAsia="Times New Roman" w:hAnsi="Times New Roman"/>
          <w:i w:val="1"/>
          <w:sz w:val="24"/>
          <w:szCs w:val="24"/>
          <w:rtl w:val="0"/>
        </w:rPr>
        <w:t xml:space="preserve">Devotion</w:t>
      </w:r>
      <w:r w:rsidDel="00000000" w:rsidR="00000000" w:rsidRPr="00000000">
        <w:rPr>
          <w:rFonts w:ascii="Times New Roman" w:cs="Times New Roman" w:eastAsia="Times New Roman" w:hAnsi="Times New Roman"/>
          <w:sz w:val="24"/>
          <w:szCs w:val="24"/>
          <w:rtl w:val="0"/>
        </w:rPr>
        <w:t xml:space="preserve">’s disjointed ending separates the dominant and cryptographic narrative by providing a hidden post-credit ending that discredits the supposed ‘wholeness’ achieved in the pre-credit cutscene. Meanwhile, </w:t>
      </w:r>
      <w:r w:rsidDel="00000000" w:rsidR="00000000" w:rsidRPr="00000000">
        <w:rPr>
          <w:rFonts w:ascii="Times New Roman" w:cs="Times New Roman" w:eastAsia="Times New Roman" w:hAnsi="Times New Roman"/>
          <w:i w:val="1"/>
          <w:sz w:val="24"/>
          <w:szCs w:val="24"/>
          <w:rtl w:val="0"/>
        </w:rPr>
        <w:t xml:space="preserve">The Woman Warrior</w:t>
      </w:r>
      <w:r w:rsidDel="00000000" w:rsidR="00000000" w:rsidRPr="00000000">
        <w:rPr>
          <w:rFonts w:ascii="Times New Roman" w:cs="Times New Roman" w:eastAsia="Times New Roman" w:hAnsi="Times New Roman"/>
          <w:sz w:val="24"/>
          <w:szCs w:val="24"/>
          <w:rtl w:val="0"/>
        </w:rPr>
        <w:t xml:space="preserve"> reveals that narrative ‘wholeness’ is the closest to being achieved through the additive process of interweaving the ‘haunting’ remnants with one’s own experience. </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Kristen Song</w:t>
    </w:r>
  </w:p>
  <w:p w:rsidR="00000000" w:rsidDel="00000000" w:rsidP="00000000" w:rsidRDefault="00000000" w:rsidRPr="00000000" w14:paraId="0000000C">
    <w:pPr>
      <w:spacing w:after="200" w:lineRule="auto"/>
      <w:ind w:left="0" w:firstLine="0"/>
      <w:rPr/>
    </w:pPr>
    <w:r w:rsidDel="00000000" w:rsidR="00000000" w:rsidRPr="00000000">
      <w:rPr>
        <w:rFonts w:ascii="Times New Roman" w:cs="Times New Roman" w:eastAsia="Times New Roman" w:hAnsi="Times New Roman"/>
        <w:sz w:val="24"/>
        <w:szCs w:val="24"/>
        <w:rtl w:val="0"/>
      </w:rPr>
      <w:t xml:space="preserve">MMUF Conference Abstract v.2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