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8tdv8w8lzm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widowControl w:val="0"/>
        <w:spacing w:line="480" w:lineRule="auto"/>
        <w:rPr>
          <w:rFonts w:ascii="Times New Roman" w:cs="Times New Roman" w:eastAsia="Times New Roman" w:hAnsi="Times New Roman"/>
          <w:color w:val="1155cc"/>
          <w:sz w:val="24"/>
          <w:szCs w:val="24"/>
          <w:u w:val="single"/>
        </w:rPr>
      </w:pPr>
      <w:hyperlink w:anchor="_jvtfc57bm5cs">
        <w:r w:rsidDel="00000000" w:rsidR="00000000" w:rsidRPr="00000000">
          <w:rPr>
            <w:rFonts w:ascii="Times New Roman" w:cs="Times New Roman" w:eastAsia="Times New Roman" w:hAnsi="Times New Roman"/>
            <w:color w:val="1155cc"/>
            <w:sz w:val="24"/>
            <w:szCs w:val="24"/>
            <w:u w:val="single"/>
            <w:rtl w:val="0"/>
          </w:rPr>
          <w:t xml:space="preserve">Overview</w:t>
        </w:r>
      </w:hyperlink>
      <w:r w:rsidDel="00000000" w:rsidR="00000000" w:rsidRPr="00000000">
        <w:rPr>
          <w:rtl w:val="0"/>
        </w:rPr>
      </w:r>
    </w:p>
    <w:p w:rsidR="00000000" w:rsidDel="00000000" w:rsidP="00000000" w:rsidRDefault="00000000" w:rsidRPr="00000000" w14:paraId="00000003">
      <w:pPr>
        <w:widowControl w:val="0"/>
        <w:spacing w:line="480" w:lineRule="auto"/>
        <w:rPr>
          <w:rFonts w:ascii="Times New Roman" w:cs="Times New Roman" w:eastAsia="Times New Roman" w:hAnsi="Times New Roman"/>
          <w:color w:val="1155cc"/>
          <w:sz w:val="24"/>
          <w:szCs w:val="24"/>
          <w:u w:val="single"/>
        </w:rPr>
      </w:pPr>
      <w:hyperlink w:anchor="_jin8wsr60n6q">
        <w:r w:rsidDel="00000000" w:rsidR="00000000" w:rsidRPr="00000000">
          <w:rPr>
            <w:rFonts w:ascii="Times New Roman" w:cs="Times New Roman" w:eastAsia="Times New Roman" w:hAnsi="Times New Roman"/>
            <w:color w:val="1155cc"/>
            <w:sz w:val="24"/>
            <w:szCs w:val="24"/>
            <w:u w:val="single"/>
            <w:rtl w:val="0"/>
          </w:rPr>
          <w:t xml:space="preserve">NAD+ boosters (NMN, nicotinamide riboside)</w:t>
        </w:r>
      </w:hyperlink>
      <w:r w:rsidDel="00000000" w:rsidR="00000000" w:rsidRPr="00000000">
        <w:rPr>
          <w:rtl w:val="0"/>
        </w:rPr>
      </w:r>
    </w:p>
    <w:p w:rsidR="00000000" w:rsidDel="00000000" w:rsidP="00000000" w:rsidRDefault="00000000" w:rsidRPr="00000000" w14:paraId="00000004">
      <w:pPr>
        <w:pStyle w:val="Heading2"/>
        <w:keepNext w:val="0"/>
        <w:keepLines w:val="0"/>
        <w:spacing w:after="0" w:before="0" w:line="480" w:lineRule="auto"/>
        <w:rPr>
          <w:rFonts w:ascii="Times New Roman" w:cs="Times New Roman" w:eastAsia="Times New Roman" w:hAnsi="Times New Roman"/>
          <w:b w:val="1"/>
          <w:bCs w:val="1"/>
          <w:sz w:val="34"/>
          <w:szCs w:val="34"/>
        </w:rPr>
      </w:pPr>
      <w:bookmarkStart w:colFirst="0" w:colLast="0" w:name="_jvtfc57bm5cs" w:id="1"/>
      <w:bookmarkEnd w:id="1"/>
      <w:r w:rsidDel="00000000" w:rsidR="00000000" w:rsidRPr="00000000">
        <w:rPr>
          <w:rFonts w:ascii="Times New Roman" w:cs="Times New Roman" w:eastAsia="Times New Roman" w:hAnsi="Times New Roman"/>
          <w:b w:val="1"/>
          <w:bCs w:val="1"/>
          <w:sz w:val="34"/>
          <w:szCs w:val="34"/>
          <w:rtl w:val="0"/>
        </w:rPr>
        <w:t xml:space="preserve">Overview</w:t>
      </w:r>
    </w:p>
    <w:p w:rsidR="00000000" w:rsidDel="00000000" w:rsidP="00000000" w:rsidRDefault="00000000" w:rsidRPr="00000000" w14:paraId="00000005">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 Fixing the Gene or its Expression:</w:t>
      </w:r>
    </w:p>
    <w:p w:rsidR="00000000" w:rsidDel="00000000" w:rsidP="00000000" w:rsidRDefault="00000000" w:rsidRPr="00000000" w14:paraId="00000006">
      <w:pPr>
        <w:numPr>
          <w:ilvl w:val="0"/>
          <w:numId w:val="5"/>
        </w:numPr>
        <w:spacing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Nothing approved targets BUB1B.</w:t>
      </w:r>
      <w:r w:rsidDel="00000000" w:rsidR="00000000" w:rsidRPr="00000000">
        <w:rPr>
          <w:rFonts w:ascii="Times New Roman" w:cs="Times New Roman" w:eastAsia="Times New Roman" w:hAnsi="Times New Roman"/>
          <w:sz w:val="24"/>
          <w:szCs w:val="24"/>
          <w:rtl w:val="0"/>
        </w:rPr>
        <w:t xml:space="preserve"> Gene editing (e.g., Casgevy for sickle cell) and antisense oligonucleotides (e.g., nusinersen for SMA) show that these approaches work for other diseases, but a BUB1B-directed one would be a new, bespoke program.</w:t>
      </w:r>
    </w:p>
    <w:p w:rsidR="00000000" w:rsidDel="00000000" w:rsidP="00000000" w:rsidRDefault="00000000" w:rsidRPr="00000000" w14:paraId="00000007">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approach fits depends on your family’s exact variants: ASOs for splice-altering variants, base or prime editing for some missense variants, and gene replacement for null alleles.</w:t>
      </w:r>
    </w:p>
    <w:p w:rsidR="00000000" w:rsidDel="00000000" w:rsidP="00000000" w:rsidRDefault="00000000" w:rsidRPr="00000000" w14:paraId="00000008">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known drug reliably raises BUB1B transcription. The drugs that change its expression mostly lower it (see section 3).</w:t>
      </w:r>
    </w:p>
    <w:p w:rsidR="00000000" w:rsidDel="00000000" w:rsidP="00000000" w:rsidRDefault="00000000" w:rsidRPr="00000000" w14:paraId="00000009">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 Improving BUBR1 Stability or Function:</w:t>
      </w:r>
    </w:p>
    <w:p w:rsidR="00000000" w:rsidDel="00000000" w:rsidP="00000000" w:rsidRDefault="00000000" w:rsidRPr="00000000" w14:paraId="0000000A">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shd w:fill="ffd966" w:val="clear"/>
          <w:rtl w:val="0"/>
        </w:rPr>
        <w:t xml:space="preserve">NAD+ boosters (NMN, nicotinamide riboside)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f2cc" w:val="clear"/>
          <w:rtl w:val="0"/>
        </w:rPr>
        <w:t xml:space="preserve">This is the strongest lead</w:t>
      </w:r>
      <w:r w:rsidDel="00000000" w:rsidR="00000000" w:rsidRPr="00000000">
        <w:rPr>
          <w:rFonts w:ascii="Times New Roman" w:cs="Times New Roman" w:eastAsia="Times New Roman" w:hAnsi="Times New Roman"/>
          <w:sz w:val="24"/>
          <w:szCs w:val="24"/>
          <w:rtl w:val="0"/>
        </w:rPr>
        <w:t xml:space="preserve"> and the reason NMN is on your list. Published work links BubR1 acetylation, SIRT2 and NAD+ levels to BubR1 protein stability, and shows BubR1 declining with age in mice. NMN and NR are supplements, not approved drugs. The evidence is in mouse aging models, not MVA patients, and it is unproven whether it helps when the BUB1B mutation itself destabilizes the protein.</w:t>
      </w:r>
    </w:p>
    <w:p w:rsidR="00000000" w:rsidDel="00000000" w:rsidP="00000000" w:rsidRDefault="00000000" w:rsidRPr="00000000" w14:paraId="0000000B">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SIRT2 activators or acetyltransferase (PCAF/KAT2B) inhibitors:</w:t>
      </w:r>
      <w:r w:rsidDel="00000000" w:rsidR="00000000" w:rsidRPr="00000000">
        <w:rPr>
          <w:rFonts w:ascii="Times New Roman" w:cs="Times New Roman" w:eastAsia="Times New Roman" w:hAnsi="Times New Roman"/>
          <w:sz w:val="24"/>
          <w:szCs w:val="24"/>
          <w:rtl w:val="0"/>
        </w:rPr>
        <w:t xml:space="preserve"> These are the mechanistic extension of the same idea. They are research compounds, not medications.</w:t>
      </w:r>
    </w:p>
    <w:p w:rsidR="00000000" w:rsidDel="00000000" w:rsidP="00000000" w:rsidRDefault="00000000" w:rsidRPr="00000000" w14:paraId="0000000C">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Proteasome inhibitors (bortezomib, carfilzomib):</w:t>
      </w:r>
      <w:r w:rsidDel="00000000" w:rsidR="00000000" w:rsidRPr="00000000">
        <w:rPr>
          <w:rFonts w:ascii="Times New Roman" w:cs="Times New Roman" w:eastAsia="Times New Roman" w:hAnsi="Times New Roman"/>
          <w:sz w:val="24"/>
          <w:szCs w:val="24"/>
          <w:rtl w:val="0"/>
        </w:rPr>
        <w:t xml:space="preserve"> These would raise BubR1 levels in a dish by blocking its degradation, but they are toxic chemotherapy and broadly disrupt cell cycle proteins. They are useful as an experimental tool to confirm that your mutation causes proteasomal degradation, not as a treatment.</w:t>
      </w:r>
    </w:p>
    <w:p w:rsidR="00000000" w:rsidDel="00000000" w:rsidP="00000000" w:rsidRDefault="00000000" w:rsidRPr="00000000" w14:paraId="0000000D">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 Cell Cycle and Chromosome Segregation Drugs:</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real, approved or late-stage drugs, but nearly all are anticancer agents that work by disrupting mitosis:</w:t>
      </w:r>
    </w:p>
    <w:p w:rsidR="00000000" w:rsidDel="00000000" w:rsidP="00000000" w:rsidRDefault="00000000" w:rsidRPr="00000000" w14:paraId="0000000F">
      <w:pPr>
        <w:numPr>
          <w:ilvl w:val="0"/>
          <w:numId w:val="4"/>
        </w:numPr>
        <w:spacing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CDK4/6 inhibitors (palbociclib, ribociclib, abemaciclib):</w:t>
      </w:r>
      <w:r w:rsidDel="00000000" w:rsidR="00000000" w:rsidRPr="00000000">
        <w:rPr>
          <w:rFonts w:ascii="Times New Roman" w:cs="Times New Roman" w:eastAsia="Times New Roman" w:hAnsi="Times New Roman"/>
          <w:sz w:val="24"/>
          <w:szCs w:val="24"/>
          <w:rtl w:val="0"/>
        </w:rPr>
        <w:t xml:space="preserve"> approved, and they cause G1 arrest. They also lower expression of E2F-driven mitotic genes, including BUB1B, which is the opposite of what you want, though they might be interesting as a way to slow division.</w:t>
      </w:r>
    </w:p>
    <w:p w:rsidR="00000000" w:rsidDel="00000000" w:rsidP="00000000" w:rsidRDefault="00000000" w:rsidRPr="00000000" w14:paraId="00000010">
      <w:pPr>
        <w:numPr>
          <w:ilvl w:val="0"/>
          <w:numId w:val="4"/>
        </w:numPr>
        <w:spacing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Aurora kinase, PLK1 and MPS1/TTK inhibitors</w:t>
      </w:r>
      <w:r w:rsidDel="00000000" w:rsidR="00000000" w:rsidRPr="00000000">
        <w:rPr>
          <w:rFonts w:ascii="Times New Roman" w:cs="Times New Roman" w:eastAsia="Times New Roman" w:hAnsi="Times New Roman"/>
          <w:sz w:val="24"/>
          <w:szCs w:val="24"/>
          <w:rtl w:val="0"/>
        </w:rPr>
        <w:t xml:space="preserve"> (e.g., alisertib, volasertib, </w:t>
      </w:r>
      <w:r w:rsidDel="00000000" w:rsidR="00000000" w:rsidRPr="00000000">
        <w:rPr>
          <w:rFonts w:ascii="Times New Roman" w:cs="Times New Roman" w:eastAsia="Times New Roman" w:hAnsi="Times New Roman"/>
          <w:sz w:val="24"/>
          <w:szCs w:val="24"/>
          <w:rtl w:val="0"/>
        </w:rPr>
        <w:t xml:space="preserve">onvansertib</w:t>
      </w:r>
      <w:r w:rsidDel="00000000" w:rsidR="00000000" w:rsidRPr="00000000">
        <w:rPr>
          <w:rFonts w:ascii="Times New Roman" w:cs="Times New Roman" w:eastAsia="Times New Roman" w:hAnsi="Times New Roman"/>
          <w:sz w:val="24"/>
          <w:szCs w:val="24"/>
          <w:rtl w:val="0"/>
        </w:rPr>
        <w:t xml:space="preserve">, and TTK inhibitors): all investigational. They disrupt the spindle checkpoint or mitosis and would likely worsen aneuploidy in cells that already have a weak checkpoint.</w:t>
      </w:r>
    </w:p>
    <w:p w:rsidR="00000000" w:rsidDel="00000000" w:rsidP="00000000" w:rsidRDefault="00000000" w:rsidRPr="00000000" w14:paraId="00000011">
      <w:pPr>
        <w:numPr>
          <w:ilvl w:val="0"/>
          <w:numId w:val="4"/>
        </w:numPr>
        <w:spacing w:line="480" w:lineRule="auto"/>
        <w:ind w:left="720" w:hanging="360"/>
        <w:rPr>
          <w:strike w:val="1"/>
          <w:sz w:val="24"/>
          <w:szCs w:val="24"/>
        </w:rPr>
      </w:pPr>
      <w:r w:rsidDel="00000000" w:rsidR="00000000" w:rsidRPr="00000000">
        <w:rPr>
          <w:rFonts w:ascii="Times New Roman" w:cs="Times New Roman" w:eastAsia="Times New Roman" w:hAnsi="Times New Roman"/>
          <w:b w:val="1"/>
          <w:bCs w:val="1"/>
          <w:strike w:val="1"/>
          <w:sz w:val="24"/>
          <w:szCs w:val="24"/>
          <w:rtl w:val="0"/>
        </w:rPr>
        <w:t xml:space="preserve">Taxanes and vinca alkaloids:</w:t>
      </w:r>
      <w:r w:rsidDel="00000000" w:rsidR="00000000" w:rsidRPr="00000000">
        <w:rPr>
          <w:rFonts w:ascii="Times New Roman" w:cs="Times New Roman" w:eastAsia="Times New Roman" w:hAnsi="Times New Roman"/>
          <w:strike w:val="1"/>
          <w:sz w:val="24"/>
          <w:szCs w:val="24"/>
          <w:rtl w:val="0"/>
        </w:rPr>
        <w:t xml:space="preserve"> approved, but they poison the spindle and are not appropriate here.</w:t>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MVA patients also have a high cancer predisposition (Wilms tumor, rhabdomyosarcoma, leukemia), so mitosis-perturbing drugs carry real risk for them.</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to verify:</w:t>
      </w:r>
    </w:p>
    <w:p w:rsidR="00000000" w:rsidDel="00000000" w:rsidP="00000000" w:rsidRDefault="00000000" w:rsidRPr="00000000" w14:paraId="00000014">
      <w:pPr>
        <w:numPr>
          <w:ilvl w:val="0"/>
          <w:numId w:val="3"/>
        </w:numPr>
        <w:spacing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DGIdb or ChEMBL</w:t>
      </w:r>
      <w:r w:rsidDel="00000000" w:rsidR="00000000" w:rsidRPr="00000000">
        <w:rPr>
          <w:rFonts w:ascii="Times New Roman" w:cs="Times New Roman" w:eastAsia="Times New Roman" w:hAnsi="Times New Roman"/>
          <w:sz w:val="24"/>
          <w:szCs w:val="24"/>
          <w:rtl w:val="0"/>
        </w:rPr>
        <w:t xml:space="preserve">: search BUB1B, then BUB1, TTK, PLK1, and AURKA/B for annotated compounds.</w:t>
      </w:r>
    </w:p>
    <w:p w:rsidR="00000000" w:rsidDel="00000000" w:rsidP="00000000" w:rsidRDefault="00000000" w:rsidRPr="00000000" w14:paraId="00000015">
      <w:pPr>
        <w:numPr>
          <w:ilvl w:val="0"/>
          <w:numId w:val="3"/>
        </w:numPr>
        <w:spacing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ClinicalTrials.gov</w:t>
      </w:r>
      <w:r w:rsidDel="00000000" w:rsidR="00000000" w:rsidRPr="00000000">
        <w:rPr>
          <w:rFonts w:ascii="Times New Roman" w:cs="Times New Roman" w:eastAsia="Times New Roman" w:hAnsi="Times New Roman"/>
          <w:sz w:val="24"/>
          <w:szCs w:val="24"/>
          <w:rtl w:val="0"/>
        </w:rPr>
        <w:t xml:space="preserve">: search “BUB1B”, “mosaic variegated aneuploidy”, and “BubR1” for any trials.</w:t>
      </w:r>
    </w:p>
    <w:p w:rsidR="00000000" w:rsidDel="00000000" w:rsidP="00000000" w:rsidRDefault="00000000" w:rsidRPr="00000000" w14:paraId="00000016">
      <w:pPr>
        <w:numPr>
          <w:ilvl w:val="0"/>
          <w:numId w:val="3"/>
        </w:numPr>
        <w:spacing w:line="4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PubMed</w:t>
      </w:r>
      <w:r w:rsidDel="00000000" w:rsidR="00000000" w:rsidRPr="00000000">
        <w:rPr>
          <w:rFonts w:ascii="Times New Roman" w:cs="Times New Roman" w:eastAsia="Times New Roman" w:hAnsi="Times New Roman"/>
          <w:sz w:val="24"/>
          <w:szCs w:val="24"/>
          <w:rtl w:val="0"/>
        </w:rPr>
        <w:t xml:space="preserve">: search “BubR1 NAD+ SIRT2 acetylation” and “BubR1 hypomorphic mice NMN” for the primary evidence behind the supplement lead.</w:t>
      </w:r>
    </w:p>
    <w:p w:rsidR="00000000" w:rsidDel="00000000" w:rsidP="00000000" w:rsidRDefault="00000000" w:rsidRPr="00000000" w14:paraId="00000017">
      <w:pPr>
        <w:pStyle w:val="Heading2"/>
        <w:spacing w:after="0" w:before="0" w:line="480" w:lineRule="auto"/>
        <w:rPr>
          <w:rFonts w:ascii="Times New Roman" w:cs="Times New Roman" w:eastAsia="Times New Roman" w:hAnsi="Times New Roman"/>
          <w:sz w:val="34"/>
          <w:szCs w:val="34"/>
        </w:rPr>
      </w:pPr>
      <w:bookmarkStart w:colFirst="0" w:colLast="0" w:name="_jin8wsr60n6q" w:id="2"/>
      <w:bookmarkEnd w:id="2"/>
      <w:r w:rsidDel="00000000" w:rsidR="00000000" w:rsidRPr="00000000">
        <w:rPr>
          <w:rFonts w:ascii="Times New Roman" w:cs="Times New Roman" w:eastAsia="Times New Roman" w:hAnsi="Times New Roman"/>
          <w:sz w:val="34"/>
          <w:szCs w:val="34"/>
          <w:rtl w:val="0"/>
        </w:rPr>
        <w:t xml:space="preserve">NAD+ boosters (NMN, nicotinamide riboside)</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NAD+ is a coenzyme that cells use for energy metabolism and as fuel for the sirtuin family of deacetylases. NAD+ levels fall with age, and NMN (nicotinamide mononucleotide) and NR (nicotinamide riboside) are precursors taken as supplements to raise them. The rationale for BUB1B/BUBR1 is that BubR1 stability appears to be regulated by acetylation: published work links SIRT2 (an NAD+-dependent deacetylase) and the acetyltransferase PCAF to BubR1 turnover, and shows BubR1 levels declining with age in mice. In mouse models, raising NAD+ has been reported to preserve BubR1 levels and improve some aging-related features, which is why NMN is on your test list.</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Caveats:</w:t>
      </w:r>
      <w:r w:rsidDel="00000000" w:rsidR="00000000" w:rsidRPr="00000000">
        <w:rPr>
          <w:rFonts w:ascii="Times New Roman" w:cs="Times New Roman" w:eastAsia="Times New Roman" w:hAnsi="Times New Roman"/>
          <w:sz w:val="24"/>
          <w:szCs w:val="24"/>
          <w:rtl w:val="0"/>
        </w:rPr>
        <w:t xml:space="preserve"> the evidence comes mainly from mouse aging models, not MVA patients. It is unproven whether NAD+ restoration can help when a BUB1B mutation itself destabilizes the protein. NMN and NR are supplements, not approved drugs, and long-term human safety data are limited. The iPSC and worm experiments are a good way to test directly whether they change BUBR1 half-life or aneuploidy rates in your family’s cells. Please run any supplement past your clinicians first, since MVA carries elevated cancer risk and NAD+ metabolism can matter in tumor biology.</w:t>
      </w:r>
    </w:p>
    <w:p w:rsidR="00000000" w:rsidDel="00000000" w:rsidP="00000000" w:rsidRDefault="00000000" w:rsidRPr="00000000" w14:paraId="0000001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research (PubMed, Google Scholar, Europe PMC)</w:t>
      </w:r>
    </w:p>
    <w:p w:rsidR="00000000" w:rsidDel="00000000" w:rsidP="00000000" w:rsidRDefault="00000000" w:rsidRPr="00000000" w14:paraId="0000001B">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BubR1 link, search “BubR1 SIRT2 acetylation”, “BubR1 PCAF acetylation APC/C”, and “BubR1 NAD+ aging”. The Jan van Deursen lab (Mayo Clinic) produced much of the foundational BubR1 hypomorph work, and the SIRT2-BubR1 paper from North and colleagues (EMBO J, 2014) is a good one to start with. Check the exact citations yourself.</w:t>
      </w:r>
    </w:p>
    <w:p w:rsidR="00000000" w:rsidDel="00000000" w:rsidP="00000000" w:rsidRDefault="00000000" w:rsidRPr="00000000" w14:paraId="0000001C">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NAD+ biology and human data, search “NMN clinical trial” and “nicotinamide riboside randomized trial”. Review articles by Charles Brenner on NAD+ precursors are good overviews. Human trials have generally shown that these compounds raise blood NAD+ levels, but clinical benefits have been modest or inconsistent so far.</w:t>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5nv1n91y6kfc"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pPr>
    <w:rPr>
      <w:rFonts w:ascii="Calibri" w:cs="Calibri" w:eastAsia="Calibri" w:hAnsi="Calibri"/>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