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D7CF6">
      <w:pPr>
        <w:widowControl/>
        <w:jc w:val="center"/>
        <w:rPr>
          <w:rFonts w:ascii="华文中宋" w:hAnsi="华文中宋" w:eastAsia="华文中宋"/>
          <w:sz w:val="36"/>
          <w:szCs w:val="44"/>
        </w:rPr>
      </w:pPr>
      <w:r>
        <w:rPr>
          <w:rFonts w:hint="eastAsia" w:ascii="华文中宋" w:hAnsi="华文中宋" w:eastAsia="华文中宋"/>
          <w:sz w:val="36"/>
          <w:szCs w:val="44"/>
        </w:rPr>
        <w:t>首都医科大学学位</w:t>
      </w:r>
      <w:r>
        <w:rPr>
          <w:rFonts w:ascii="华文中宋" w:hAnsi="华文中宋" w:eastAsia="华文中宋"/>
          <w:sz w:val="36"/>
          <w:szCs w:val="44"/>
        </w:rPr>
        <w:t>论文</w:t>
      </w:r>
      <w:r>
        <w:rPr>
          <w:rFonts w:hint="eastAsia" w:ascii="华文中宋" w:hAnsi="华文中宋" w:eastAsia="华文中宋"/>
          <w:sz w:val="36"/>
          <w:szCs w:val="44"/>
        </w:rPr>
        <w:t>开题报告</w:t>
      </w:r>
    </w:p>
    <w:tbl>
      <w:tblPr>
        <w:tblStyle w:val="8"/>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555"/>
        <w:gridCol w:w="1265"/>
        <w:gridCol w:w="3983"/>
      </w:tblGrid>
      <w:tr w14:paraId="411B18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top w:val="single" w:color="auto" w:sz="12" w:space="0"/>
              <w:left w:val="single" w:color="auto" w:sz="12" w:space="0"/>
            </w:tcBorders>
            <w:vAlign w:val="center"/>
          </w:tcPr>
          <w:p w14:paraId="103304CA">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学生姓名</w:t>
            </w:r>
          </w:p>
        </w:tc>
        <w:tc>
          <w:tcPr>
            <w:tcW w:w="1555" w:type="dxa"/>
            <w:tcBorders>
              <w:top w:val="single" w:color="auto" w:sz="12" w:space="0"/>
            </w:tcBorders>
            <w:vAlign w:val="center"/>
          </w:tcPr>
          <w:p w14:paraId="17255A9A">
            <w:pPr>
              <w:spacing w:line="276" w:lineRule="auto"/>
              <w:jc w:val="center"/>
              <w:rPr>
                <w:rFonts w:ascii="仿宋" w:hAnsi="仿宋" w:eastAsia="仿宋"/>
                <w:color w:val="000000"/>
                <w:sz w:val="24"/>
                <w:szCs w:val="24"/>
              </w:rPr>
            </w:pPr>
          </w:p>
        </w:tc>
        <w:tc>
          <w:tcPr>
            <w:tcW w:w="1265" w:type="dxa"/>
            <w:tcBorders>
              <w:top w:val="single" w:color="auto" w:sz="12" w:space="0"/>
            </w:tcBorders>
            <w:vAlign w:val="center"/>
          </w:tcPr>
          <w:p w14:paraId="5A18F5E2">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学号</w:t>
            </w:r>
          </w:p>
        </w:tc>
        <w:tc>
          <w:tcPr>
            <w:tcW w:w="3983" w:type="dxa"/>
            <w:tcBorders>
              <w:top w:val="single" w:color="auto" w:sz="12" w:space="0"/>
              <w:bottom w:val="single" w:color="auto" w:sz="4" w:space="0"/>
              <w:right w:val="single" w:color="auto" w:sz="12" w:space="0"/>
            </w:tcBorders>
            <w:vAlign w:val="center"/>
          </w:tcPr>
          <w:p w14:paraId="5940925E">
            <w:pPr>
              <w:tabs>
                <w:tab w:val="left" w:pos="860"/>
                <w:tab w:val="left" w:pos="4714"/>
                <w:tab w:val="left" w:pos="8850"/>
              </w:tabs>
              <w:spacing w:line="276" w:lineRule="auto"/>
              <w:jc w:val="center"/>
              <w:rPr>
                <w:rFonts w:ascii="仿宋" w:hAnsi="仿宋" w:eastAsia="仿宋"/>
                <w:sz w:val="24"/>
                <w:szCs w:val="24"/>
              </w:rPr>
            </w:pPr>
          </w:p>
        </w:tc>
      </w:tr>
      <w:tr w14:paraId="604280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left w:val="single" w:color="auto" w:sz="12" w:space="0"/>
            </w:tcBorders>
            <w:vAlign w:val="center"/>
          </w:tcPr>
          <w:p w14:paraId="0135F6DA">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学科专业</w:t>
            </w:r>
          </w:p>
        </w:tc>
        <w:tc>
          <w:tcPr>
            <w:tcW w:w="1555" w:type="dxa"/>
            <w:vAlign w:val="center"/>
          </w:tcPr>
          <w:p w14:paraId="79E95E82">
            <w:pPr>
              <w:spacing w:line="276" w:lineRule="auto"/>
              <w:jc w:val="center"/>
              <w:rPr>
                <w:rFonts w:ascii="仿宋" w:hAnsi="仿宋" w:eastAsia="仿宋"/>
                <w:color w:val="000000"/>
                <w:sz w:val="24"/>
                <w:szCs w:val="24"/>
              </w:rPr>
            </w:pPr>
            <w:r>
              <w:rPr>
                <w:rFonts w:hint="eastAsia" w:ascii="Times New Roman" w:hAnsi="Times New Roman" w:eastAsia="Songti SC"/>
                <w:lang w:eastAsia="zh-Hans"/>
              </w:rPr>
              <w:t>内科学（</w:t>
            </w:r>
            <w:r>
              <w:rPr>
                <w:rFonts w:hint="eastAsia" w:ascii="Times New Roman" w:hAnsi="Times New Roman" w:eastAsia="Songti SC"/>
              </w:rPr>
              <w:t>心血管病</w:t>
            </w:r>
            <w:r>
              <w:rPr>
                <w:rFonts w:hint="eastAsia" w:ascii="Times New Roman" w:hAnsi="Times New Roman" w:eastAsia="Songti SC"/>
                <w:lang w:eastAsia="zh-Hans"/>
              </w:rPr>
              <w:t>）</w:t>
            </w:r>
          </w:p>
        </w:tc>
        <w:tc>
          <w:tcPr>
            <w:tcW w:w="1265" w:type="dxa"/>
            <w:vAlign w:val="center"/>
          </w:tcPr>
          <w:p w14:paraId="223D55BC">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学位类型</w:t>
            </w:r>
          </w:p>
        </w:tc>
        <w:tc>
          <w:tcPr>
            <w:tcW w:w="3983" w:type="dxa"/>
            <w:tcBorders>
              <w:top w:val="single" w:color="auto" w:sz="4" w:space="0"/>
              <w:right w:val="single" w:color="auto" w:sz="12" w:space="0"/>
            </w:tcBorders>
            <w:vAlign w:val="center"/>
          </w:tcPr>
          <w:p w14:paraId="305DCB47">
            <w:pPr>
              <w:tabs>
                <w:tab w:val="left" w:pos="860"/>
                <w:tab w:val="left" w:pos="4714"/>
                <w:tab w:val="left" w:pos="8850"/>
              </w:tabs>
              <w:jc w:val="left"/>
              <w:rPr>
                <w:rFonts w:ascii="仿宋" w:hAnsi="仿宋" w:eastAsia="仿宋"/>
                <w:sz w:val="24"/>
                <w:szCs w:val="24"/>
              </w:rPr>
            </w:pPr>
            <w:r>
              <w:rPr>
                <w:rFonts w:hint="eastAsia" w:ascii="仿宋" w:hAnsi="仿宋" w:eastAsia="仿宋"/>
                <w:sz w:val="24"/>
                <w:szCs w:val="24"/>
                <w:lang w:eastAsia="zh-CN"/>
              </w:rPr>
              <w:t>☑</w:t>
            </w:r>
            <w:r>
              <w:rPr>
                <w:rFonts w:ascii="仿宋" w:hAnsi="仿宋" w:eastAsia="仿宋" w:cs="宋体"/>
                <w:sz w:val="24"/>
                <w:szCs w:val="24"/>
                <w:lang w:val="zh-TW" w:eastAsia="zh-TW"/>
              </w:rPr>
              <w:t>博士</w:t>
            </w:r>
            <w:r>
              <w:rPr>
                <w:rFonts w:ascii="仿宋" w:hAnsi="仿宋" w:eastAsia="仿宋"/>
                <w:sz w:val="24"/>
                <w:szCs w:val="24"/>
              </w:rPr>
              <w:t xml:space="preserve"> □</w:t>
            </w:r>
            <w:r>
              <w:rPr>
                <w:rFonts w:ascii="仿宋" w:hAnsi="仿宋" w:eastAsia="仿宋" w:cs="宋体"/>
                <w:sz w:val="24"/>
                <w:szCs w:val="24"/>
                <w:lang w:val="zh-TW" w:eastAsia="zh-TW"/>
              </w:rPr>
              <w:t>硕士</w:t>
            </w:r>
            <w:r>
              <w:rPr>
                <w:rFonts w:hint="eastAsia" w:ascii="仿宋" w:hAnsi="仿宋" w:eastAsia="仿宋" w:cs="宋体"/>
                <w:sz w:val="24"/>
                <w:szCs w:val="24"/>
                <w:lang w:val="zh-TW"/>
              </w:rPr>
              <w:t xml:space="preserve"> </w:t>
            </w:r>
            <w:r>
              <w:rPr>
                <w:rFonts w:ascii="仿宋" w:hAnsi="仿宋" w:eastAsia="仿宋"/>
                <w:sz w:val="24"/>
                <w:szCs w:val="24"/>
              </w:rPr>
              <w:t>□</w:t>
            </w:r>
            <w:r>
              <w:rPr>
                <w:rFonts w:ascii="仿宋" w:hAnsi="仿宋" w:eastAsia="仿宋" w:cs="宋体"/>
                <w:sz w:val="24"/>
                <w:szCs w:val="24"/>
                <w:lang w:val="zh-TW" w:eastAsia="zh-TW"/>
              </w:rPr>
              <w:t>专业型</w:t>
            </w:r>
            <w:r>
              <w:rPr>
                <w:rFonts w:ascii="仿宋" w:hAnsi="仿宋" w:eastAsia="仿宋"/>
                <w:sz w:val="24"/>
                <w:szCs w:val="24"/>
              </w:rPr>
              <w:t xml:space="preserve"> □</w:t>
            </w:r>
            <w:r>
              <w:rPr>
                <w:rFonts w:ascii="仿宋" w:hAnsi="仿宋" w:eastAsia="仿宋" w:cs="宋体"/>
                <w:sz w:val="24"/>
                <w:szCs w:val="24"/>
                <w:lang w:val="zh-TW" w:eastAsia="zh-TW"/>
              </w:rPr>
              <w:t>学术型</w:t>
            </w:r>
          </w:p>
        </w:tc>
      </w:tr>
      <w:tr w14:paraId="431C14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left w:val="single" w:color="auto" w:sz="12" w:space="0"/>
              <w:bottom w:val="single" w:color="auto" w:sz="4" w:space="0"/>
            </w:tcBorders>
            <w:vAlign w:val="center"/>
          </w:tcPr>
          <w:p w14:paraId="0D808D46">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导师姓名</w:t>
            </w:r>
          </w:p>
        </w:tc>
        <w:tc>
          <w:tcPr>
            <w:tcW w:w="1555" w:type="dxa"/>
            <w:tcBorders>
              <w:bottom w:val="single" w:color="auto" w:sz="4" w:space="0"/>
            </w:tcBorders>
            <w:vAlign w:val="center"/>
          </w:tcPr>
          <w:p w14:paraId="73768990">
            <w:pPr>
              <w:spacing w:line="276" w:lineRule="auto"/>
              <w:jc w:val="center"/>
              <w:rPr>
                <w:rFonts w:ascii="仿宋" w:hAnsi="仿宋" w:eastAsia="仿宋"/>
                <w:color w:val="000000"/>
                <w:sz w:val="24"/>
                <w:szCs w:val="24"/>
              </w:rPr>
            </w:pPr>
          </w:p>
        </w:tc>
        <w:tc>
          <w:tcPr>
            <w:tcW w:w="1265" w:type="dxa"/>
            <w:tcBorders>
              <w:bottom w:val="single" w:color="auto" w:sz="4" w:space="0"/>
            </w:tcBorders>
            <w:vAlign w:val="center"/>
          </w:tcPr>
          <w:p w14:paraId="179D71E2">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培养单位</w:t>
            </w:r>
          </w:p>
        </w:tc>
        <w:tc>
          <w:tcPr>
            <w:tcW w:w="3983" w:type="dxa"/>
            <w:tcBorders>
              <w:bottom w:val="single" w:color="auto" w:sz="4" w:space="0"/>
              <w:right w:val="single" w:color="auto" w:sz="12" w:space="0"/>
            </w:tcBorders>
            <w:vAlign w:val="center"/>
          </w:tcPr>
          <w:p w14:paraId="6CE3F1A3">
            <w:pPr>
              <w:tabs>
                <w:tab w:val="left" w:pos="860"/>
                <w:tab w:val="left" w:pos="4714"/>
                <w:tab w:val="left" w:pos="8850"/>
              </w:tabs>
              <w:spacing w:line="276" w:lineRule="auto"/>
              <w:jc w:val="center"/>
              <w:rPr>
                <w:rFonts w:hint="default" w:ascii="仿宋" w:hAnsi="仿宋" w:eastAsia="仿宋"/>
                <w:sz w:val="24"/>
                <w:szCs w:val="24"/>
                <w:lang w:val="en-US" w:eastAsia="zh-CN"/>
              </w:rPr>
            </w:pPr>
            <w:r>
              <w:rPr>
                <w:rFonts w:hint="eastAsia" w:ascii="仿宋" w:hAnsi="仿宋" w:eastAsia="仿宋"/>
                <w:sz w:val="24"/>
                <w:szCs w:val="24"/>
                <w:lang w:val="en-US" w:eastAsia="zh-CN"/>
              </w:rPr>
              <w:t>首都医科大学附属北京友谊医院</w:t>
            </w:r>
          </w:p>
        </w:tc>
      </w:tr>
      <w:tr w14:paraId="03F57F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top w:val="single" w:color="auto" w:sz="4" w:space="0"/>
              <w:left w:val="single" w:color="auto" w:sz="12" w:space="0"/>
              <w:bottom w:val="single" w:color="auto" w:sz="12" w:space="0"/>
            </w:tcBorders>
            <w:vAlign w:val="center"/>
          </w:tcPr>
          <w:p w14:paraId="76F58AC2">
            <w:pPr>
              <w:spacing w:line="276" w:lineRule="auto"/>
              <w:jc w:val="center"/>
              <w:rPr>
                <w:rFonts w:ascii="仿宋" w:hAnsi="仿宋" w:eastAsia="仿宋"/>
                <w:color w:val="000000"/>
                <w:sz w:val="24"/>
                <w:szCs w:val="24"/>
              </w:rPr>
            </w:pPr>
            <w:r>
              <w:rPr>
                <w:rFonts w:hint="eastAsia" w:ascii="仿宋" w:hAnsi="仿宋" w:eastAsia="仿宋"/>
                <w:sz w:val="24"/>
                <w:szCs w:val="28"/>
              </w:rPr>
              <w:t>课题</w:t>
            </w:r>
            <w:r>
              <w:rPr>
                <w:rFonts w:ascii="仿宋" w:hAnsi="仿宋" w:eastAsia="仿宋"/>
                <w:sz w:val="24"/>
                <w:szCs w:val="28"/>
              </w:rPr>
              <w:t>名称</w:t>
            </w:r>
          </w:p>
        </w:tc>
        <w:tc>
          <w:tcPr>
            <w:tcW w:w="6803" w:type="dxa"/>
            <w:gridSpan w:val="3"/>
            <w:tcBorders>
              <w:top w:val="single" w:color="auto" w:sz="4" w:space="0"/>
              <w:bottom w:val="single" w:color="auto" w:sz="12" w:space="0"/>
              <w:right w:val="single" w:color="auto" w:sz="12" w:space="0"/>
            </w:tcBorders>
            <w:vAlign w:val="center"/>
          </w:tcPr>
          <w:p w14:paraId="6EA637ED">
            <w:pPr>
              <w:adjustRightInd w:val="0"/>
              <w:snapToGrid w:val="0"/>
              <w:spacing w:line="360" w:lineRule="auto"/>
              <w:rPr>
                <w:rFonts w:ascii="仿宋" w:hAnsi="仿宋" w:eastAsia="仿宋"/>
                <w:sz w:val="24"/>
                <w:szCs w:val="28"/>
              </w:rPr>
            </w:pPr>
            <w:r>
              <w:rPr>
                <w:rFonts w:hint="eastAsia" w:ascii="仿宋" w:hAnsi="仿宋" w:eastAsia="仿宋"/>
                <w:sz w:val="24"/>
                <w:szCs w:val="28"/>
              </w:rPr>
              <w:t>中文题目</w:t>
            </w:r>
            <w:r>
              <w:rPr>
                <w:rFonts w:ascii="仿宋" w:hAnsi="仿宋" w:eastAsia="仿宋"/>
                <w:sz w:val="24"/>
                <w:szCs w:val="28"/>
              </w:rPr>
              <w:t>：</w:t>
            </w:r>
            <w:r>
              <w:rPr>
                <w:rFonts w:ascii="宋体" w:hAnsi="宋体" w:eastAsia="宋体" w:cs="宋体"/>
                <w:sz w:val="24"/>
                <w:szCs w:val="24"/>
              </w:rPr>
              <w:t>造影衍生功能学指标对 OCT 指导 PCI 术后患者预后的预测价值研究</w:t>
            </w:r>
          </w:p>
          <w:p w14:paraId="03D0C7F5">
            <w:pPr>
              <w:tabs>
                <w:tab w:val="left" w:pos="860"/>
                <w:tab w:val="left" w:pos="4714"/>
                <w:tab w:val="left" w:pos="8850"/>
              </w:tabs>
              <w:spacing w:line="276" w:lineRule="auto"/>
              <w:rPr>
                <w:rFonts w:ascii="仿宋" w:hAnsi="仿宋" w:eastAsia="仿宋"/>
                <w:sz w:val="24"/>
                <w:szCs w:val="24"/>
              </w:rPr>
            </w:pPr>
            <w:r>
              <w:rPr>
                <w:rFonts w:hint="eastAsia" w:ascii="仿宋" w:hAnsi="仿宋" w:eastAsia="仿宋"/>
                <w:sz w:val="24"/>
                <w:szCs w:val="28"/>
              </w:rPr>
              <w:t>英文题目</w:t>
            </w:r>
            <w:r>
              <w:rPr>
                <w:rFonts w:ascii="仿宋" w:hAnsi="仿宋" w:eastAsia="仿宋"/>
                <w:sz w:val="24"/>
                <w:szCs w:val="28"/>
              </w:rPr>
              <w:t>：Prognostic Value of Angiography-Derived Physiological Indices in Patients After Optical Coherence Tomography–Guided Percutaneous Coronary Intervention</w:t>
            </w:r>
          </w:p>
        </w:tc>
      </w:tr>
      <w:tr w14:paraId="5A1D3D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8504" w:type="dxa"/>
            <w:gridSpan w:val="4"/>
            <w:tcBorders>
              <w:top w:val="single" w:color="auto" w:sz="12" w:space="0"/>
              <w:left w:val="single" w:color="auto" w:sz="12" w:space="0"/>
              <w:bottom w:val="single" w:color="auto" w:sz="4" w:space="0"/>
              <w:right w:val="single" w:color="auto" w:sz="12" w:space="0"/>
            </w:tcBorders>
            <w:vAlign w:val="center"/>
          </w:tcPr>
          <w:p w14:paraId="1C504402">
            <w:pPr>
              <w:pStyle w:val="Heading1"/>
              <w:rPr>
                <w:lang w:val="en-US" w:eastAsia="zh-CN"/>
              </w:rPr>
            </w:pPr>
            <w:r>
              <w:t>一、课题中英文摘要</w:t>
            </w:r>
          </w:p>
          <w:p w14:paraId="7E850018">
            <w:pPr>
              <w:pStyle w:val="6"/>
              <w:keepNext w:val="0"/>
              <w:keepLines w:val="0"/>
              <w:widowControl/>
              <w:suppressLineNumbers w:val="0"/>
              <w:jc w:val="center"/>
              <w:rPr>
                <w:rFonts w:hint="eastAsia" w:eastAsia="宋体"/>
                <w:b/>
                <w:bCs/>
                <w:lang w:eastAsia="zh-CN"/>
              </w:rPr>
            </w:pPr>
            <w:r>
              <w:rPr>
                <w:rFonts w:hint="eastAsia"/>
                <w:b/>
                <w:bCs/>
                <w:lang w:val="en-US" w:eastAsia="zh-CN"/>
              </w:rPr>
              <w:t>摘要</w:t>
            </w:r>
          </w:p>
          <w:p w14:paraId="37F9E3BD">
            <w:pPr>
              <w:pStyle w:val="2"/>
              <w:keepNext w:val="0"/>
              <w:keepLines w:val="0"/>
              <w:widowControl/>
              <w:suppressLineNumbers w:val="0"/>
            </w:pPr>
            <w:r>
              <w:rPr>
                <w:b/>
                <w:bCs/>
              </w:rPr>
              <w:t>背景</w:t>
            </w:r>
            <w:r>
              <w:rPr>
                <w:rFonts w:hint="eastAsia"/>
                <w:b/>
                <w:bCs/>
                <w:lang w:val="en-US" w:eastAsia="zh-CN"/>
              </w:rPr>
              <w:t xml:space="preserve"> </w:t>
            </w:r>
            <w:r>
              <w:t>光学相干断层成像（OCT）指导经皮冠状动脉介入治疗（PCI）可优化支架段及边缘的局部解剖结果，但术后残余风险并未完全消除。心外膜压力损失与微循环阻力升高是 OCT 解剖评估难以直接覆盖的两类残余功能学异常，可分别由造影衍生血流储备分数（Angio-FFR）与造影衍生微循环阻力指数（Angio-IMR）量化。现有术后功能学预后研究多来自未限定 OCT 指导的人群，且多侧重单一功能学指标，尚缺乏在临床危险因素与 OCT 解剖信息基础上同时评价二者预后价值的证据。</w:t>
            </w:r>
          </w:p>
          <w:p w14:paraId="046D5A6B">
            <w:pPr>
              <w:pStyle w:val="2"/>
              <w:keepNext w:val="0"/>
              <w:keepLines w:val="0"/>
              <w:widowControl/>
              <w:suppressLineNumbers w:val="0"/>
            </w:pPr>
            <w:r>
              <w:rPr>
                <w:b/>
                <w:bCs/>
              </w:rPr>
              <w:t>目的</w:t>
            </w:r>
            <w:r>
              <w:t>　评价 OCT 指导 PCI 术后 Angio-FFR、Angio-IMR 与 2 年改良患者导向复合终点（mPOCE）的独立关联及增量预测价值，并探索 OCT 优化状态对其预后关联的修饰作用。</w:t>
            </w:r>
          </w:p>
          <w:p w14:paraId="505A42C8">
            <w:pPr>
              <w:pStyle w:val="2"/>
              <w:keepNext w:val="0"/>
              <w:keepLines w:val="0"/>
              <w:widowControl/>
              <w:suppressLineNumbers w:val="0"/>
            </w:pPr>
            <w:r>
              <w:rPr>
                <w:b/>
                <w:bCs/>
              </w:rPr>
              <w:t>方法</w:t>
            </w:r>
            <w:r>
              <w:t>　本研究为单中心双向性观察性队列研究，拟连续筛选接受 OCT 指导 PCI 的冠心病患者，目标可分析样本量约 1100 例。主要暴露为指数 PCI 术后终末造影离线计算的 Angio-FFR 与 Angio-IMR。主要结局为 2 年 mPOCE，包括全因死亡、靶血管相关心肌梗死、缺血驱动靶血管血运重建、不稳定型心绞痛住院及因心力衰竭住院。采用 Cox 比例风险模型评价两项功能学指标与 mPOCE 的独立关联，并通过比较临床危险因素及 OCT 解剖信息构建的基础模型与加入功能学指标后的扩展模型，评价 Angio-FFR、Angio-IMR 的增量预测价值。OCT 优化状态对功能学指标预后关联的修饰作用作为探索性分析。</w:t>
            </w:r>
          </w:p>
          <w:p w14:paraId="7A66BBBE">
            <w:pPr>
              <w:pStyle w:val="2"/>
              <w:keepNext w:val="0"/>
              <w:keepLines w:val="0"/>
              <w:widowControl/>
              <w:suppressLineNumbers w:val="0"/>
            </w:pPr>
            <w:r>
              <w:rPr>
                <w:b/>
                <w:bCs/>
              </w:rPr>
              <w:t>意义</w:t>
            </w:r>
            <w:r>
              <w:t>　本研究有助于明确 OCT 指导 PCI 术后解剖学优化与残余功能学风险之间的关系，并评价 Angio-FFR 与 Angio-IMR 在临床及 OCT 解剖信息之外的风险分层价值，为识别解剖学达标后仍处于较高残余风险的患者提供依据。</w:t>
            </w:r>
          </w:p>
          <w:p w14:paraId="54968F5D">
            <w:pPr>
              <w:pStyle w:val="6"/>
              <w:keepNext w:val="0"/>
              <w:keepLines w:val="0"/>
              <w:widowControl/>
              <w:suppressLineNumbers w:val="0"/>
              <w:spacing w:before="0" w:beforeAutospacing="1" w:after="0" w:afterAutospacing="1"/>
              <w:ind w:left="0" w:right="0"/>
              <w:jc w:val="center"/>
              <w:rPr>
                <w:rStyle w:val="10"/>
                <w:rFonts w:hint="eastAsia"/>
                <w:lang w:val="en-US" w:eastAsia="zh-CN"/>
              </w:rPr>
            </w:pPr>
            <w:r>
              <w:rPr>
                <w:rStyle w:val="10"/>
                <w:rFonts w:hint="eastAsia"/>
                <w:lang w:val="en-US" w:eastAsia="zh-CN"/>
              </w:rPr>
              <w:t>Abstract</w:t>
            </w:r>
          </w:p>
          <w:p w14:paraId="4FDC51E1">
            <w:pPr>
              <w:pStyle w:val="2"/>
              <w:keepNext w:val="0"/>
              <w:keepLines w:val="0"/>
              <w:widowControl/>
              <w:suppressLineNumbers w:val="0"/>
            </w:pPr>
            <w:r>
              <w:rPr>
                <w:rStyle w:val="10"/>
              </w:rPr>
              <w:t>Background</w:t>
            </w:r>
            <w:r>
              <w:t>　Optical coherence tomography (OCT)–guided percutaneous coronary intervention (PCI) optimizes local anatomical results at the stent segment and its edges, yet post-procedural residual risk is not fully eliminated. Epicardial pressure loss and elevated microcirculatory resistance represent two categories of residual functional abnormalities beyond the direct reach of OCT anatomical assessment, quantifiable by angiography-derived fractional flow reserve (Angio-FFR) and angiography-derived index of microcirculatory resistance (Angio-IMR), respectively. Existing post-procedural physiological prognostic studies have been conducted predominantly in populations not restricted to OCT-guided PCI and have largely focused on a single physiological index; evidence simultaneously evaluating the prognostic value of both indices beyond clinical risk factors and OCT anatomical information remains lacking.</w:t>
            </w:r>
          </w:p>
          <w:p w14:paraId="30923254">
            <w:pPr>
              <w:pStyle w:val="2"/>
              <w:keepNext w:val="0"/>
              <w:keepLines w:val="0"/>
              <w:widowControl/>
              <w:suppressLineNumbers w:val="0"/>
            </w:pPr>
            <w:r>
              <w:rPr>
                <w:rStyle w:val="10"/>
              </w:rPr>
              <w:t>Objective</w:t>
            </w:r>
            <w:r>
              <w:t>　To evaluate the independent association and incremental predictive value of post-procedural Angio-FFR and Angio-IMR for a 2-year modified patient-oriented composite endpoint (mPOCE) after OCT-guided PCI, and to explore whether OCT optimization status modifies these prognostic associations.</w:t>
            </w:r>
          </w:p>
          <w:p w14:paraId="049E441A">
            <w:pPr>
              <w:pStyle w:val="2"/>
              <w:keepNext w:val="0"/>
              <w:keepLines w:val="0"/>
              <w:widowControl/>
              <w:suppressLineNumbers w:val="0"/>
            </w:pPr>
            <w:r>
              <w:rPr>
                <w:rStyle w:val="10"/>
              </w:rPr>
              <w:t>Methods</w:t>
            </w:r>
            <w:r>
              <w:t>　This is a single-center, ambidirectional, observational cohort study that plans to consecutively screen patients with coronary artery disease undergoing OCT-guided PCI, with a target analyzable sample size of approximately 1 100. The primary exposures are Angio-FFR and Angio-IMR calculated offline from the post-procedural final angiogram of the index PCI. The primary endpoint is 2-year mPOCE, defined as the first occurrence of all-cause death, target-vessel–related myocardial infarction, ischemia-driven target-vessel revascularization, hospitalization for unstable angina, or hospitalization for heart failure. Cox proportional hazards models will be used to evaluate the independent associations of both physiological indices with mPOCE. Incremental predictive value will be assessed by comparing a base model incorporating clinical risk factors and OCT anatomical information with extended models that additionally include the physiological indices. Effect modification by OCT optimization status will be evaluated as an exploratory analysis.</w:t>
            </w:r>
          </w:p>
          <w:p w14:paraId="58B1AE0C">
            <w:pPr>
              <w:pStyle w:val="2"/>
              <w:keepNext w:val="0"/>
              <w:keepLines w:val="0"/>
              <w:widowControl/>
              <w:suppressLineNumbers w:val="0"/>
            </w:pPr>
            <w:r>
              <w:rPr>
                <w:rStyle w:val="10"/>
              </w:rPr>
              <w:t>Significance</w:t>
            </w:r>
            <w:r>
              <w:t>　This study may help clarify the relationship between anatomical optimization and residual functional risk after OCT-guided PCI, and evaluate the risk-stratification value of Angio-FFR and Angio-IMR beyond clinical and OCT anatomical information, thereby providing evidence for identifying patients who remain at elevated residual risk despite achieving anatomical optimization criteria.</w:t>
            </w:r>
          </w:p>
          <w:p w14:paraId="5C9CA0BE">
            <w:pPr>
              <w:pStyle w:val="2"/>
              <w:adjustRightInd w:val="0"/>
              <w:snapToGrid w:val="0"/>
            </w:pPr>
          </w:p>
          <w:p w14:paraId="422B0BAF">
            <w:pPr>
              <w:pStyle w:val="2"/>
              <w:adjustRightInd w:val="0"/>
              <w:snapToGrid w:val="0"/>
            </w:pPr>
          </w:p>
          <w:p w14:paraId="6AC58252">
            <w:pPr>
              <w:pStyle w:val="2"/>
              <w:adjustRightInd w:val="0"/>
              <w:snapToGrid w:val="0"/>
            </w:pPr>
          </w:p>
        </w:tc>
      </w:tr>
    </w:tbl>
    <w:p w14:paraId="4C63AD36">
      <w:pPr>
        <w:pStyle w:val="2"/>
        <w:sectPr>
          <w:pgSz w:w="11906" w:h="16838"/>
          <w:pgMar w:top="1440" w:right="1800" w:bottom="1440" w:left="1800" w:header="851" w:footer="992" w:gutter="0"/>
          <w:cols w:space="425" w:num="1"/>
          <w:titlePg/>
          <w:docGrid w:type="lines" w:linePitch="312" w:charSpace="0"/>
        </w:sectPr>
      </w:pPr>
    </w:p>
    <w:p w14:paraId="6535A5FB">
      <w:pPr>
        <w:jc w:val="left"/>
        <w:rPr>
          <w:rFonts w:ascii="宋体" w:hAnsi="宋体"/>
          <w:sz w:val="8"/>
          <w:szCs w:val="21"/>
        </w:rPr>
      </w:pPr>
    </w:p>
    <w:tbl>
      <w:tblPr>
        <w:tblStyle w:val="7"/>
        <w:tblW w:w="8504" w:type="dxa"/>
        <w:jc w:val="center"/>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504"/>
      </w:tblGrid>
      <w:tr w14:paraId="3D415C10">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645" w:hRule="atLeast"/>
          <w:jc w:val="center"/>
        </w:trPr>
        <w:tc>
          <w:tcPr>
            <w:tcW w:w="8504" w:type="dxa"/>
            <w:tcBorders>
              <w:top w:val="single" w:color="auto" w:sz="4" w:space="0"/>
            </w:tcBorders>
            <w:shd w:val="clear" w:color="auto" w:fill="auto"/>
          </w:tcPr>
          <w:p w14:paraId="2023D758">
            <w:pPr>
              <w:pStyle w:val="Heading1"/>
            </w:pPr>
            <w:r>
              <w:t>二、课题立项依据</w:t>
            </w:r>
          </w:p>
          <w:p w14:paraId="111F60DC">
            <w:pPr>
              <w:pStyle w:val="Heading2"/>
            </w:pPr>
            <w:r>
              <w:t>1.课题研究背景</w:t>
            </w:r>
          </w:p>
          <w:p w14:paraId="3D570B8D">
            <w:pPr>
              <w:pStyle w:val="2"/>
              <w:keepNext w:val="0"/>
              <w:keepLines w:val="0"/>
              <w:widowControl/>
              <w:suppressLineNumbers w:val="0"/>
            </w:pPr>
            <w:r>
              <w:t>经皮冠状动脉介入治疗（percutaneous coronary intervention，PCI）是冠心病血运重建的重要方式。临床实践中，残余狭窄、支架扩张及心肌梗死溶栓试验（thrombolysis in myocardial infarction，TIMI）血流分级等造影结果，仍是判断 PCI 即刻成功的重要依据。然而，造影成功并不意味着术后风险完全解除。既往研究显示，PCI 术后患者在随访期内仍可发生靶血管失败、靶血管相关心肌梗死及再次血运重建等血管导向事件[1]；心绞痛再住院[2]、心力衰竭住院[3]等患者导向结局亦表明，部分患者在解剖学血运重建成功后仍存在残余临床风险。因此，如何在 PCI 术后进一步识别残余风险仍较高的患者，仍是冠心病介入治疗后风险分层需要解决的问题。</w:t>
            </w:r>
          </w:p>
          <w:p w14:paraId="7D4C3541">
            <w:pPr>
              <w:pStyle w:val="2"/>
              <w:keepNext w:val="0"/>
              <w:keepLines w:val="0"/>
              <w:widowControl/>
              <w:suppressLineNumbers w:val="0"/>
            </w:pPr>
            <w:r>
              <w:t>光学相干断层成像（optical coherence tomography，OCT）空间分辨率较高，轴向分辨率约 10 μm，可逐帧定量评价支架植入后的管腔与血管壁形态，识别造影难以可靠检出的支架膨胀不足、贴壁不良、边缘夹层、组织脱垂及参考段残余病变，为 PCI 术中支架优化提供解剖学依据[4]。2024 年欧洲心脏病学会慢性冠脉综合征指南已推荐采用血管内超声（intravascular ultrasound，IVUS）或 OCT 指导解剖学复杂冠状动脉病变的 PCI（Ⅰ 类推荐、A 级证据），尤其适用于左主干、真性分叉及长病变等复杂病变[5]。随机对照研究和荟萃分析显示，OCT 指导 PCI 可改善最小支架面积（minimum stent area，MSA）、支架贴壁及边缘结果等局部解剖学指标；在复杂分叉等特定病变人群中，OCT 指导亦与主要不良心脏事件（major adverse cardiac events，MACE）风险降低相关[6,7]。</w:t>
            </w:r>
          </w:p>
          <w:p w14:paraId="4B161B4E">
            <w:pPr>
              <w:pStyle w:val="2"/>
              <w:keepNext w:val="0"/>
              <w:keepLines w:val="0"/>
              <w:widowControl/>
              <w:suppressLineNumbers w:val="0"/>
            </w:pPr>
            <w:r>
              <w:t>然而，支架局部解剖结果的改善并不等同于 PCI 术后残余风险的消除。在复杂分叉病变人群中，OCTOBER 研究显示，OCT 指导较造影指导可降低 2 年 MACE 风险，但 OCT 指导组 2 年 MACE 发生率仍达 10.1%[7]。在以糖尿病或高危病变为主的 ILUMIEN IV 研究中，OCT 指导虽显著改善支架膨胀等解剖学指标，但 2 年靶血管失败（target vessel failure，TVF）发生率仍为 7.4%，且较造影指导未见显著降低[1]。进一步研究亦显示，即使在达到 OCT 优化标准或支架扩张较充分的患者中，随访期内仍可观察到一定比例的不良事件[8]。上述结果表明，OCT 主要解决支架段及其边缘的局部形态学问题，而 PCI 术后残余风险并不完全取决于支架局部解剖异常。</w:t>
            </w:r>
          </w:p>
          <w:p w14:paraId="65F12E7F">
            <w:pPr>
              <w:pStyle w:val="2"/>
              <w:keepNext w:val="0"/>
              <w:keepLines w:val="0"/>
              <w:widowControl/>
              <w:suppressLineNumbers w:val="0"/>
            </w:pPr>
            <w:r>
              <w:t>从病理生理层面看，靶血管术后功能学状态不仅取决于支架段局部形态，还受血管长轴方向累积压力损失及远端微循环阻力的影响。既往造影成功的 PCI 人群中，仍有约 24% 的患者存在术后残余心外膜功能异常[9]；在不同 PCI 人群、不同阈值定义下，术后微循环功能障碍的发生率亦可达约 40%[10]。这些功能学异常均难以经 OCT 直接识别。其中，支架外残余病变或弥漫性病变可沿靶血管长轴产生持续性压力下降，进而引起心外膜层面的残余功能学异常；PCI 相关微栓塞、缺血再灌注损伤、内皮功能障碍及患者基础微血管病变，则可能导致术后微循环阻力升高。后者除与心肌灌注受损相关外，还可能增加心力衰竭住院等患者导向结局的发生风险。</w:t>
            </w:r>
          </w:p>
          <w:p w14:paraId="3DC665CD">
            <w:pPr>
              <w:pStyle w:val="2"/>
              <w:keepNext w:val="0"/>
              <w:keepLines w:val="0"/>
              <w:widowControl/>
              <w:suppressLineNumbers w:val="0"/>
            </w:pPr>
            <w:r>
              <w:rPr>
                <w:rFonts w:hint="default"/>
              </w:rPr>
              <w:t>综上，OCT 指导 PCI 虽可优化支架段及其边缘的局部解剖结果，但术后残余风险仍可能来自两方面：一是支架外残余或弥漫性病变所致的心外膜纵向压力损失，二是 PCI 相关或患者基础状态相关的微循环功能障碍。上述功能学异常均超出 OCT 的直接成像范围，提示 OCT 指导 PCI 术后的风险评估不应止于支架段形态学达标，尚需进一步评价靶血管术后功能学状态，以识别解剖学优化后仍处于较高残余风险的患者</w:t>
            </w:r>
            <w:r>
              <w:t>。</w:t>
            </w:r>
          </w:p>
          <w:p w14:paraId="0B9714E4">
            <w:pPr>
              <w:pStyle w:val="Heading2"/>
              <w:numPr>
                <w:ilvl w:val="0"/>
                <w:numId w:val="1"/>
              </w:numPr>
            </w:pPr>
            <w:r>
              <w:t>国内外研究现状及分析</w:t>
            </w:r>
          </w:p>
          <w:p w14:paraId="1CD00616">
            <w:pPr>
              <w:pStyle w:val="2"/>
              <w:numPr>
                <w:ilvl w:val="0"/>
                <w:numId w:val="0"/>
              </w:numPr>
              <w:rPr>
                <w:kern w:val="0"/>
                <w:lang w:val="en-US" w:eastAsia="zh-CN" w:bidi="ar"/>
              </w:rPr>
            </w:pPr>
            <w:r>
              <w:rPr>
                <w:kern w:val="0"/>
                <w:lang w:val="en-US" w:eastAsia="zh-CN" w:bidi="ar"/>
              </w:rPr>
              <w:t>如上所述，OCT 解剖优化后的残余风险主要涉及心外膜纵向压力损失与微循环功能障碍两个 OCT 难以直接评价的功能学层面，二者分别可由造影衍生血流储备分数（angiography-derived fractional flow reserve，Angio-FFR）与造影衍生微循环阻力指数（angiography-derived index of microcirculatory resistance，Angio-IMR）评估。以下按"解剖优化的功能学边界、Angio-FFR 的术后预后证据、Angio-IMR 的术后预后证据"三个主题，梳理已有证据及其外推至本研究场景的不足。</w:t>
            </w:r>
          </w:p>
          <w:p w14:paraId="0CA38B8D">
            <w:pPr>
              <w:pStyle w:val="Heading3"/>
              <w:keepNext w:val="0"/>
              <w:keepLines w:val="0"/>
              <w:widowControl/>
              <w:suppressLineNumbers w:val="0"/>
            </w:pPr>
            <w:r>
              <w:rPr>
                <w:rFonts w:hint="eastAsia" w:ascii="宋体" w:hAnsi="宋体" w:cs="宋体"/>
                <w:lang w:val="en-US" w:eastAsia="zh-CN"/>
              </w:rPr>
              <w:t>1）</w:t>
            </w:r>
            <w:r>
              <w:rPr>
                <w:rFonts w:ascii="宋体" w:hAnsi="宋体" w:eastAsia="宋体" w:cs="宋体"/>
              </w:rPr>
              <w:t>支架段解剖优化的功能学边界</w:t>
            </w:r>
          </w:p>
          <w:p w14:paraId="19B4983F">
            <w:pPr>
              <w:pStyle w:val="2"/>
              <w:keepNext w:val="0"/>
              <w:keepLines w:val="0"/>
              <w:widowControl/>
              <w:suppressLineNumbers w:val="0"/>
              <w:rPr>
                <w:lang w:val="en-US" w:eastAsia="zh-CN"/>
              </w:rPr>
            </w:pPr>
            <w:r>
              <w:rPr>
                <w:lang w:val="en-US" w:eastAsia="zh-CN"/>
              </w:rPr>
              <w:t>OCT 可精细评价支架膨胀、贴壁、边缘夹层及参考段残余病变等局部解剖结果，但支架段解剖达标并不等同于术后靶血管功能学正常。DEFINE PCI 研究显示，造影成功的 PCI 术后仍有部分患者存在残余缺血，且显著残余压力梯度多位于支架近端或远端而非支架段内，支架外残余压力梯度约占 60%[9]。HAWKEYE 研究亦发现，术后低血流储备的解剖来源仅少部分位于支架段，更多与支架外残余病变或弥漫性病变相关[11]。上述结果提示，即使支架本身造影结果良好，靶血管长轴方向仍可能残留未被局部优化消除的压力损失。</w:t>
            </w:r>
          </w:p>
          <w:p w14:paraId="7889D3FC">
            <w:pPr>
              <w:pStyle w:val="2"/>
              <w:keepNext w:val="0"/>
              <w:keepLines w:val="0"/>
              <w:widowControl/>
              <w:suppressLineNumbers w:val="0"/>
              <w:rPr>
                <w:lang w:val="en-US" w:eastAsia="zh-CN"/>
              </w:rPr>
            </w:pPr>
            <w:r>
              <w:rPr>
                <w:lang w:val="en-US" w:eastAsia="zh-CN"/>
              </w:rPr>
              <w:t>基于 OCT 的功能学分析进一步支持上述判断。ILUMIEN IV 的 VFR 分析显示，术后 VFR≤0.90 的患者跨支架段压力梯度有限，压力比下降主要发生于非支架段[12]。该分析虽非造影衍生 FFR 证据，但在 OCT 指导 PCI 人群中提示，局部解剖优化后仍可能存在支架外功能学异常。弥漫性或串联性病变可沿血管长轴产生渐进性压力下降，往往缺乏明确可支架化的局灶靶点，难以通过单纯优化支架段形态完全解决[13]。DOCTORS 研究则显示，在不同 OCT 支架优化标准下，达标组与未达标组术后 FFR 并无显著差异[14]，提示 OCT 定义的形态学达标与术后心外膜功能改善之间并非简单对应。</w:t>
            </w:r>
          </w:p>
          <w:p w14:paraId="34B6FF81">
            <w:pPr>
              <w:pStyle w:val="2"/>
              <w:keepNext w:val="0"/>
              <w:keepLines w:val="0"/>
              <w:widowControl/>
              <w:suppressLineNumbers w:val="0"/>
              <w:rPr>
                <w:lang w:val="en-US" w:eastAsia="zh-CN"/>
              </w:rPr>
            </w:pPr>
            <w:r>
              <w:rPr>
                <w:lang w:val="en-US" w:eastAsia="zh-CN"/>
              </w:rPr>
              <w:t>除心外膜压力损失外，术后微循环功能障碍也是解剖学评估难以覆盖的维度。既往研究显示，即使术后 TIMI 血流 3 级、支架扩张满意，患者仍可出现远端微循环阻力升高[15,16]；而局部支架解剖优化能否改善术后微循环功能，目前缺乏直接证据。可见，心外膜残余压力损失与微循环阻力升高，是 OCT 解剖评估之外的两类残余功能学异常，可分别由术后 Angio-FFR 与 Angio-IMR 加以量化。</w:t>
            </w:r>
          </w:p>
          <w:p w14:paraId="31E79A11">
            <w:pPr>
              <w:pStyle w:val="Heading3"/>
              <w:keepNext w:val="0"/>
              <w:keepLines w:val="0"/>
              <w:widowControl/>
              <w:suppressLineNumbers w:val="0"/>
            </w:pPr>
            <w:r>
              <w:rPr>
                <w:rFonts w:hint="eastAsia" w:ascii="宋体" w:hAnsi="宋体" w:cs="宋体"/>
                <w:lang w:val="en-US" w:eastAsia="zh-CN"/>
              </w:rPr>
              <w:t>2）</w:t>
            </w:r>
            <w:r>
              <w:rPr>
                <w:rFonts w:ascii="宋体" w:hAnsi="宋体" w:eastAsia="宋体" w:cs="宋体"/>
              </w:rPr>
              <w:t>术后Angio-FFR的预后证据与未解问题</w:t>
            </w:r>
          </w:p>
          <w:p w14:paraId="3D136206">
            <w:pPr>
              <w:pStyle w:val="2"/>
              <w:keepNext w:val="0"/>
              <w:keepLines w:val="0"/>
              <w:widowControl/>
              <w:numPr>
                <w:ilvl w:val="0"/>
                <w:numId w:val="0"/>
              </w:numPr>
              <w:suppressLineNumbers w:val="0"/>
              <w:rPr>
                <w:kern w:val="0"/>
                <w:lang w:val="en-US" w:eastAsia="zh-CN" w:bidi="ar"/>
              </w:rPr>
            </w:pPr>
            <w:r>
              <w:rPr>
                <w:kern w:val="0"/>
                <w:lang w:val="en-US" w:eastAsia="zh-CN" w:bidi="ar"/>
              </w:rPr>
              <w:t>在心外膜功能学评估中，导丝测量的术后 FFR 证据相对充分。早期研究显示，术后 FFR 与死亡、心肌梗死及靶血管血运重建风险呈负相关，其预后判别力优于造影残余狭窄[17]。个体患者数据荟萃分析进一步证实，术后 FFR 与 TVF 之间存在连续的剂量-反应关系[18]，提示术后功能学评估的价值不仅在于判断有无残余缺血，更在于连续量化靶血管层面的残余风险。</w:t>
            </w:r>
          </w:p>
          <w:p w14:paraId="658F2078">
            <w:pPr>
              <w:pStyle w:val="2"/>
              <w:keepNext w:val="0"/>
              <w:keepLines w:val="0"/>
              <w:widowControl/>
              <w:numPr>
                <w:ilvl w:val="0"/>
                <w:numId w:val="0"/>
              </w:numPr>
              <w:suppressLineNumbers w:val="0"/>
              <w:rPr>
                <w:kern w:val="0"/>
                <w:lang w:val="en-US" w:eastAsia="zh-CN" w:bidi="ar"/>
              </w:rPr>
            </w:pPr>
            <w:r>
              <w:rPr>
                <w:kern w:val="0"/>
                <w:lang w:val="en-US" w:eastAsia="zh-CN" w:bidi="ar"/>
              </w:rPr>
              <w:t>然而，压力导丝、充血药物及操作成本，限制了导丝 FFR 在 PCI 术后即刻的常规应用。由终末造影直接计算、无需压力导丝和充血药物的造影衍生 FFR，因此成为可及性更高的替代方案。多项验证研究显示，术后定量血流比值（quantitative flow ratio，QFR）、血管造影衍生 vFFR 及 caFFR 与导丝 FFR 具有中等至较高一致性，相关系数约 0.79–0.82，AUC 最高可达 0.98[19-21]，为术后 Angio-FFR 用于 PCI 即刻功能学评价提供了技术可行性。</w:t>
            </w:r>
          </w:p>
          <w:p w14:paraId="69850AF9">
            <w:pPr>
              <w:pStyle w:val="2"/>
              <w:keepNext w:val="0"/>
              <w:keepLines w:val="0"/>
              <w:widowControl/>
              <w:numPr>
                <w:ilvl w:val="0"/>
                <w:numId w:val="0"/>
              </w:numPr>
              <w:suppressLineNumbers w:val="0"/>
              <w:rPr>
                <w:kern w:val="0"/>
                <w:lang w:val="en-US" w:eastAsia="zh-CN" w:bidi="ar"/>
              </w:rPr>
            </w:pPr>
            <w:r>
              <w:rPr>
                <w:kern w:val="0"/>
                <w:lang w:val="en-US" w:eastAsia="zh-CN" w:bidi="ar"/>
              </w:rPr>
              <w:t>在预后层面，术后 Angio-FFR 低值与远期血管事件风险升高相关。HAWKEYE 研究显示，术后 QFR≤0.89 与 2 年血管导向复合终点（vessel-oriented composite endpoint，VOCE）独立相关[11]；vFFR、caFFR 研究亦报道，术后功能学低值与随访不良事件风险升高相关[22-23]。荟萃分析进一步提示，术后 Angio-FFR 降低与心血管事件风险升高相关，并呈连续风险梯度[24]。值得注意的是，ILUMIEN IV 的 OCT 衍生 VFR 分析提示，术后残余功能学异常可在 OCT 解剖参数之外预测 TVF 及靶病变失败（target lesion failure，TLF）[12]，是与本研究场景最为接近的间接证据。</w:t>
            </w:r>
          </w:p>
          <w:p w14:paraId="26747A31">
            <w:pPr>
              <w:pStyle w:val="2"/>
              <w:keepNext w:val="0"/>
              <w:keepLines w:val="0"/>
              <w:widowControl/>
              <w:numPr>
                <w:ilvl w:val="0"/>
                <w:numId w:val="0"/>
              </w:numPr>
              <w:suppressLineNumbers w:val="0"/>
              <w:rPr>
                <w:kern w:val="0"/>
                <w:lang w:val="en-US" w:eastAsia="zh-CN" w:bidi="ar"/>
              </w:rPr>
            </w:pPr>
            <w:r>
              <w:rPr>
                <w:kern w:val="0"/>
                <w:lang w:val="en-US" w:eastAsia="zh-CN" w:bidi="ar"/>
              </w:rPr>
              <w:t>不过，现有术后 Angio-FFR 证据仍不能直接回答本研究问题。第一，多数研究来自造影指导或未限定 OCT 指导的 PCI 人群；而 OCT 指导可更充分处理支架段及边缘解剖异常，该人群术后残余功能学异常的构成及预后意义可能因此不同。第二，既往研究多将术后 Angio-FFR 作为单一功能学指标，较少同时纳入微循环阻力。已有研究提示，术后微循环阻力升高可被动抬高 FFR 读数，但微循环阻力指数（index of microcirculatory resistance，IMR）对 FFR 变异的解释力有限（R²=0.134）[25]，说明二者存在血流动力学耦联，却非冗余指标；因此，单独评价术后 Angio-FFR 可能难以区分心外膜残余压力损失与微循环阻力变化的影响。第三，术后 Angio-FFR 在 OCT 指导 PCI 人群中的风险分层界值，尚缺乏直接证据。</w:t>
            </w:r>
          </w:p>
          <w:p w14:paraId="4C2E8BC7">
            <w:pPr>
              <w:pStyle w:val="Heading3"/>
              <w:keepNext w:val="0"/>
              <w:keepLines w:val="0"/>
              <w:widowControl/>
              <w:numPr>
                <w:ilvl w:val="0"/>
                <w:numId w:val="2"/>
              </w:numPr>
              <w:suppressLineNumbers w:val="0"/>
              <w:rPr>
                <w:kern w:val="2"/>
                <w:lang w:val="en-US" w:eastAsia="zh-CN" w:bidi="ar-SA"/>
              </w:rPr>
            </w:pPr>
            <w:r>
              <w:rPr>
                <w:rFonts w:ascii="宋体" w:hAnsi="宋体" w:eastAsia="宋体" w:cs="宋体"/>
              </w:rPr>
              <w:t>术后Angio-</w:t>
            </w:r>
            <w:r>
              <w:rPr>
                <w:rFonts w:hint="eastAsia" w:ascii="宋体" w:hAnsi="宋体" w:cs="宋体"/>
                <w:lang w:val="en-US" w:eastAsia="zh-CN"/>
              </w:rPr>
              <w:t>IMR</w:t>
            </w:r>
            <w:r>
              <w:rPr>
                <w:rFonts w:ascii="宋体" w:hAnsi="宋体" w:eastAsia="宋体" w:cs="宋体"/>
              </w:rPr>
              <w:t>的预后证据与未解问题</w:t>
            </w:r>
          </w:p>
          <w:p w14:paraId="63019D9C">
            <w:pPr>
              <w:pStyle w:val="2"/>
              <w:keepNext w:val="0"/>
              <w:keepLines w:val="0"/>
              <w:pageBreakBefore w:val="0"/>
              <w:widowControl w:val="0"/>
              <w:numPr>
                <w:ilvl w:val="0"/>
                <w:numId w:val="0"/>
              </w:numPr>
              <w:kinsoku/>
              <w:wordWrap/>
              <w:overflowPunct/>
              <w:topLinePunct w:val="0"/>
              <w:autoSpaceDE/>
              <w:autoSpaceDN/>
              <w:bidi w:val="0"/>
              <w:adjustRightInd/>
              <w:snapToGrid/>
              <w:textAlignment w:val="auto"/>
              <w:rPr>
                <w:kern w:val="0"/>
                <w:lang w:val="en-US" w:eastAsia="zh-CN" w:bidi="ar"/>
              </w:rPr>
            </w:pPr>
            <w:r>
              <w:rPr>
                <w:kern w:val="0"/>
                <w:lang w:val="en-US" w:eastAsia="zh-CN" w:bidi="ar"/>
              </w:rPr>
              <w:t>与 Angio-FFR 主要反映心外膜压力损失不同，造影衍生 IMR（Angio-IMR）从微循环阻力角度评价 PCI 术后残余功能学异常。国内外研究已在不同 PCI 人群中观察到，术后 Angio-IMR 升高与不良结局相关，但其证据来源与适用边界较为复杂。</w:t>
            </w:r>
          </w:p>
          <w:p w14:paraId="32AF2EEB">
            <w:pPr>
              <w:pStyle w:val="2"/>
              <w:keepNext w:val="0"/>
              <w:keepLines w:val="0"/>
              <w:pageBreakBefore w:val="0"/>
              <w:widowControl w:val="0"/>
              <w:numPr>
                <w:ilvl w:val="0"/>
                <w:numId w:val="0"/>
              </w:numPr>
              <w:kinsoku/>
              <w:wordWrap/>
              <w:overflowPunct/>
              <w:topLinePunct w:val="0"/>
              <w:autoSpaceDE/>
              <w:autoSpaceDN/>
              <w:bidi w:val="0"/>
              <w:adjustRightInd/>
              <w:snapToGrid/>
              <w:textAlignment w:val="auto"/>
              <w:rPr>
                <w:kern w:val="0"/>
                <w:lang w:val="en-US" w:eastAsia="zh-CN" w:bidi="ar"/>
              </w:rPr>
            </w:pPr>
            <w:r>
              <w:rPr>
                <w:kern w:val="0"/>
                <w:lang w:val="en-US" w:eastAsia="zh-CN" w:bidi="ar"/>
              </w:rPr>
              <w:t>在稳定型冠心病及择期 PCI 人群中，术后高 Angio-IMR 与心源性死亡或心力衰竭再住院风险升高相关[3]。部分研究进一步关注围术期变化，发现术前至术后 Angio-IMR 变化值（ΔAngio-IMR）可区分 MACE 风险，而单纯以术后绝对值分组时差异未必达到统计学显著[26]；不稳定性心绞痛人群中亦观察到类似结果[27]。这些证据提示，围术期微循环阻力变化可能提供不同于单一术后测值的风险信息，但其稳定性与适用人群仍需进一步验证。</w:t>
            </w:r>
          </w:p>
          <w:p w14:paraId="151CD793">
            <w:pPr>
              <w:pStyle w:val="2"/>
              <w:keepNext w:val="0"/>
              <w:keepLines w:val="0"/>
              <w:pageBreakBefore w:val="0"/>
              <w:widowControl w:val="0"/>
              <w:numPr>
                <w:ilvl w:val="0"/>
                <w:numId w:val="0"/>
              </w:numPr>
              <w:kinsoku/>
              <w:wordWrap/>
              <w:overflowPunct/>
              <w:topLinePunct w:val="0"/>
              <w:autoSpaceDE/>
              <w:autoSpaceDN/>
              <w:bidi w:val="0"/>
              <w:adjustRightInd/>
              <w:snapToGrid/>
              <w:textAlignment w:val="auto"/>
              <w:rPr>
                <w:kern w:val="0"/>
                <w:lang w:val="en-US" w:eastAsia="zh-CN" w:bidi="ar"/>
              </w:rPr>
            </w:pPr>
            <w:r>
              <w:rPr>
                <w:kern w:val="0"/>
                <w:lang w:val="en-US" w:eastAsia="zh-CN" w:bidi="ar"/>
              </w:rPr>
              <w:t>在急性心肌梗死人群中，术后 Angio-IMR 的预后信号更为明确。NSTEMI 与 STEMI 患者术后 Angio-IMR 升高均与随访期心源性死亡或心力衰竭再住院相关；纳入传统危险因素后仍可改善风险再分类，作为连续变量时风险随 Angio-IMR 升高而递增[28,29]。STEMI 合并糖尿病队列中亦观察到类似关联[30,31]。但这类人群的微循环损伤多与缺血再灌注损伤、远端栓塞、梗死面积及基础代谢异常密切相关，与以非 STEMI 和择期复杂病变为主的 OCT 指导 PCI 人群并不完全一致，其阈值与效应量不宜直接外推。</w:t>
            </w:r>
          </w:p>
          <w:p w14:paraId="03F6E44A">
            <w:pPr>
              <w:pStyle w:val="2"/>
              <w:keepNext w:val="0"/>
              <w:keepLines w:val="0"/>
              <w:pageBreakBefore w:val="0"/>
              <w:widowControl w:val="0"/>
              <w:numPr>
                <w:ilvl w:val="0"/>
                <w:numId w:val="0"/>
              </w:numPr>
              <w:kinsoku/>
              <w:wordWrap/>
              <w:overflowPunct/>
              <w:topLinePunct w:val="0"/>
              <w:autoSpaceDE/>
              <w:autoSpaceDN/>
              <w:bidi w:val="0"/>
              <w:adjustRightInd/>
              <w:snapToGrid/>
              <w:textAlignment w:val="auto"/>
              <w:rPr>
                <w:kern w:val="0"/>
                <w:lang w:val="en-US" w:eastAsia="zh-CN" w:bidi="ar"/>
              </w:rPr>
            </w:pPr>
            <w:r>
              <w:rPr>
                <w:kern w:val="0"/>
                <w:lang w:val="en-US" w:eastAsia="zh-CN" w:bidi="ar"/>
              </w:rPr>
              <w:t>FLAVOUR 系列研究进一步将 Angio-IMR 拓展至中度狭窄病变及功能学指导决策场景。相关分析显示，无论是否接受 PCI，术后高 Angio-IMR 均与 2 年患者相关复合终点独立相关[32]；高 ΔAngio-IMR 与 TVF 风险升高相关，且该关联主要见于术后 Angio-IMR&gt;25 的患者[33]。一项纳入 12 项研究的荟萃分析表明，Angio-IMR 诊断微循环功能障碍具有较好的敏感度与特异度，并与不良结局相关；即使在 Angio-FFR 正常的患者中，Angio-IMR 仍显示独立预后价值[34]。提示当心外膜功能学结果相对正常时，微循环阻力仍可提供额外的风险信息。</w:t>
            </w:r>
          </w:p>
          <w:p w14:paraId="3C484F06">
            <w:pPr>
              <w:pStyle w:val="Heading3"/>
              <w:keepNext w:val="0"/>
              <w:keepLines w:val="0"/>
              <w:pageBreakBefore w:val="0"/>
              <w:widowControl w:val="0"/>
              <w:numPr>
                <w:ilvl w:val="0"/>
                <w:numId w:val="0"/>
              </w:numPr>
              <w:kinsoku/>
              <w:wordWrap/>
              <w:overflowPunct/>
              <w:topLinePunct w:val="0"/>
              <w:autoSpaceDE/>
              <w:autoSpaceDN/>
              <w:bidi w:val="0"/>
              <w:adjustRightInd/>
              <w:snapToGrid/>
              <w:textAlignment w:val="auto"/>
              <w:rPr>
                <w:kern w:val="0"/>
                <w:lang w:val="en-US" w:eastAsia="zh-CN" w:bidi="ar"/>
              </w:rPr>
            </w:pPr>
            <w:r>
              <w:rPr>
                <w:kern w:val="0"/>
                <w:lang w:val="en-US" w:eastAsia="zh-CN" w:bidi="ar"/>
              </w:rPr>
              <w:t>4）现有证据的综合判断与本研究切入点</w:t>
            </w:r>
          </w:p>
          <w:p w14:paraId="2C11169E">
            <w:pPr>
              <w:pStyle w:val="2"/>
              <w:keepNext w:val="0"/>
              <w:keepLines w:val="0"/>
              <w:pageBreakBefore w:val="0"/>
              <w:widowControl w:val="0"/>
              <w:numPr>
                <w:ilvl w:val="0"/>
                <w:numId w:val="0"/>
              </w:numPr>
              <w:kinsoku/>
              <w:wordWrap/>
              <w:overflowPunct/>
              <w:topLinePunct w:val="0"/>
              <w:autoSpaceDE/>
              <w:autoSpaceDN/>
              <w:bidi w:val="0"/>
              <w:adjustRightInd/>
              <w:snapToGrid/>
              <w:textAlignment w:val="auto"/>
              <w:rPr>
                <w:kern w:val="0"/>
                <w:lang w:val="en-US" w:eastAsia="zh-CN" w:bidi="ar"/>
              </w:rPr>
            </w:pPr>
            <w:r>
              <w:rPr>
                <w:kern w:val="0"/>
                <w:lang w:val="en-US" w:eastAsia="zh-CN" w:bidi="ar"/>
              </w:rPr>
              <w:t>现有证据显示，术后心外膜功能学指标偏低、微循环阻力升高均与 PCI 后不良心血管事件相关，但相关研究对象多为非 OCT 指导的 PCI 人群，且分析多侧重单一功能学指标，较少将术后 OCT 解剖参数、Angio-FFR 与 Angio-IMR 纳入同一模型评价。在结局设定上，既往功能学预后研究多采用靶血管失败或血管导向复合终点，对不稳定性心绞痛住院与心力衰竭住院的纳入相对有限。而对 OCT 指导 PCI 患者，纳入此类住院事件有助于更完整地评价患者导向的术后残余风险。基于上述证据缺口，本研究拟纳入 OCT 指导 PCI 术后患者，将临床危险因素、OCT 解剖参数、术后 Angio-FFR 与 Angio-IMR 置于同一分析框架，评价术后 Angio-FFR 与 Angio-IMR 在临床危险因素及 OCT 解剖参数基础上对 2 年改良患者导向复合终点（modified patient-oriented composite endpoint，mPOCE）的独立及增量预测价值，并进一步探索 OCT 优化状态是否修饰其预测价值。</w:t>
            </w:r>
          </w:p>
          <w:p w14:paraId="0582A617">
            <w:pPr>
              <w:pStyle w:val="Heading2"/>
            </w:pPr>
            <w:r>
              <w:t>3.课题研究的科学问题和研究意义</w:t>
            </w:r>
          </w:p>
          <w:p w14:paraId="70F21449">
            <w:pPr>
              <w:pStyle w:val="2"/>
              <w:keepNext w:val="0"/>
              <w:keepLines w:val="0"/>
              <w:pageBreakBefore w:val="0"/>
              <w:widowControl w:val="0"/>
              <w:kinsoku/>
              <w:wordWrap/>
              <w:overflowPunct/>
              <w:topLinePunct w:val="0"/>
              <w:autoSpaceDE/>
              <w:autoSpaceDN/>
              <w:bidi w:val="0"/>
              <w:adjustRightInd/>
              <w:snapToGrid/>
              <w:textAlignment w:val="auto"/>
            </w:pPr>
            <w:r>
              <w:t>本研究旨在探讨 OCT 指导 PCI 术后患者中，术后 Angio-FFR 与 Angio-IMR 能否在传统临床危险因素与 OCT 解剖参数之外，对改良患者导向复合终点（mPOCE）提供独立及增量的预测价值，并进一步探索该预测价值是否受 OCT 优化状态修饰。本研究可为在 OCT 解剖评价之外识别术后高残余风险患者提供依据。</w:t>
            </w:r>
            <w:bookmarkStart w:id="0" w:name="_GoBack"/>
            <w:bookmarkEnd w:id="0"/>
          </w:p>
        </w:tc>
      </w:tr>
    </w:tbl>
    <w:p w14:paraId="7A663E21">
      <w:pPr>
        <w:pStyle w:val="2"/>
      </w:pPr>
    </w:p>
    <w:p w14:paraId="6D7CA145">
      <w:pPr>
        <w:pStyle w:val="2"/>
        <w:sectPr>
          <w:pgSz w:w="11906" w:h="16838"/>
          <w:pgMar w:top="1440" w:right="1800" w:bottom="1440" w:left="1800" w:header="851" w:footer="992" w:gutter="0"/>
          <w:cols w:space="425" w:num="1"/>
          <w:titlePg/>
          <w:docGrid w:type="lines" w:linePitch="312" w:charSpace="0"/>
        </w:sectPr>
      </w:pPr>
    </w:p>
    <w:p w14:paraId="68692D6B">
      <w:pPr>
        <w:widowControl/>
        <w:jc w:val="left"/>
        <w:rPr>
          <w:rFonts w:ascii="宋体" w:hAnsi="宋体"/>
          <w:b/>
          <w:sz w:val="18"/>
          <w:szCs w:val="18"/>
        </w:rPr>
      </w:pPr>
    </w:p>
    <w:tbl>
      <w:tblPr>
        <w:tblStyle w:val="7"/>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504"/>
      </w:tblGrid>
      <w:tr w14:paraId="62DA5A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75" w:hRule="atLeast"/>
          <w:jc w:val="center"/>
        </w:trPr>
        <w:tc>
          <w:tcPr>
            <w:tcW w:w="8504" w:type="dxa"/>
            <w:tcBorders>
              <w:top w:val="single" w:color="auto" w:sz="4" w:space="0"/>
              <w:left w:val="single" w:color="auto" w:sz="12" w:space="0"/>
              <w:right w:val="single" w:color="auto" w:sz="12" w:space="0"/>
            </w:tcBorders>
            <w:shd w:val="clear" w:color="auto" w:fill="auto"/>
          </w:tcPr>
          <w:p w14:paraId="34FAC7D9">
            <w:pPr>
              <w:pStyle w:val="Heading1"/>
            </w:pPr>
            <w:r>
              <w:t>三、课题研究内容及</w:t>
            </w:r>
            <w:r>
              <w:t>创新</w:t>
            </w:r>
            <w:r>
              <w:t>点</w:t>
            </w:r>
          </w:p>
          <w:p w14:paraId="19E38EB5">
            <w:pPr>
              <w:pStyle w:val="Heading2"/>
            </w:pPr>
            <w:r>
              <w:rPr>
                <w:lang w:val="en-US" w:eastAsia="zh-CN"/>
              </w:rPr>
              <w:t>1.</w:t>
            </w:r>
            <w:r>
              <w:t>研究内容</w:t>
            </w:r>
          </w:p>
          <w:p w14:paraId="77344E5E">
            <w:pPr>
              <w:pStyle w:val="2"/>
              <w:keepNext w:val="0"/>
              <w:keepLines w:val="0"/>
              <w:widowControl/>
              <w:suppressLineNumbers w:val="0"/>
            </w:pPr>
            <w:r>
              <w:rPr>
                <w:rFonts w:hint="eastAsia"/>
                <w:lang w:eastAsia="zh-CN"/>
              </w:rPr>
              <w:t>（</w:t>
            </w:r>
            <w:r>
              <w:rPr>
                <w:rFonts w:hint="eastAsia"/>
                <w:lang w:val="en-US" w:eastAsia="zh-CN"/>
              </w:rPr>
              <w:t>1</w:t>
            </w:r>
            <w:r>
              <w:rPr>
                <w:rFonts w:hint="eastAsia"/>
                <w:lang w:eastAsia="zh-CN"/>
              </w:rPr>
              <w:t>）</w:t>
            </w:r>
            <w:r>
              <w:t>术后 Angio-FFR、Angio-IMR 的分布特征及其与 OCT 解剖学结果的关系</w:t>
            </w:r>
          </w:p>
          <w:p w14:paraId="716F98BB">
            <w:pPr>
              <w:pStyle w:val="2"/>
              <w:keepNext w:val="0"/>
              <w:keepLines w:val="0"/>
              <w:widowControl/>
              <w:suppressLineNumbers w:val="0"/>
            </w:pPr>
            <w:r>
              <w:t>描述 OCT 指导 PCI 术后患者中 Angio-FFR 与 Angio-IMR 的分布特征及异常检出情况，分析二者与 OCT 解剖学参数及 OCT 优化状态的关系，以</w:t>
            </w:r>
            <w:r>
              <w:rPr>
                <w:rFonts w:hint="eastAsia"/>
                <w:lang w:val="en-US" w:eastAsia="zh-CN"/>
              </w:rPr>
              <w:t>评价</w:t>
            </w:r>
            <w:r>
              <w:t>支架段解剖学结果与术后功能学状态之间的一致性与差异性。</w:t>
            </w:r>
          </w:p>
          <w:p w14:paraId="21C84FCC">
            <w:pPr>
              <w:pStyle w:val="2"/>
              <w:keepNext w:val="0"/>
              <w:keepLines w:val="0"/>
              <w:widowControl/>
              <w:numPr>
                <w:ilvl w:val="0"/>
                <w:numId w:val="3"/>
              </w:numPr>
              <w:suppressLineNumbers w:val="0"/>
            </w:pPr>
            <w:r>
              <w:t>术后 Angio-FFR、Angio-IMR 与 2 年 mPOCE 的独立关联及风险分层</w:t>
            </w:r>
          </w:p>
          <w:p w14:paraId="78B68500">
            <w:pPr>
              <w:pStyle w:val="2"/>
              <w:keepNext w:val="0"/>
              <w:keepLines w:val="0"/>
              <w:widowControl/>
              <w:numPr>
                <w:numId w:val="0"/>
              </w:numPr>
              <w:suppressLineNumbers w:val="0"/>
            </w:pPr>
            <w:r>
              <w:t xml:space="preserve">评价术后 Angio-FFR、Angio-IMR 在校正临床危险因素和 OCT 解剖学信息后，是否与 2 年 mPOCE </w:t>
            </w:r>
            <w:r>
              <w:rPr>
                <w:rFonts w:hint="eastAsia"/>
                <w:lang w:val="en-US" w:eastAsia="zh-CN"/>
              </w:rPr>
              <w:t>仍</w:t>
            </w:r>
            <w:r>
              <w:t>独立相关，并分析其剂量–反应关系及预设界值下的风险分层价值。</w:t>
            </w:r>
          </w:p>
          <w:p w14:paraId="4DF117AE">
            <w:pPr>
              <w:pStyle w:val="2"/>
              <w:keepNext w:val="0"/>
              <w:keepLines w:val="0"/>
              <w:widowControl/>
              <w:numPr>
                <w:ilvl w:val="0"/>
                <w:numId w:val="3"/>
              </w:numPr>
              <w:suppressLineNumbers w:val="0"/>
            </w:pPr>
            <w:r>
              <w:t>术后Angio-FFR、Angio-IMR在临床危险因素与 OCT 解剖信息基础上的增量预测价值</w:t>
            </w:r>
          </w:p>
          <w:p w14:paraId="70B3719E">
            <w:pPr>
              <w:pStyle w:val="2"/>
              <w:keepNext w:val="0"/>
              <w:keepLines w:val="0"/>
              <w:widowControl/>
              <w:numPr>
                <w:numId w:val="0"/>
              </w:numPr>
              <w:suppressLineNumbers w:val="0"/>
            </w:pPr>
            <w:r>
              <w:t xml:space="preserve">在临床危险因素与 OCT 解剖学信息构建的基础模型上，分别及联合加入 </w:t>
            </w:r>
            <w:r>
              <w:rPr>
                <w:rFonts w:hint="eastAsia"/>
                <w:lang w:val="en-US" w:eastAsia="zh-CN"/>
              </w:rPr>
              <w:t>术后</w:t>
            </w:r>
            <w:r>
              <w:t>Angio-FFR、Angio-IMR，评价其对 2 年 mPOCE 预测性能的增量价值。</w:t>
            </w:r>
          </w:p>
          <w:p w14:paraId="09269B0F">
            <w:pPr>
              <w:pStyle w:val="2"/>
              <w:keepNext w:val="0"/>
              <w:keepLines w:val="0"/>
              <w:widowControl/>
              <w:numPr>
                <w:ilvl w:val="0"/>
                <w:numId w:val="3"/>
              </w:numPr>
              <w:suppressLineNumbers w:val="0"/>
            </w:pPr>
            <w:r>
              <w:t>OCT 优化状态对术后功能学指标预后价值的修饰作用</w:t>
            </w:r>
          </w:p>
          <w:p w14:paraId="008040BD">
            <w:pPr>
              <w:pStyle w:val="2"/>
              <w:keepNext w:val="0"/>
              <w:keepLines w:val="0"/>
              <w:widowControl/>
              <w:numPr>
                <w:numId w:val="0"/>
              </w:numPr>
              <w:suppressLineNumbers w:val="0"/>
            </w:pPr>
            <w:r>
              <w:t>探索 Angio-FFR、Angio-IMR 与 2 年 mPOCE 的关联强度是否随 OCT 优化状态不同而变化，并初步识别 OCT 解剖学达标后仍存在较高残余功能学风险的患者</w:t>
            </w:r>
            <w:r>
              <w:rPr>
                <w:rFonts w:hint="default" w:ascii="仿宋" w:hAnsi="仿宋" w:eastAsia="仿宋"/>
                <w:sz w:val="24"/>
                <w:szCs w:val="28"/>
              </w:rPr>
              <w:t>。</w:t>
            </w:r>
          </w:p>
          <w:p w14:paraId="0AFE94C7">
            <w:pPr>
              <w:pStyle w:val="Heading2"/>
              <w:rPr>
                <w:lang w:val="en-US" w:eastAsia="zh-CN"/>
              </w:rPr>
            </w:pPr>
            <w:r>
              <w:rPr>
                <w:lang w:val="en-US" w:eastAsia="zh-CN"/>
              </w:rPr>
              <w:t>2.创新点</w:t>
            </w:r>
          </w:p>
          <w:p w14:paraId="0A4C540B">
            <w:pPr>
              <w:pStyle w:val="2"/>
              <w:keepNext w:val="0"/>
              <w:keepLines w:val="0"/>
              <w:widowControl/>
              <w:numPr>
                <w:numId w:val="0"/>
              </w:numPr>
              <w:suppressLineNumbers w:val="0"/>
              <w:rPr>
                <w:lang w:val="en-US" w:eastAsia="zh-CN"/>
              </w:rPr>
            </w:pPr>
            <w:r>
              <w:rPr>
                <w:rFonts w:hint="eastAsia"/>
                <w:lang w:val="en-US" w:eastAsia="zh-CN"/>
              </w:rPr>
              <w:t>（1）</w:t>
            </w:r>
            <w:r>
              <w:rPr>
                <w:rFonts w:ascii="宋体" w:hAnsi="宋体" w:eastAsia="宋体" w:cs="宋体"/>
                <w:sz w:val="24"/>
                <w:szCs w:val="24"/>
              </w:rPr>
              <w:t>OCT 指导 PCI 术后解剖—功能关系的双维度评价</w:t>
            </w:r>
            <w:r>
              <w:rPr>
                <w:rFonts w:hint="eastAsia"/>
                <w:lang w:val="en-US" w:eastAsia="zh-CN"/>
              </w:rPr>
              <w:t>。</w:t>
            </w:r>
          </w:p>
          <w:p w14:paraId="574F5228">
            <w:pPr>
              <w:pStyle w:val="2"/>
              <w:keepNext w:val="0"/>
              <w:keepLines w:val="0"/>
              <w:widowControl/>
              <w:numPr>
                <w:ilvl w:val="0"/>
                <w:numId w:val="0"/>
              </w:numPr>
              <w:suppressLineNumbers w:val="0"/>
              <w:rPr>
                <w:lang w:val="en-US" w:eastAsia="zh-CN"/>
              </w:rPr>
            </w:pPr>
            <w:r>
              <w:rPr>
                <w:lang w:val="en-US" w:eastAsia="zh-CN"/>
              </w:rPr>
              <w:t>既往 PCI 术后功能学研究多集中于单一功能学指标，相关证据主要来自非 OCT 指导的人群。本研究聚焦 OCT 指导 PCI 术后患者，联合应用反映心外膜压力损失的 Angio-FFR 与反映微循环阻力状态的 Angio-IMR，从心外膜与微循环两个层面评价术后残余功能异常，并与 OCT 解剖学优化结果进行对照分析，评价解剖学达标与功能学正常之间的一致性及差异性，为认识 OCT 解剖评价在术后功能风险分层中的边界提供依据。</w:t>
            </w:r>
          </w:p>
          <w:p w14:paraId="17F0ACE8">
            <w:pPr>
              <w:pStyle w:val="2"/>
              <w:keepNext w:val="0"/>
              <w:keepLines w:val="0"/>
              <w:widowControl/>
              <w:numPr>
                <w:numId w:val="0"/>
              </w:numPr>
              <w:suppressLineNumbers w:val="0"/>
              <w:rPr>
                <w:lang w:val="en-US" w:eastAsia="zh-CN"/>
              </w:rPr>
            </w:pPr>
            <w:r>
              <w:rPr>
                <w:rFonts w:hint="eastAsia"/>
                <w:lang w:eastAsia="zh-CN"/>
              </w:rPr>
              <w:t>（</w:t>
            </w:r>
            <w:r>
              <w:rPr>
                <w:rFonts w:hint="eastAsia"/>
                <w:lang w:val="en-US" w:eastAsia="zh-CN"/>
              </w:rPr>
              <w:t>2</w:t>
            </w:r>
            <w:r>
              <w:rPr>
                <w:rFonts w:hint="eastAsia"/>
                <w:lang w:eastAsia="zh-CN"/>
              </w:rPr>
              <w:t>）</w:t>
            </w:r>
            <w:r>
              <w:t>基于临床、OCT 与功能学指标的 mPOCE 风险分层</w:t>
            </w:r>
            <w:r>
              <w:rPr>
                <w:rFonts w:hint="eastAsia"/>
                <w:lang w:val="en-US" w:eastAsia="zh-CN"/>
              </w:rPr>
              <w:t>。</w:t>
            </w:r>
          </w:p>
          <w:p w14:paraId="24824D5F">
            <w:pPr>
              <w:pStyle w:val="2"/>
              <w:keepNext w:val="0"/>
              <w:keepLines w:val="0"/>
              <w:widowControl/>
              <w:numPr>
                <w:numId w:val="0"/>
              </w:numPr>
              <w:suppressLineNumbers w:val="0"/>
              <w:rPr>
                <w:lang w:val="en-US" w:eastAsia="zh-CN"/>
              </w:rPr>
            </w:pPr>
            <w:r>
              <w:rPr>
                <w:lang w:val="en-US" w:eastAsia="zh-CN"/>
              </w:rPr>
              <w:t>既往 PCI 术后功能学预后研究多侧重单一功能学指标或以靶血管导向结局，较少在临床危险因素和 OCT 解剖信息基础上同时评价 Angio-FFR 与 Angio-IMR 的预后价值。本研究将临床危险因素、OCT 解剖参数及术后 Angio-FFR、Angio-IMR 纳入同一分析框架，并在传统患者导向复合终点中纳入 PCI 术后不稳定型心绞痛住院和心力衰竭住院等临床常见残余风险事件，构建 改良患者导向复合终点（mPOCE）作为主要结局，评价两项造影衍生的术后功能学指标的独立及增量预测价值，并探索 OCT 优化状态对其预后关联的修饰作用，为在解剖学达标之后进一步识别术后高残余风险患者提供依据。</w:t>
            </w:r>
          </w:p>
          <w:p w14:paraId="7653D62C">
            <w:pPr>
              <w:pStyle w:val="2"/>
              <w:rPr>
                <w:lang w:val="en-US" w:eastAsia="zh-CN"/>
              </w:rPr>
            </w:pPr>
          </w:p>
          <w:p w14:paraId="1BA3E1C8">
            <w:pPr>
              <w:pStyle w:val="2"/>
              <w:rPr>
                <w:lang w:val="en-US" w:eastAsia="zh-CN"/>
              </w:rPr>
            </w:pPr>
          </w:p>
          <w:p w14:paraId="6654EF06">
            <w:pPr>
              <w:pStyle w:val="2"/>
              <w:rPr>
                <w:lang w:val="en-US" w:eastAsia="zh-CN"/>
              </w:rPr>
            </w:pPr>
          </w:p>
          <w:p w14:paraId="74FB50D6">
            <w:pPr>
              <w:pStyle w:val="2"/>
              <w:rPr>
                <w:lang w:val="en-US" w:eastAsia="zh-CN"/>
              </w:rPr>
            </w:pPr>
          </w:p>
          <w:p w14:paraId="73845A58">
            <w:pPr>
              <w:pStyle w:val="2"/>
              <w:rPr>
                <w:lang w:val="en-US" w:eastAsia="zh-CN"/>
              </w:rPr>
            </w:pPr>
          </w:p>
          <w:p w14:paraId="3BB435C2">
            <w:pPr>
              <w:pStyle w:val="2"/>
              <w:rPr>
                <w:lang w:val="en-US" w:eastAsia="zh-CN"/>
              </w:rPr>
            </w:pPr>
          </w:p>
          <w:p w14:paraId="01B40AA4">
            <w:pPr>
              <w:pStyle w:val="2"/>
              <w:rPr>
                <w:lang w:val="en-US" w:eastAsia="zh-CN"/>
              </w:rPr>
            </w:pPr>
          </w:p>
          <w:p w14:paraId="6A4BDDA6">
            <w:pPr>
              <w:pStyle w:val="2"/>
              <w:rPr>
                <w:lang w:val="en-US" w:eastAsia="zh-CN"/>
              </w:rPr>
            </w:pPr>
          </w:p>
          <w:p w14:paraId="00935E41">
            <w:pPr>
              <w:pStyle w:val="2"/>
              <w:rPr>
                <w:lang w:val="en-US" w:eastAsia="zh-CN"/>
              </w:rPr>
            </w:pPr>
          </w:p>
          <w:p w14:paraId="636AFBE5">
            <w:pPr>
              <w:pStyle w:val="2"/>
              <w:rPr>
                <w:lang w:val="en-US" w:eastAsia="zh-CN"/>
              </w:rPr>
            </w:pPr>
          </w:p>
          <w:p w14:paraId="71EC42C4">
            <w:pPr>
              <w:pStyle w:val="2"/>
              <w:rPr>
                <w:lang w:val="en-US" w:eastAsia="zh-CN"/>
              </w:rPr>
            </w:pPr>
          </w:p>
          <w:p w14:paraId="5736542F">
            <w:pPr>
              <w:pStyle w:val="2"/>
              <w:rPr>
                <w:lang w:val="en-US" w:eastAsia="zh-CN"/>
              </w:rPr>
            </w:pPr>
          </w:p>
          <w:p w14:paraId="4EBC3949">
            <w:pPr>
              <w:pStyle w:val="2"/>
              <w:rPr>
                <w:lang w:val="en-US" w:eastAsia="zh-CN"/>
              </w:rPr>
            </w:pPr>
          </w:p>
          <w:p w14:paraId="5640FE2C">
            <w:pPr>
              <w:pStyle w:val="2"/>
              <w:rPr>
                <w:lang w:val="en-US" w:eastAsia="zh-CN"/>
              </w:rPr>
            </w:pPr>
          </w:p>
          <w:p w14:paraId="4050573A">
            <w:pPr>
              <w:pStyle w:val="2"/>
              <w:rPr>
                <w:lang w:val="en-US" w:eastAsia="zh-CN"/>
              </w:rPr>
            </w:pPr>
          </w:p>
          <w:p w14:paraId="132910BD">
            <w:pPr>
              <w:pStyle w:val="2"/>
              <w:rPr>
                <w:lang w:val="en-US" w:eastAsia="zh-CN"/>
              </w:rPr>
            </w:pPr>
          </w:p>
          <w:p w14:paraId="659C232F">
            <w:pPr>
              <w:pStyle w:val="2"/>
              <w:rPr>
                <w:lang w:val="en-US" w:eastAsia="zh-CN"/>
              </w:rPr>
            </w:pPr>
          </w:p>
          <w:p w14:paraId="6C7CBCBF">
            <w:pPr>
              <w:pStyle w:val="2"/>
              <w:rPr>
                <w:lang w:val="en-US" w:eastAsia="zh-CN"/>
              </w:rPr>
            </w:pPr>
          </w:p>
          <w:p w14:paraId="0C0A9A62">
            <w:pPr>
              <w:pStyle w:val="2"/>
              <w:rPr>
                <w:lang w:val="en-US" w:eastAsia="zh-CN"/>
              </w:rPr>
            </w:pPr>
          </w:p>
          <w:p w14:paraId="4F2EB0C2">
            <w:pPr>
              <w:pStyle w:val="2"/>
              <w:rPr>
                <w:lang w:val="en-US" w:eastAsia="zh-CN"/>
              </w:rPr>
            </w:pPr>
          </w:p>
          <w:p w14:paraId="6AAC528F">
            <w:pPr>
              <w:pStyle w:val="2"/>
              <w:rPr>
                <w:lang w:val="en-US" w:eastAsia="zh-CN"/>
              </w:rPr>
            </w:pPr>
          </w:p>
          <w:p w14:paraId="022FCE9B">
            <w:pPr>
              <w:pStyle w:val="2"/>
              <w:rPr>
                <w:lang w:val="en-US" w:eastAsia="zh-CN"/>
              </w:rPr>
            </w:pPr>
          </w:p>
          <w:p w14:paraId="1031C850">
            <w:pPr>
              <w:pStyle w:val="2"/>
              <w:rPr>
                <w:lang w:val="en-US" w:eastAsia="zh-CN"/>
              </w:rPr>
            </w:pPr>
          </w:p>
          <w:p w14:paraId="2F068D4B">
            <w:pPr>
              <w:pStyle w:val="2"/>
              <w:rPr>
                <w:lang w:val="en-US" w:eastAsia="zh-CN"/>
              </w:rPr>
            </w:pPr>
          </w:p>
          <w:p w14:paraId="6828025D">
            <w:pPr>
              <w:pStyle w:val="2"/>
              <w:rPr>
                <w:lang w:val="en-US" w:eastAsia="zh-CN"/>
              </w:rPr>
            </w:pPr>
          </w:p>
          <w:p w14:paraId="06DBB233">
            <w:pPr>
              <w:pStyle w:val="2"/>
              <w:rPr>
                <w:lang w:val="en-US" w:eastAsia="zh-CN"/>
              </w:rPr>
            </w:pPr>
          </w:p>
        </w:tc>
      </w:tr>
      <w:tr w14:paraId="3A7EFC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8504" w:type="dxa"/>
            <w:tcBorders>
              <w:left w:val="single" w:color="auto" w:sz="12" w:space="0"/>
              <w:right w:val="single" w:color="auto" w:sz="12" w:space="0"/>
            </w:tcBorders>
            <w:shd w:val="clear" w:color="auto" w:fill="auto"/>
          </w:tcPr>
          <w:p w14:paraId="06EF2E5A">
            <w:pPr>
              <w:pStyle w:val="Heading1"/>
            </w:pPr>
            <w:r>
              <w:t>四、课题研究的方法</w:t>
            </w:r>
            <w:r>
              <w:t>及</w:t>
            </w:r>
            <w:r>
              <w:t>技术路线</w:t>
            </w:r>
          </w:p>
          <w:p w14:paraId="76D41F46">
            <w:pPr>
              <w:pStyle w:val="Heading2"/>
              <w:keepNext w:val="0"/>
              <w:keepLines w:val="0"/>
              <w:widowControl/>
              <w:suppressLineNumbers w:val="0"/>
              <w:rPr>
                <w:lang w:val="en-US" w:eastAsia="zh-CN"/>
              </w:rPr>
            </w:pPr>
            <w:r>
              <w:rPr>
                <w:lang w:val="en-US" w:eastAsia="zh-CN"/>
              </w:rPr>
              <w:t>4.1 研究设计</w:t>
            </w:r>
          </w:p>
          <w:p w14:paraId="03866CD9">
            <w:pPr>
              <w:pStyle w:val="2"/>
              <w:keepNext w:val="0"/>
              <w:keepLines w:val="0"/>
              <w:widowControl/>
              <w:suppressLineNumbers w:val="0"/>
            </w:pPr>
            <w:r>
              <w:t>本研究为单中心、双向性、观察性队列研究，包括回顾性与前瞻性两个子队列。回顾性队列纳入 2020 年 1 月 1 日至 2026 年 3 月 31 日期间符合标准的既往病例；前瞻性队列纳入 2026 年 4 月 1 日至 2027 年 3 月 31 日期间符合标准的新入组病例。两队列采用统一的纳入、排除与剔除标准，以及统一的暴露测量、结局定义和事件判定流程，以提高资料可比性并支持合并分析。</w:t>
            </w:r>
          </w:p>
          <w:p w14:paraId="5241CF07">
            <w:pPr>
              <w:pStyle w:val="2"/>
              <w:keepNext w:val="0"/>
              <w:keepLines w:val="0"/>
              <w:widowControl/>
              <w:suppressLineNumbers w:val="0"/>
            </w:pPr>
            <w:r>
              <w:t>本研究以患者首次符合纳入标准的 OCT 指导 PCI 作为指数 PCI，并以该次 PCI 术后终末造影完成时点作为分析起点。主要暴露变量为指数 PCI 术后由终末造影衍生的 Angio-FFR 与 Angio-IMR，主要结局为术后 2 年改良患者导向复合终点（modified patient-oriented composite endpoint，mPOCE）。主分析基于合并队列完成，在校正临床危险因素与 OCT 解剖学参数的基础上，评价术后 Angio-FFR、Angio-IMR 与 2 年 mPOCE 的独立关联，并进一步评估其相对于基础模型的增量预测价值。OCT 优化状态对术后 Angio-FFR、Angio-IMR 与 mPOCE 关联的潜在修饰作用作为探索性分析。</w:t>
            </w:r>
          </w:p>
          <w:p w14:paraId="4E16BD22">
            <w:pPr>
              <w:pStyle w:val="Heading2"/>
              <w:keepNext w:val="0"/>
              <w:keepLines w:val="0"/>
              <w:widowControl/>
              <w:suppressLineNumbers w:val="0"/>
            </w:pPr>
            <w:r>
              <w:rPr>
                <w:rFonts w:hint="eastAsia"/>
                <w:lang w:val="en-US" w:eastAsia="zh-CN"/>
              </w:rPr>
              <w:t>4.2</w:t>
            </w:r>
            <w:r>
              <w:t>研究对象</w:t>
            </w:r>
          </w:p>
          <w:p w14:paraId="312CB019">
            <w:pPr>
              <w:pStyle w:val="2"/>
              <w:keepNext w:val="0"/>
              <w:keepLines w:val="0"/>
              <w:widowControl/>
              <w:suppressLineNumbers w:val="0"/>
            </w:pPr>
            <w:r>
              <w:t>本研究拟连续筛选于首都医科大学附属北京安贞医院接受 OCT 指导 PCI 的冠心病患者。对同一患者存在多次 OCT 指导 PCI 者，以 4.1章节 所定义的指数 PCI 作为分析起点。</w:t>
            </w:r>
          </w:p>
          <w:p w14:paraId="4561CB09">
            <w:pPr>
              <w:pStyle w:val="2"/>
              <w:keepNext w:val="0"/>
              <w:keepLines w:val="0"/>
              <w:widowControl/>
              <w:suppressLineNumbers w:val="0"/>
            </w:pPr>
            <w:r>
              <w:t>纳入标准：（1）年龄 ≥18 岁且 &lt;85 岁；（2）临床诊断为冠心病，并在 OCT 指导下完成药物洗脱支架（drug-eluting stent，DES）植入；（3）完成 PCI 术后终末造影并保存影像资料，且每支拟纳入功能学分析的靶血管至少具备两个投照角度分离 &gt;25° 的投照体位；（4）完成术后 OCT 评估并保存影像资料；（5）前瞻性队列患者自愿参加并签署书面知情同意书，回顾性队列按伦理委员会批准的知情同意豁免程序纳入。</w:t>
            </w:r>
          </w:p>
          <w:p w14:paraId="2E58064A">
            <w:pPr>
              <w:pStyle w:val="2"/>
              <w:keepNext w:val="0"/>
              <w:keepLines w:val="0"/>
              <w:widowControl/>
              <w:suppressLineNumbers w:val="0"/>
            </w:pPr>
            <w:r>
              <w:t>排除标准：（1）急性 ST 段抬高型心肌梗死（ST-segment elevation myocardial infarction，STEMI）直接或急诊罪犯血管 PCI；（2）心源性休克或需机械循环支持；（3）既往冠状动脉旁路移植术（coronary artery bypass grafting，CABG）史；（4）仅行球囊扩张而未植入支架；（5）严重手术并发症，包括术中死亡、急诊 CABG、需紧急处理的冠状动脉穿孔、经处理后仍持续无复流或 TIMI 血流 &lt;3 级以及明显影响结局解释的严重并发症；（6）所有 OCT 指导处理靶血管参考直径均 &lt;2.5 mm；（7）指数 PCI 前或住院期间评估提示严重心力衰竭〔纽约心脏协会（New York Heart Association，NYHA）心功能 Ⅲ~Ⅳ级，或左心室射血分数（left ventricular ejection fraction，LVEF）&lt;30%〕；（8）合并晚期恶性肿瘤、终末期器官功能衰竭或其他严重非心血管疾病，预期生存期 &lt;1 年。</w:t>
            </w:r>
          </w:p>
          <w:p w14:paraId="448F2072">
            <w:pPr>
              <w:pStyle w:val="2"/>
              <w:keepNext w:val="0"/>
              <w:keepLines w:val="0"/>
              <w:widowControl/>
              <w:suppressLineNumbers w:val="0"/>
            </w:pPr>
            <w:r>
              <w:t>剔除标准：（1）入组后或资料复核中发现不符合纳入标准或符合排除标准者；（2）前瞻性队列受试者撤回知情同意或主动退出研究；（3）经核心实验室影像质控确认造影图像质量不足以进行可靠功能学计算，包括投照体位不足、血管重叠或缩短、对比剂充盈不佳、帧频不符合软件分析要求等；（4）经核心实验室影像质控确认术后 OCT 图像不可分析，包括血液残留致信号衰减、严重伪影或关键节段遮挡等；（5）随访起点后无任何可用于确认生存状态或主要终点状态的门诊、住院、电话或电子随访记录，且经补充查询仍无法获得结局信息，致主要终点无法判定者。</w:t>
            </w:r>
          </w:p>
          <w:p w14:paraId="3782C5F0">
            <w:pPr>
              <w:pStyle w:val="Heading2"/>
              <w:keepNext w:val="0"/>
              <w:keepLines w:val="0"/>
              <w:widowControl/>
              <w:suppressLineNumbers w:val="0"/>
            </w:pPr>
            <w:r>
              <w:t>4.3 Angio-FFR与Angio-IMR测量方法</w:t>
            </w:r>
          </w:p>
          <w:p w14:paraId="217BA63D">
            <w:pPr>
              <w:pStyle w:val="2"/>
              <w:keepNext w:val="0"/>
              <w:keepLines w:val="0"/>
              <w:widowControl/>
              <w:suppressLineNumbers w:val="0"/>
            </w:pPr>
            <w:r>
              <w:t>指数 PCI 完成后，基于术后终末造影图像离线计算 Angio-FFR 和 Angio-IMR，分析血管为指数 PCI 中参考直径 ≥2.5 mm、接受 OCT 指导 DES 植入并满足核心实验室影像质控要求的靶血管。每支分析血管须具备至少 2 个投照角度分离 &gt;25° 的终末造影体位，采用 AccuIMR 1.0 版软件（ArteryFlow Technology, Hangzhou, Zhejiang, China）进行三维重建与血流动力学计算。分析人员经统一培训后按标准操作流程进行测量，疑难或质控存疑病例由第二名分析者复核，必要时讨论裁定。分析人员对患者临床资料和随访结局保持盲法。</w:t>
            </w:r>
          </w:p>
          <w:p w14:paraId="330FD237">
            <w:pPr>
              <w:pStyle w:val="2"/>
              <w:keepNext w:val="0"/>
              <w:keepLines w:val="0"/>
              <w:widowControl/>
              <w:suppressLineNumbers w:val="0"/>
            </w:pPr>
            <w:r>
              <w:t>所有符合条件的分析血管均记录血管水平 Angio-FFR 和 Angio-IMR。在患者水平分析中，若同一患者仅有 1 支符合条件的分析血管，则以该血管 Angio-FFR 和 Angio-IMR 作为患者水平暴露。若存在多支符合条件的分析血管，则分别取术后最低 Angio-FFR 和最高 Angio-IMR 作为患者水平 Angio-FFR 和 Angio-IMR，以代表患者术后最不利的心外膜功能学状态和微循环功能学状态。随机抽取 10% 分析血管进行重复测量，其中观察者内一致性由同一分析者间隔 ≥2 周后重复分析，观察者间一致性由另一名分析者独立分析，并采用组内相关系数（intraclass correlation coefficient，ICC）评价。</w:t>
            </w:r>
          </w:p>
          <w:p w14:paraId="686B7516">
            <w:pPr>
              <w:pStyle w:val="Heading2"/>
              <w:keepNext w:val="0"/>
              <w:keepLines w:val="0"/>
              <w:widowControl/>
              <w:suppressLineNumbers w:val="0"/>
            </w:pPr>
            <w:r>
              <w:t>4.4 OCT解剖学参数及优化标准</w:t>
            </w:r>
          </w:p>
          <w:p w14:paraId="6A4DF2A8">
            <w:pPr>
              <w:pStyle w:val="2"/>
              <w:keepNext w:val="0"/>
              <w:keepLines w:val="0"/>
              <w:widowControl/>
              <w:suppressLineNumbers w:val="0"/>
            </w:pPr>
            <w:r>
              <w:t>OCT 影像</w:t>
            </w:r>
            <w:r>
              <w:rPr>
                <w:rFonts w:hint="eastAsia"/>
                <w:lang w:val="en-US" w:eastAsia="zh-CN"/>
              </w:rPr>
              <w:t>的</w:t>
            </w:r>
            <w:r>
              <w:t>分析结果包括血管水平和患者水平。分析人员对患者临床资料和随访结局保持盲法，疑难病例由第二名分析者复核，必要时讨论裁定。</w:t>
            </w:r>
          </w:p>
          <w:p w14:paraId="339230B6">
            <w:pPr>
              <w:pStyle w:val="2"/>
              <w:keepNext w:val="0"/>
              <w:keepLines w:val="0"/>
              <w:widowControl/>
              <w:suppressLineNumbers w:val="0"/>
            </w:pPr>
            <w:r>
              <w:t>血管水平记录以下 OCT 解剖学参数：最小支架面积（minimum stent area，MSA）、近端与远端参考管腔面积、MSA/平均参考管腔面积、MSA/远端参考管腔面积、贴壁不良及其最大距离、边缘夹层及其长度/周径/深度，以及参考段残余病变。OCT 优化达标标准参照 OCCUPI-OCT 研究。血管水平 OCT 优化达标定义为同时满足以下三项：（1）支架膨胀达标：MSA ≥ 平均参考管腔面积的 80%，或 MSA ≥ 远端参考管腔面积的 100%，或绝对 MSA &gt;4.5 mm²；（2）支架贴壁达标：最大贴壁不良距离 &lt;400 μm；（3）无重大边缘夹层。重大边缘夹层定义为夹层瓣周径 ≥60°、夹层长度 ≥3 mm，或存在壁内血肿、累及中膜或外膜等深部血管损伤。</w:t>
            </w:r>
          </w:p>
          <w:p w14:paraId="06CAFA40">
            <w:pPr>
              <w:pStyle w:val="2"/>
              <w:keepNext w:val="0"/>
              <w:keepLines w:val="0"/>
              <w:widowControl/>
              <w:suppressLineNumbers w:val="0"/>
            </w:pPr>
            <w:r>
              <w:t>患者水平 OCT 参数由纳入分析靶血管汇总生成。若同一患者仅有 1 支符合条件的分析血管，则该血管 OCT 结果即为患者水平结果。若存在多支符合条件的分析血管，连续变量取最不利值，包括最低 MSA、最低 MSA/平均参考管腔面积、最低 MSA/远端参考管腔面积及最大贴壁不良距离；分类变量记录是否存在贴壁不良、重大边缘夹层或参考段残余病变。患者水平 OCT 优化状态按纳入分析靶血管综合判定：所有纳入分析靶血管均达标者判定为 OCT 优化达标，任一靶血管未达标者判定为未达标。</w:t>
            </w:r>
          </w:p>
          <w:p w14:paraId="220B364A">
            <w:pPr>
              <w:pStyle w:val="Heading2"/>
              <w:keepNext w:val="0"/>
              <w:keepLines w:val="0"/>
              <w:widowControl/>
              <w:suppressLineNumbers w:val="0"/>
            </w:pPr>
            <w:r>
              <w:t>4.5 结局定义与随访</w:t>
            </w:r>
          </w:p>
          <w:p w14:paraId="32D27374">
            <w:pPr>
              <w:pStyle w:val="2"/>
              <w:keepNext w:val="0"/>
              <w:keepLines w:val="0"/>
              <w:widowControl/>
              <w:suppressLineNumbers w:val="0"/>
            </w:pPr>
            <w:r>
              <w:t>主要结局为指数 PCI 后 2 年内发生的改良患者导向复合终点（modified patient-oriented composite endpoint，mPOCE），定义为全因死亡、靶血管相关心肌梗死、缺血驱动靶血管血运重建、不稳定型心绞痛住院或因心力衰竭住院任一事件的首次发生。同一患者发生多个组成事件时，以最早事件作为 mPOCE 事件时间，并记录各组成事件。</w:t>
            </w:r>
          </w:p>
          <w:p w14:paraId="30E337BF">
            <w:pPr>
              <w:pStyle w:val="2"/>
              <w:keepNext w:val="0"/>
              <w:keepLines w:val="0"/>
              <w:widowControl/>
              <w:suppressLineNumbers w:val="0"/>
            </w:pPr>
            <w:r>
              <w:t>靶血管相关心肌梗死定义为符合第四版心肌梗死通用定义，并经临床事件委员会判定责任血管为指数 PCI 中纳入分析靶血管的非围术期心肌梗死，包括自发性 1 型、靶血管支架血栓形成相关 4b 型及再狭窄相关 4c 型心肌梗死。缺血驱动靶血管血运重建定义为指数 PCI 后针对纳入分析靶血管实施的非计划再次 PCI 或 CABG，并具备有创 FFR ≤0.80、iFR ≤0.89，或造影直径狭窄 ≥50% 且伴缺血症状或客观缺血证据。</w:t>
            </w:r>
          </w:p>
          <w:p w14:paraId="114F52B8">
            <w:pPr>
              <w:pStyle w:val="2"/>
              <w:keepNext w:val="0"/>
              <w:keepLines w:val="0"/>
              <w:widowControl/>
              <w:suppressLineNumbers w:val="0"/>
            </w:pPr>
            <w:r>
              <w:t>不稳定型心绞痛住院定义为因静息或进行性加重的缺血性胸痛非计划住院，未达到心肌梗死诊断标准，并具备心电图改变、客观缺血证据或冠状动脉病变进展等支持证据。因心力衰竭住院定义为以心力衰竭为主要原因的非计划住院，具有心衰症状或体征，并有利钠肽、影像学或超声心动图证据支持，且住院期间接受强化抗心衰治疗。</w:t>
            </w:r>
          </w:p>
          <w:p w14:paraId="383BF622">
            <w:pPr>
              <w:pStyle w:val="2"/>
              <w:keepNext w:val="0"/>
              <w:keepLines w:val="0"/>
              <w:widowControl/>
              <w:suppressLineNumbers w:val="0"/>
            </w:pPr>
            <w:r>
              <w:t>次要结局包括 mPOCE 各组成事件、靶血管导向复合终点及心绞痛相关健康状态。靶血管导向复合终点定义为靶血管相关心肌梗死与缺血驱动靶血管血运重建的复合事件。心绞痛相关健康状态采用西雅图心绞痛问卷 19 项版（Seattle Angina Questionnaire-19，SAQ-19）评估。</w:t>
            </w:r>
          </w:p>
          <w:p w14:paraId="088B8A9B">
            <w:pPr>
              <w:pStyle w:val="2"/>
              <w:keepNext w:val="0"/>
              <w:keepLines w:val="0"/>
              <w:widowControl/>
              <w:suppressLineNumbers w:val="0"/>
            </w:pPr>
            <w:r>
              <w:t>随访自指数 PCI 术后终末造影完成时点开始，主要随访窗口为 2 年。前瞻性队列计划固定随访 2 年；回顾性队列根据既往病历及随访资料追踪至事件发生、死亡、末次确认无事件日期或本研究预设的数据截止日期。2 年后发生的事件不计入主要结局分析；2 年内未发生主要终点者，随访超过 2 年时在术后 2 年删失，随访不足 2 年时在末次确认无事件日期删失并纳入 Cox 生存分析；随访起点后完全无有效随访信息者按剔除标准处理。</w:t>
            </w:r>
          </w:p>
          <w:p w14:paraId="728ECE80">
            <w:pPr>
              <w:pStyle w:val="2"/>
              <w:keepNext w:val="0"/>
              <w:keepLines w:val="0"/>
              <w:widowControl/>
              <w:suppressLineNumbers w:val="0"/>
            </w:pPr>
            <w:r>
              <w:t>随访信息通过安贞医院随访中心电话随访和医院电子病历获取，必要时补充外院住院资料、检查报告、介入或手术记录、死亡证明等原始资料。所有终点事件由独立临床事件委员会（clinical events committee，CEC）依预设定义盲法裁定，裁定时不提供本研究离线计算的 Angio-FFR、Angio-IMR 及 OCT 分析结果</w:t>
            </w:r>
            <w:r>
              <w:rPr>
                <w:rFonts w:hint="eastAsia"/>
                <w:lang w:eastAsia="zh-CN"/>
              </w:rPr>
              <w:t>，</w:t>
            </w:r>
            <w:r>
              <w:t>分歧经讨论达成一致。</w:t>
            </w:r>
          </w:p>
          <w:p w14:paraId="2F47EC92">
            <w:pPr>
              <w:pStyle w:val="Heading2"/>
              <w:keepNext w:val="0"/>
              <w:keepLines w:val="0"/>
              <w:widowControl/>
              <w:suppressLineNumbers w:val="0"/>
              <w:rPr>
                <w:lang w:val="en-US" w:eastAsia="zh-CN"/>
              </w:rPr>
            </w:pPr>
            <w:r>
              <w:t>4.6 协变量</w:t>
            </w:r>
            <w:r>
              <w:rPr>
                <w:rFonts w:hint="eastAsia"/>
                <w:lang w:val="en-US" w:eastAsia="zh-CN"/>
              </w:rPr>
              <w:t>选择</w:t>
            </w:r>
            <w:r>
              <w:t>与</w:t>
            </w:r>
            <w:r>
              <w:rPr>
                <w:rFonts w:hint="eastAsia"/>
                <w:lang w:val="en-US" w:eastAsia="zh-CN"/>
              </w:rPr>
              <w:t>调整</w:t>
            </w:r>
          </w:p>
          <w:p w14:paraId="20A56D1C">
            <w:pPr>
              <w:pStyle w:val="2"/>
              <w:keepNext w:val="0"/>
              <w:keepLines w:val="0"/>
              <w:widowControl/>
              <w:suppressLineNumbers w:val="0"/>
            </w:pPr>
            <w:r>
              <w:t>本研究协变量依据临床意义、既往证据、数据可获得性及事件数限制预先确定，不以单因素分析 P 值作为主模型纳入依据。鉴于预期 2 年 mPOCE 发生率约为 8%–10%，主模型采用简约调整策略，以降低过度拟合风险。</w:t>
            </w:r>
          </w:p>
          <w:p w14:paraId="6C56DCF3">
            <w:pPr>
              <w:pStyle w:val="2"/>
              <w:keepNext w:val="0"/>
              <w:keepLines w:val="0"/>
              <w:widowControl/>
              <w:suppressLineNumbers w:val="0"/>
            </w:pPr>
            <w:r>
              <w:t>本研究以患者为分析单位，患者水平 Angio-FFR、Angio-IMR 暴露变量及 OCT 优化状态按 4.3 章节和 4.4 章节所述规则生成。主分析基础模型预设 5 个协变量：年龄、糖尿病、左心室射血分数（left ventricular ejection fraction，LVEF）、残余 SYNTAX 评分（residual SYNTAX score，rSS）及患者水平 OCT 优化状态。扩展模型在基础模型上加入术后 Angio-FFR 和 Angio-IMR，用于评价二者在临床危险因素及 OCT 解剖评价基础上的独立关联及增量预测价值。主模型中 Angio-FFR 和 Angio-IMR 优先以连续变量进入，分类变量分析作为补充。</w:t>
            </w:r>
          </w:p>
          <w:p w14:paraId="69CF96A5">
            <w:pPr>
              <w:pStyle w:val="2"/>
              <w:keepNext w:val="0"/>
              <w:keepLines w:val="0"/>
              <w:widowControl/>
              <w:suppressLineNumbers w:val="0"/>
            </w:pPr>
            <w:r>
              <w:t>OCT 优化状态对 Angio-FFR、Angio-IMR 与 mPOCE 关联的修饰作用作为探索性分析。eGFR、急性/慢性冠脉综合征临床表现、队列来源、纳入分析靶血管数及具体 OCT 参数不纳入主模型，预设用于敏感性分析，以评估主分析结果的稳健性。</w:t>
            </w:r>
          </w:p>
          <w:p w14:paraId="4CEE3440">
            <w:pPr>
              <w:pStyle w:val="Heading2"/>
              <w:keepNext w:val="0"/>
              <w:keepLines w:val="0"/>
              <w:widowControl/>
              <w:suppressLineNumbers w:val="0"/>
            </w:pPr>
            <w:r>
              <w:t>4.7 样本量估算</w:t>
            </w:r>
          </w:p>
          <w:p w14:paraId="0BF9CB9A">
            <w:pPr>
              <w:pStyle w:val="2"/>
              <w:keepNext w:val="0"/>
              <w:keepLines w:val="0"/>
              <w:widowControl/>
              <w:suppressLineNumbers w:val="0"/>
            </w:pPr>
            <w:r>
              <w:t>本研究样本量按多变量 Cox 回归模型的事件变量比（events per variable，EPV）原则估算，以保证患者水平主模型回归系数估计的稳定性。主分析模型拟纳入年龄、糖尿病、LVEF、rSS、患者水平 OCT 优化状态、Angio-FFR 及 Angio-IMR 共 7 个变量，按每个变量 1 个自由度、EPV ≥12 估算，所需主要终点事件数至少为 84 例。其他变量用于敏感性或探索性分析，不计入主模型样本量估算。</w:t>
            </w:r>
          </w:p>
          <w:p w14:paraId="2ECD6D3F">
            <w:pPr>
              <w:pStyle w:val="2"/>
              <w:keepNext w:val="0"/>
              <w:keepLines w:val="0"/>
              <w:widowControl/>
              <w:suppressLineNumbers w:val="0"/>
            </w:pPr>
            <w:r>
              <w:t>主要结局为指数 PCI 后 2 年内发生的 mPOCE。结合 OCT 指导 PCI 人群既往事件率及本中心回顾性初步数据，预期 2 年 mPOCE 累积发生率约为 8%–10%。按较保守的 8% 估算，获得 84 例主要终点事件所需最低可分析样本量约为 1050 例，目标可分析样本量设定为约 1100 例。</w:t>
            </w:r>
          </w:p>
          <w:p w14:paraId="2ACB7C3D">
            <w:pPr>
              <w:pStyle w:val="2"/>
              <w:keepNext w:val="0"/>
              <w:keepLines w:val="0"/>
              <w:widowControl/>
              <w:suppressLineNumbers w:val="0"/>
            </w:pPr>
            <w:r>
              <w:t>为获得约 1100 例可分析样本量，按回顾性队列与前瞻性队列约 4:1 的比例配置可分析样本量，即回顾性队列约 880 例、前瞻性队列约 220 例。可分析样本需同时满足术后 OCT 图像可分析、终末造影可用于 Angio-FFR/Angio-IMR 计算及主要结局可判定三项要求。回顾性队列暂按各环节约 15% 不可用率估算，综合可用率约为 0.85 × 0.85 × 0.85 = 61%。前瞻性队列因可按预设流程采集影像和随访，暂按各环节约 10% 不可用率估算，综合可用率约为 0.90 × 0.90 × 0.90 = 73%。据此，获得上述可分析样本量约需筛选回顾性病例 1443 例、前瞻性病例 302 例，考虑实际筛选和质控波动，计划筛选总样本量约 1800 例，其中回顾性队列约 1470 例、前瞻性队列约 330 例。</w:t>
            </w:r>
          </w:p>
          <w:p w14:paraId="6D52AE10">
            <w:pPr>
              <w:pStyle w:val="Heading2"/>
              <w:keepNext w:val="0"/>
              <w:keepLines w:val="0"/>
              <w:widowControl/>
              <w:suppressLineNumbers w:val="0"/>
            </w:pPr>
            <w:r>
              <w:t>4.8 统计学分析</w:t>
            </w:r>
          </w:p>
          <w:p w14:paraId="6D058275">
            <w:pPr>
              <w:pStyle w:val="2"/>
              <w:keepNext w:val="0"/>
              <w:keepLines w:val="0"/>
              <w:widowControl/>
              <w:suppressLineNumbers w:val="0"/>
            </w:pPr>
            <w:r>
              <w:rPr>
                <w:rFonts w:hint="eastAsia"/>
                <w:lang w:eastAsia="zh-CN"/>
              </w:rPr>
              <w:t>（</w:t>
            </w:r>
            <w:r>
              <w:rPr>
                <w:rFonts w:hint="eastAsia"/>
                <w:lang w:val="en-US" w:eastAsia="zh-CN"/>
              </w:rPr>
              <w:t>1</w:t>
            </w:r>
            <w:r>
              <w:rPr>
                <w:rFonts w:hint="eastAsia"/>
                <w:lang w:eastAsia="zh-CN"/>
              </w:rPr>
              <w:t>）</w:t>
            </w:r>
            <w:r>
              <w:t>描述性统计与解剖–功能相关性分析</w:t>
            </w:r>
          </w:p>
          <w:p w14:paraId="69DC9396">
            <w:pPr>
              <w:pStyle w:val="2"/>
              <w:keepNext w:val="0"/>
              <w:keepLines w:val="0"/>
              <w:widowControl/>
              <w:suppressLineNumbers w:val="0"/>
            </w:pPr>
            <w:r>
              <w:t>连续变量根据分布特征以均数±标准差或中位数（四分位数间距）表示，分类变量以频数和百分比表示</w:t>
            </w:r>
            <w:r>
              <w:rPr>
                <w:rFonts w:hint="eastAsia"/>
                <w:lang w:eastAsia="zh-CN"/>
              </w:rPr>
              <w:t>。</w:t>
            </w:r>
            <w:r>
              <w:t>组间比较根据变量类型采用独立样本 t 检验、Mann–Whitney U 检验、χ² 检验或 Fisher 精确检验。描述术后 Angio-FFR、Angio-IMR 的连续分布及预设文献界值下异常比例</w:t>
            </w:r>
            <w:r>
              <w:rPr>
                <w:rFonts w:hint="eastAsia"/>
                <w:lang w:eastAsia="zh-CN"/>
              </w:rPr>
              <w:t>。</w:t>
            </w:r>
            <w:r>
              <w:t>界值优先采用预设文献界值，数据驱动截断值仅用于探索性分类分析，并标注为探索性阈值。</w:t>
            </w:r>
          </w:p>
          <w:p w14:paraId="48BDEA8E">
            <w:pPr>
              <w:pStyle w:val="2"/>
              <w:keepNext w:val="0"/>
              <w:keepLines w:val="0"/>
              <w:widowControl/>
              <w:suppressLineNumbers w:val="0"/>
            </w:pPr>
            <w:r>
              <w:t>解剖–功能相关性分析以 OCT 指导处理靶血管为分析单位，采用同血管对应分析，将每支靶血管的 Angio-FFR、Angio-IMR 分别与该血管预设 OCT 解剖学参数对应。对连续型 OCT 参数，采用 Spearman 秩相关分析评价其与 Angio-FFR、Angio-IMR 的相关性。对分类 OCT 参数，采用 Mann-Whitney U 检验比较不同解剖学特征组间 Angio-FFR、Angio-IMR 的分布差异。鉴于部分患者贡献多支靶血管，相关系数及组间差异的 95% 置信区间采用以患者为聚类单位的 bootstrap 方法估计，并以每例仅保留 1 支分析血管的结果作为敏感性分析。</w:t>
            </w:r>
          </w:p>
          <w:p w14:paraId="3ED6A1ED">
            <w:pPr>
              <w:pStyle w:val="2"/>
              <w:keepNext w:val="0"/>
              <w:keepLines w:val="0"/>
              <w:widowControl/>
              <w:suppressLineNumbers w:val="0"/>
            </w:pPr>
            <w:r>
              <w:rPr>
                <w:rFonts w:hint="eastAsia"/>
                <w:lang w:eastAsia="zh-CN"/>
              </w:rPr>
              <w:t>（</w:t>
            </w:r>
            <w:r>
              <w:rPr>
                <w:rFonts w:hint="eastAsia"/>
                <w:lang w:val="en-US" w:eastAsia="zh-CN"/>
              </w:rPr>
              <w:t>2</w:t>
            </w:r>
            <w:r>
              <w:rPr>
                <w:rFonts w:hint="eastAsia"/>
                <w:lang w:eastAsia="zh-CN"/>
              </w:rPr>
              <w:t>）</w:t>
            </w:r>
            <w:r>
              <w:t>主要分析:患者水平 mPOCE 预后模型与增量预测价值</w:t>
            </w:r>
          </w:p>
          <w:p w14:paraId="6A7E96D9">
            <w:pPr>
              <w:pStyle w:val="2"/>
              <w:keepNext w:val="0"/>
              <w:keepLines w:val="0"/>
              <w:widowControl/>
              <w:suppressLineNumbers w:val="0"/>
            </w:pPr>
            <w:r>
              <w:t>主分析采用 Cox 比例风险模型，结局为 2年评价窗口内首次发生的 mPOCE。模型 1 为基础模型，纳入年龄、糖尿病、LVEF、rSS 及患者水平 OCT 优化状态；模型 2a 在模型 1 基础上加入 Angio-FFR；模型 2b 在模型 1 基础上加入 Angio-IMR；模型 3 在模型 1 基础上同时加入 Angio-FFR 和 Angio-IMR，作为核心扩展模型。Angio-FFR 和 Angio-IMR 在主模型中以连续变量进入，基于预设界值的分类形式用于风险分层展示和探索性分析。在实际事件数和模型稳定性允许的情况下，采用限制性立方样条探索非线性关系。Cox 模型比例风险假定采用 Schoenfeld 残差检验评估。若核心暴露变量不满足该假定，则考虑时变系数模型，若协变量不满足该假定，则考虑分层 Cox 模型。Angio-FFR、Angio-IMR 与 OCT 变量间共线性采用相关系数及方差膨胀因子评估。</w:t>
            </w:r>
          </w:p>
          <w:p w14:paraId="57B0139B">
            <w:pPr>
              <w:pStyle w:val="2"/>
              <w:keepNext w:val="0"/>
              <w:keepLines w:val="0"/>
              <w:widowControl/>
              <w:suppressLineNumbers w:val="0"/>
            </w:pPr>
            <w:r>
              <w:t>Angio-FFR、Angio-IMR 的增量预测价值通过比较模型 1 与模型 2a、模型 2b 及模型 3 评价。模型拟合改善采用似然比检验评价；区分度采用 Harrell’s C-index 和 2 年时间依赖 AUC 评价；校准度采用 2 年校准曲线评价；临床净获益采用 2 年决策曲线分析（decision curve analysis，DCA）评价；再分类与判别改善采用连续净重新分类指数（net reclassification improvement，NRI）和综合判别改善指数（integrated discrimination improvement，IDI）评价。各指标报告估计值及 95% 置信区间，并采用 bootstrap 法进行内部验证和乐观偏倚校正。</w:t>
            </w:r>
          </w:p>
          <w:p w14:paraId="141248A3">
            <w:pPr>
              <w:pStyle w:val="2"/>
              <w:keepNext w:val="0"/>
              <w:keepLines w:val="0"/>
              <w:widowControl/>
              <w:suppressLineNumbers w:val="0"/>
            </w:pPr>
            <w:r>
              <w:rPr>
                <w:rFonts w:hint="eastAsia"/>
                <w:lang w:eastAsia="zh-CN"/>
              </w:rPr>
              <w:t>（</w:t>
            </w:r>
            <w:r>
              <w:rPr>
                <w:rFonts w:hint="eastAsia"/>
                <w:lang w:val="en-US" w:eastAsia="zh-CN"/>
              </w:rPr>
              <w:t>3</w:t>
            </w:r>
            <w:r>
              <w:rPr>
                <w:rFonts w:hint="eastAsia"/>
                <w:lang w:eastAsia="zh-CN"/>
              </w:rPr>
              <w:t>）</w:t>
            </w:r>
            <w:r>
              <w:t>OCT 优化状态的效应修饰分析</w:t>
            </w:r>
          </w:p>
          <w:p w14:paraId="32F8C6C9">
            <w:pPr>
              <w:pStyle w:val="2"/>
              <w:keepNext w:val="0"/>
              <w:keepLines w:val="0"/>
              <w:widowControl/>
              <w:suppressLineNumbers w:val="0"/>
            </w:pPr>
            <w:r>
              <w:t>OCT 优化状态对 Angio-FFR、Angio-IMR 预后价值的修饰作用作为探索性分析。患者水平分析在包含相应功能学指标、OCT 优化状态及预设协变量的 Cox 模型中，分别加入 Angio-FFR × OCT 优化状态和 Angio-IMR × OCT 优化状态交互项，报告交互 P 值及按 OCT 优化状态分层的 HR 和 95% 置信区间。</w:t>
            </w:r>
          </w:p>
          <w:p w14:paraId="70D0C757">
            <w:pPr>
              <w:pStyle w:val="2"/>
              <w:keepNext w:val="0"/>
              <w:keepLines w:val="0"/>
              <w:widowControl/>
              <w:suppressLineNumbers w:val="0"/>
            </w:pPr>
            <w:r>
              <w:rPr>
                <w:rFonts w:hint="eastAsia" w:ascii="宋体" w:hAnsi="宋体" w:cs="宋体"/>
                <w:lang w:eastAsia="zh-CN"/>
              </w:rPr>
              <w:t>（</w:t>
            </w:r>
            <w:r>
              <w:rPr>
                <w:rFonts w:hint="eastAsia" w:ascii="宋体" w:hAnsi="宋体" w:cs="宋体"/>
                <w:lang w:val="en-US" w:eastAsia="zh-CN"/>
              </w:rPr>
              <w:t>4</w:t>
            </w:r>
            <w:r>
              <w:rPr>
                <w:rFonts w:hint="eastAsia" w:ascii="宋体" w:hAnsi="宋体" w:cs="宋体"/>
                <w:lang w:eastAsia="zh-CN"/>
              </w:rPr>
              <w:t>）</w:t>
            </w:r>
            <w:r>
              <w:rPr>
                <w:rFonts w:ascii="宋体" w:hAnsi="宋体" w:eastAsia="宋体" w:cs="宋体"/>
              </w:rPr>
              <w:t>敏感性分析与缺失数据处理</w:t>
            </w:r>
          </w:p>
          <w:p w14:paraId="54E843DC">
            <w:pPr>
              <w:pStyle w:val="2"/>
              <w:keepNext w:val="0"/>
              <w:keepLines w:val="0"/>
              <w:widowControl/>
              <w:suppressLineNumbers w:val="0"/>
            </w:pPr>
            <w:r>
              <w:t>为评估 Angio-FFR、Angio-IMR 与 24 个月 mPOCE 关联估计的稳健性，预设开展以下敏感性分析：将患者水平 OCT 优化状态替换为预设的关键 OCT 参数，评估 OCT 优化状态二分界定对结果的影响；在模型中进一步调整分析靶血管数，评估多靶血管病例及患者水平暴露定义对结果的影响；按队列来源进行分层分析，评估双向性队列来源差异的影响；调整 eGFR、急性/慢性冠脉综合征临床表现等潜在混杂因素，评估残余混杂对结果的影响。报告各变量缺失比例及缺失模式，协变量缺失在缺失随机，采用多重插补处理，并以完整病例分析作为缺失数据敏感性分析。主要暴露变量（Angio-FFR、Angio-IMR）及主要结局不予插补，且不纳入相应分析，随访缺失按末次有效随访时间进行删失处理。</w:t>
            </w:r>
          </w:p>
          <w:p w14:paraId="7548CB63">
            <w:pPr>
              <w:pStyle w:val="Heading2"/>
              <w:keepNext w:val="0"/>
              <w:keepLines w:val="0"/>
              <w:widowControl/>
              <w:suppressLineNumbers w:val="0"/>
            </w:pPr>
            <w:r>
              <w:t>4.9 质量控制与伦理</w:t>
            </w:r>
          </w:p>
          <w:p w14:paraId="51B26803">
            <w:pPr>
              <w:pStyle w:val="2"/>
              <w:keepNext w:val="0"/>
              <w:keepLines w:val="0"/>
              <w:widowControl/>
              <w:suppressLineNumbers w:val="0"/>
              <w:rPr>
                <w:lang w:val="en-US" w:eastAsia="zh-CN"/>
              </w:rPr>
            </w:pPr>
            <w:r>
              <w:t>本研究对数据采集、影像分析、功能学计算、随访和终点判定实施全过程质量控制。研究遵循《赫尔辛基宣言》及临床研究质量管理相关原则，经本中心伦理委员会批准后实施（伦理批件号：KS2026015）。前瞻性队列患者于入组前签署书面知情同意书，回顾性队列按伦理委员会批准的知情同意豁免程序纳入。本研究为观察性研究，不改变患者常规诊疗流程，不额外施加治疗干预</w:t>
            </w:r>
            <w:r>
              <w:rPr>
                <w:rFonts w:hint="eastAsia"/>
                <w:lang w:val="en-US" w:eastAsia="zh-CN"/>
              </w:rPr>
              <w:t>。</w:t>
            </w:r>
          </w:p>
          <w:p w14:paraId="53309B8E">
            <w:pPr>
              <w:pStyle w:val="Heading2"/>
              <w:keepNext w:val="0"/>
              <w:keepLines w:val="0"/>
              <w:widowControl/>
              <w:suppressLineNumbers w:val="0"/>
              <w:rPr>
                <w:lang w:val="en-US" w:eastAsia="zh-CN"/>
              </w:rPr>
            </w:pPr>
            <w:r>
              <w:rPr>
                <w:lang w:val="en-US" w:eastAsia="zh-CN"/>
              </w:rPr>
              <w:t>4.10技术路线图</w:t>
            </w:r>
          </w:p>
          <w:p w14:paraId="3D020F79">
            <w:pPr>
              <w:pStyle w:val="2"/>
            </w:pPr>
            <w:r>
              <w:drawing>
                <wp:inline distT="0" distB="0" distL="114300" distR="114300">
                  <wp:extent cx="3934460" cy="47282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934460" cy="4728210"/>
                          </a:xfrm>
                          <a:prstGeom prst="rect">
                            <a:avLst/>
                          </a:prstGeom>
                          <a:noFill/>
                          <a:ln>
                            <a:noFill/>
                          </a:ln>
                        </pic:spPr>
                      </pic:pic>
                    </a:graphicData>
                  </a:graphic>
                </wp:inline>
              </w:drawing>
            </w:r>
          </w:p>
          <w:p w14:paraId="53D2E4FD">
            <w:pPr>
              <w:pStyle w:val="2"/>
              <w:wordWrap w:val="0"/>
            </w:pPr>
          </w:p>
          <w:p w14:paraId="5AAFC25F">
            <w:pPr>
              <w:pStyle w:val="2"/>
              <w:wordWrap w:val="0"/>
            </w:pPr>
          </w:p>
        </w:tc>
      </w:tr>
      <w:tr w14:paraId="5EFDBF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05" w:hRule="atLeast"/>
          <w:jc w:val="center"/>
        </w:trPr>
        <w:tc>
          <w:tcPr>
            <w:tcW w:w="8504" w:type="dxa"/>
            <w:tcBorders>
              <w:left w:val="single" w:color="auto" w:sz="12" w:space="0"/>
              <w:right w:val="single" w:color="auto" w:sz="12" w:space="0"/>
            </w:tcBorders>
            <w:shd w:val="clear" w:color="auto" w:fill="auto"/>
          </w:tcPr>
          <w:p w14:paraId="20AED7FB">
            <w:pPr>
              <w:pStyle w:val="Heading1"/>
            </w:pPr>
            <w:r>
              <w:t>五、课题前期研究基础或预实验结果及可行性分析</w:t>
            </w:r>
          </w:p>
          <w:p w14:paraId="16183E43">
            <w:pPr>
              <w:pStyle w:val="2"/>
            </w:pPr>
          </w:p>
          <w:p w14:paraId="64AAB0C0">
            <w:pPr>
              <w:pStyle w:val="2"/>
            </w:pPr>
          </w:p>
          <w:p w14:paraId="45717DAC">
            <w:pPr>
              <w:pStyle w:val="2"/>
            </w:pPr>
          </w:p>
          <w:p w14:paraId="7C3D58A4">
            <w:pPr>
              <w:pStyle w:val="2"/>
            </w:pPr>
          </w:p>
          <w:p w14:paraId="3315B338">
            <w:pPr>
              <w:pStyle w:val="2"/>
            </w:pPr>
          </w:p>
          <w:p w14:paraId="4FB078E6">
            <w:pPr>
              <w:pStyle w:val="2"/>
            </w:pPr>
          </w:p>
        </w:tc>
      </w:tr>
      <w:tr w14:paraId="75D57F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27" w:hRule="atLeast"/>
          <w:jc w:val="center"/>
        </w:trPr>
        <w:tc>
          <w:tcPr>
            <w:tcW w:w="8504" w:type="dxa"/>
            <w:tcBorders>
              <w:left w:val="single" w:color="auto" w:sz="12" w:space="0"/>
              <w:bottom w:val="single" w:color="auto" w:sz="4" w:space="0"/>
              <w:right w:val="single" w:color="auto" w:sz="12" w:space="0"/>
            </w:tcBorders>
            <w:shd w:val="clear" w:color="auto" w:fill="auto"/>
          </w:tcPr>
          <w:p w14:paraId="3789FA31">
            <w:pPr>
              <w:pStyle w:val="Heading1"/>
            </w:pPr>
            <w:r>
              <w:t>六、课题研究中关键问题及解决措施</w:t>
            </w:r>
          </w:p>
          <w:p w14:paraId="2781AC7B">
            <w:pPr>
              <w:pStyle w:val="2"/>
              <w:keepNext w:val="0"/>
              <w:keepLines w:val="0"/>
              <w:widowControl/>
              <w:suppressLineNumbers w:val="0"/>
            </w:pPr>
            <w:r>
              <w:t>（1）回顾性造影图像可分析性与选择偏倚</w:t>
            </w:r>
            <w:r>
              <w:br w:type="textWrapping"/>
            </w:r>
            <w:r>
              <w:t>本研究核心暴露 Angio-FFR 与 Angio-IMR 由术后终末造影图像离线计算，回顾性队列造影图像并非按功能学计算目的采集，可能存在投照体位、帧频、对比剂充盈或心动周期选择不满足软件分析要求的问题。若图像不可分析病例比例较高，可能导致可分析人群与目标人群在基线特征、病变复杂程度或预后风险方面存在系统差异，产生选择偏倚。</w:t>
            </w:r>
            <w:r>
              <w:br w:type="textWrapping"/>
            </w:r>
            <w:r>
              <w:t>应对措施：前瞻性队列按预设规范采集终末造影图像，回顾性队列按统一影像质控标准筛选，建立筛选日志，逐例记录剔除原因及比例，并比较纳入与剔除病例的可得基线特征，以评估选择偏倚的可能方向和程度。若实际剔除率明显高于预期，将评估其对有效样本量、事件数和结果外推性的影响，并在研究局限性中报告。</w:t>
            </w:r>
          </w:p>
          <w:p w14:paraId="105AAA1F">
            <w:pPr>
              <w:pStyle w:val="2"/>
              <w:keepNext w:val="0"/>
              <w:keepLines w:val="0"/>
              <w:widowControl/>
              <w:suppressLineNumbers w:val="0"/>
            </w:pPr>
            <w:r>
              <w:t>（2）事件数限制与模型稳定性</w:t>
            </w:r>
            <w:r>
              <w:br w:type="textWrapping"/>
            </w:r>
            <w:r>
              <w:t>本研究预计2年mPOCE 约 84 例，主模型拟纳入 7 个变量，EPV 约为 12，基本满足简约模型分析要求，但对于增量预测价值评价、交互作用分析及多个扩展模型比较，统计把握度仍可能不足，存在效应估计不稳定或增量价值被高估的风险。</w:t>
            </w:r>
            <w:r>
              <w:br w:type="textWrapping"/>
            </w:r>
            <w:r>
              <w:t>应对措施：主模型采用预设简约调整策略，协变量依据临床意义和既往证据预先确定，不依据单因素分析 P 值筛选。Angio-FFR 与 Angio-IMR 优先以连续变量进入模型，以保留信息量。增量预测指标采用 bootstrap 内部验证和乐观偏倚校正。OCT 优化状态的效应修饰分析预设为探索性分析。若实际事件数低于预期，将优先保证主模型稳定性，减少扩展调整变量和交互分析范围。</w:t>
            </w:r>
          </w:p>
          <w:p w14:paraId="770E7EF9">
            <w:pPr>
              <w:pStyle w:val="2"/>
              <w:keepNext w:val="0"/>
              <w:keepLines w:val="0"/>
              <w:widowControl/>
              <w:suppressLineNumbers w:val="0"/>
            </w:pPr>
            <w:r>
              <w:t>（3）功能学指标耦联与分析层级差异</w:t>
            </w:r>
            <w:r>
              <w:br w:type="textWrapping"/>
            </w:r>
            <w:r>
              <w:t>Angio-FFR 与 Angio-IMR 分别反映心外膜压力损失和微循环阻力状态，但二者存在一定血流动力学关联，微循环阻力异常可能影响 Angio-FFR 读数及其预后解释，若二者相关性较强，联合入模可能导致效应估计不稳定。此外，患者水平分析采用最低 Angio-FFR 与最高 Angio-IMR 代表术后最不利功能学状态，但二者及 OCT 未达标状态可能来源于不同靶血管，影响患者水平解剖—功能关系的解释。</w:t>
            </w:r>
            <w:r>
              <w:br w:type="textWrapping"/>
            </w:r>
            <w:r>
              <w:t>应对措施：通过相关分析和方差膨胀因子评估 Angio-FFR 与 Angio-IMR 的相关性及共线性；分别构建单指标模型和联合模型，比较效应估计在相互校正前后的稳定性。在血管水平开展同血管配对分析，作为患者水平分析的补充，报告最不利功能学指标与 OCT 未达标状态来源于同一靶血管的比例，并在单支 OCT 指导处理靶血管患者中重复分析，以明确患者水平与血管水平结果的解释边界</w:t>
            </w:r>
            <w:r>
              <w:rPr>
                <w:rFonts w:ascii="仿宋" w:hAnsi="仿宋" w:eastAsia="仿宋"/>
                <w:sz w:val="24"/>
                <w:szCs w:val="28"/>
              </w:rPr>
              <w:t>。</w:t>
            </w:r>
          </w:p>
          <w:p w14:paraId="05F56678">
            <w:pPr>
              <w:pStyle w:val="2"/>
            </w:pPr>
          </w:p>
          <w:p w14:paraId="0BB83EFB">
            <w:pPr>
              <w:pStyle w:val="2"/>
            </w:pPr>
          </w:p>
          <w:p w14:paraId="353DE611">
            <w:pPr>
              <w:pStyle w:val="2"/>
            </w:pPr>
          </w:p>
          <w:p w14:paraId="25CDCB1B">
            <w:pPr>
              <w:pStyle w:val="2"/>
            </w:pPr>
          </w:p>
          <w:p w14:paraId="34EAE6F8">
            <w:pPr>
              <w:pStyle w:val="2"/>
            </w:pPr>
          </w:p>
        </w:tc>
      </w:tr>
    </w:tbl>
    <w:p w14:paraId="356AA798">
      <w:pPr>
        <w:widowControl/>
        <w:jc w:val="left"/>
        <w:rPr>
          <w:rFonts w:ascii="宋体" w:hAnsi="宋体"/>
          <w:b/>
          <w:sz w:val="18"/>
          <w:szCs w:val="18"/>
        </w:rPr>
        <w:sectPr>
          <w:pgSz w:w="11906" w:h="16838"/>
          <w:pgMar w:top="1440" w:right="1800" w:bottom="1440" w:left="1800" w:header="851" w:footer="992" w:gutter="0"/>
          <w:cols w:space="425" w:num="1"/>
          <w:titlePg/>
          <w:docGrid w:type="lines" w:linePitch="312" w:charSpace="0"/>
        </w:sectPr>
      </w:pPr>
    </w:p>
    <w:p w14:paraId="0913A6AE">
      <w:pPr>
        <w:widowControl/>
        <w:jc w:val="left"/>
        <w:rPr>
          <w:rFonts w:ascii="宋体" w:hAnsi="宋体"/>
          <w:b/>
          <w:sz w:val="18"/>
          <w:szCs w:val="18"/>
        </w:rPr>
      </w:pPr>
    </w:p>
    <w:tbl>
      <w:tblPr>
        <w:tblStyle w:val="7"/>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504"/>
      </w:tblGrid>
      <w:tr w14:paraId="7CC0C0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504" w:type="dxa"/>
            <w:tcBorders>
              <w:top w:val="single" w:color="auto" w:sz="4" w:space="0"/>
            </w:tcBorders>
            <w:shd w:val="clear" w:color="auto" w:fill="auto"/>
          </w:tcPr>
          <w:p w14:paraId="4B8F50BA">
            <w:pPr>
              <w:pStyle w:val="Heading1"/>
              <w:rPr>
                <w:lang w:val="en-US" w:eastAsia="zh-CN"/>
              </w:rPr>
            </w:pPr>
            <w:r>
              <w:t>七、课题研究计划进度</w:t>
            </w:r>
          </w:p>
          <w:p w14:paraId="62761A19">
            <w:pPr>
              <w:pStyle w:val="2"/>
            </w:pPr>
            <w:r>
              <w:rPr>
                <w:lang w:val="en-US" w:eastAsia="zh-CN"/>
              </w:rPr>
              <w:t>1、</w:t>
            </w:r>
            <w:r>
              <w:t>2025.09～2025.11：查阅文献，明确研究问题，</w:t>
            </w:r>
            <w:r>
              <w:rPr>
                <w:lang w:val="en-US" w:eastAsia="zh-CN"/>
              </w:rPr>
              <w:t>制定</w:t>
            </w:r>
            <w:r>
              <w:t xml:space="preserve">研究方案。 </w:t>
            </w:r>
          </w:p>
          <w:p w14:paraId="1C7E5B80">
            <w:pPr>
              <w:pStyle w:val="2"/>
            </w:pPr>
            <w:r>
              <w:rPr>
                <w:lang w:val="en-US" w:eastAsia="zh-CN"/>
              </w:rPr>
              <w:t>2、</w:t>
            </w:r>
            <w:r>
              <w:t>2025.12～2026.03：完成伦理审批</w:t>
            </w:r>
            <w:r>
              <w:rPr>
                <w:lang w:val="en-US" w:eastAsia="zh-CN"/>
              </w:rPr>
              <w:t>及</w:t>
            </w:r>
            <w:r>
              <w:t>回顾性</w:t>
            </w:r>
            <w:r>
              <w:rPr>
                <w:lang w:val="en-US" w:eastAsia="zh-CN"/>
              </w:rPr>
              <w:t>队列数据收集</w:t>
            </w:r>
            <w:r>
              <w:t xml:space="preserve">。 </w:t>
            </w:r>
          </w:p>
          <w:p w14:paraId="74C6C7F5">
            <w:pPr>
              <w:pStyle w:val="2"/>
            </w:pPr>
            <w:r>
              <w:rPr>
                <w:rFonts w:hint="eastAsia" w:ascii="仿宋" w:hAnsi="仿宋" w:eastAsia="仿宋"/>
                <w:lang w:val="en-US" w:eastAsia="zh-CN"/>
              </w:rPr>
              <w:t>3、</w:t>
            </w:r>
            <w:r>
              <w:rPr>
                <w:rFonts w:ascii="仿宋" w:hAnsi="仿宋" w:eastAsia="仿宋"/>
              </w:rPr>
              <w:t>2026.04～2027.03：</w:t>
            </w:r>
            <w:r>
              <w:rPr>
                <w:rFonts w:ascii="宋体" w:hAnsi="宋体" w:eastAsia="宋体" w:cs="宋体"/>
              </w:rPr>
              <w:t>连续纳入前瞻性队列患者，并完成回顾性队列</w:t>
            </w:r>
            <w:r>
              <w:rPr>
                <w:rFonts w:hint="eastAsia" w:ascii="宋体" w:hAnsi="宋体" w:cs="宋体"/>
                <w:lang w:val="en-US" w:eastAsia="zh-CN"/>
              </w:rPr>
              <w:t>临床资料收集</w:t>
            </w:r>
            <w:r>
              <w:rPr>
                <w:rFonts w:ascii="宋体" w:hAnsi="宋体" w:eastAsia="宋体" w:cs="宋体"/>
              </w:rPr>
              <w:t>、影像分析及功能学测量</w:t>
            </w:r>
            <w:r>
              <w:rPr>
                <w:rFonts w:hint="eastAsia" w:ascii="宋体" w:hAnsi="宋体" w:cs="宋体"/>
                <w:lang w:eastAsia="zh-CN"/>
              </w:rPr>
              <w:t>、</w:t>
            </w:r>
            <w:r>
              <w:rPr>
                <w:rFonts w:hint="eastAsia" w:ascii="宋体" w:hAnsi="宋体" w:cs="宋体"/>
                <w:lang w:val="en-US" w:eastAsia="zh-CN"/>
              </w:rPr>
              <w:t>终点事件随访</w:t>
            </w:r>
            <w:r>
              <w:rPr>
                <w:rFonts w:ascii="宋体" w:hAnsi="宋体" w:eastAsia="宋体" w:cs="宋体"/>
              </w:rPr>
              <w:t>。</w:t>
            </w:r>
            <w:r>
              <w:rPr>
                <w:rFonts w:ascii="仿宋" w:hAnsi="仿宋" w:eastAsia="仿宋"/>
              </w:rPr>
              <w:t xml:space="preserve"> </w:t>
            </w:r>
          </w:p>
          <w:p w14:paraId="0AE2E6E2">
            <w:pPr>
              <w:pStyle w:val="2"/>
            </w:pPr>
            <w:r>
              <w:rPr>
                <w:rFonts w:hint="eastAsia" w:ascii="仿宋" w:hAnsi="仿宋" w:eastAsia="仿宋"/>
                <w:lang w:val="en-US" w:eastAsia="zh-CN"/>
              </w:rPr>
              <w:t>4、</w:t>
            </w:r>
            <w:r>
              <w:rPr>
                <w:rFonts w:ascii="仿宋" w:hAnsi="仿宋" w:eastAsia="仿宋"/>
              </w:rPr>
              <w:t>2027.04～2029.03：</w:t>
            </w:r>
            <w:r>
              <w:rPr>
                <w:rFonts w:ascii="宋体" w:hAnsi="宋体" w:eastAsia="宋体" w:cs="宋体"/>
              </w:rPr>
              <w:t>完成前瞻性队</w:t>
            </w:r>
            <w:r>
              <w:rPr>
                <w:rFonts w:hint="eastAsia" w:ascii="宋体" w:hAnsi="宋体" w:cs="宋体"/>
                <w:lang w:val="en-US" w:eastAsia="zh-CN"/>
              </w:rPr>
              <w:t>列</w:t>
            </w:r>
            <w:r>
              <w:rPr>
                <w:rFonts w:ascii="宋体" w:hAnsi="宋体" w:eastAsia="宋体" w:cs="宋体"/>
              </w:rPr>
              <w:t>随访</w:t>
            </w:r>
            <w:r>
              <w:rPr>
                <w:rFonts w:hint="eastAsia" w:ascii="宋体" w:hAnsi="宋体" w:cs="宋体"/>
                <w:lang w:eastAsia="zh-CN"/>
              </w:rPr>
              <w:t>、</w:t>
            </w:r>
            <w:r>
              <w:rPr>
                <w:rFonts w:ascii="宋体" w:hAnsi="宋体" w:eastAsia="宋体" w:cs="宋体"/>
              </w:rPr>
              <w:t>终点事件裁定及数据质量核查</w:t>
            </w:r>
            <w:r>
              <w:rPr>
                <w:rFonts w:ascii="仿宋" w:hAnsi="仿宋" w:eastAsia="仿宋"/>
              </w:rPr>
              <w:t xml:space="preserve">。 </w:t>
            </w:r>
          </w:p>
          <w:p w14:paraId="245E68F1">
            <w:pPr>
              <w:pStyle w:val="2"/>
            </w:pPr>
            <w:r>
              <w:rPr>
                <w:lang w:val="en-US" w:eastAsia="zh-CN"/>
              </w:rPr>
              <w:t>5、</w:t>
            </w:r>
            <w:r>
              <w:t>2029.04～2029.08：</w:t>
            </w:r>
            <w:r>
              <w:rPr>
                <w:lang w:val="en-US" w:eastAsia="zh-CN"/>
              </w:rPr>
              <w:t>整理与分析前瞻性队列和回顾性队列数据，完成</w:t>
            </w:r>
            <w:r>
              <w:t>论文撰写。</w:t>
            </w:r>
          </w:p>
          <w:p w14:paraId="35FA7BA5">
            <w:pPr>
              <w:pStyle w:val="2"/>
            </w:pPr>
          </w:p>
          <w:p w14:paraId="45768621">
            <w:pPr>
              <w:pStyle w:val="2"/>
            </w:pPr>
          </w:p>
          <w:p w14:paraId="7D313148">
            <w:pPr>
              <w:pStyle w:val="2"/>
            </w:pPr>
          </w:p>
          <w:p w14:paraId="4DB219D0">
            <w:pPr>
              <w:pStyle w:val="2"/>
            </w:pPr>
          </w:p>
        </w:tc>
      </w:tr>
      <w:tr w14:paraId="34DB53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8504" w:type="dxa"/>
            <w:shd w:val="clear" w:color="auto" w:fill="auto"/>
          </w:tcPr>
          <w:p w14:paraId="274C4943">
            <w:pPr>
              <w:pStyle w:val="Heading1"/>
            </w:pPr>
            <w:r>
              <w:t>八、预期研究成果</w:t>
            </w:r>
          </w:p>
          <w:p w14:paraId="20F06AA0">
            <w:pPr>
              <w:pStyle w:val="2"/>
              <w:keepNext w:val="0"/>
              <w:keepLines w:val="0"/>
              <w:widowControl/>
              <w:suppressLineNumbers w:val="0"/>
            </w:pPr>
            <w:r>
              <w:t>（1）形成 OCT 指导 PCI 术后解剖与功能关系的描述性结果。</w:t>
            </w:r>
          </w:p>
          <w:p w14:paraId="79C700F9">
            <w:pPr>
              <w:pStyle w:val="2"/>
              <w:keepNext w:val="0"/>
              <w:keepLines w:val="0"/>
              <w:widowControl/>
              <w:suppressLineNumbers w:val="0"/>
            </w:pPr>
            <w:r>
              <w:t>获得 OCT 指导 PCI 术后患者 Angio-FFR 与 Angio-IMR 的分布特征、异常检出率及二者相关性，分析其与 OCT 解剖学参数及 OCT 优化状态之间的一致性与差异性，为认识术后“解剖学达标但功能学异常”这一解剖与功能不匹配现象提供依据。</w:t>
            </w:r>
          </w:p>
          <w:p w14:paraId="566FB0E8">
            <w:pPr>
              <w:pStyle w:val="2"/>
              <w:keepNext w:val="0"/>
              <w:keepLines w:val="0"/>
              <w:widowControl/>
              <w:numPr>
                <w:ilvl w:val="0"/>
                <w:numId w:val="4"/>
              </w:numPr>
              <w:suppressLineNumbers w:val="0"/>
            </w:pPr>
            <w:r>
              <w:t>评价 Angio-FFR 与 Angio-IMR 的预后价值。</w:t>
            </w:r>
          </w:p>
          <w:p w14:paraId="55F58ECA">
            <w:pPr>
              <w:pStyle w:val="2"/>
              <w:keepNext w:val="0"/>
              <w:keepLines w:val="0"/>
              <w:widowControl/>
              <w:numPr>
                <w:numId w:val="0"/>
              </w:numPr>
              <w:suppressLineNumbers w:val="0"/>
            </w:pPr>
            <w:r>
              <w:t>明确术后 Angio-FFR、Angio-IMR 与 2 年改良患者导向复合终点（mPOCE）的关联强度及剂量—反应关系，评价其在临床危险因素和 OCT 解剖信息基础上的独立及增量预测价值，形成模型区分度、校准度、重分类能力及临床净获益等定量结果。</w:t>
            </w:r>
          </w:p>
          <w:p w14:paraId="251E0B12">
            <w:pPr>
              <w:pStyle w:val="2"/>
              <w:keepNext w:val="0"/>
              <w:keepLines w:val="0"/>
              <w:widowControl/>
              <w:suppressLineNumbers w:val="0"/>
            </w:pPr>
            <w:r>
              <w:t>（3）探索 OCT 优化状态对功能学指标预后关联的修饰作用。</w:t>
            </w:r>
          </w:p>
          <w:p w14:paraId="4DAC8752">
            <w:pPr>
              <w:pStyle w:val="2"/>
              <w:keepNext w:val="0"/>
              <w:keepLines w:val="0"/>
              <w:widowControl/>
              <w:suppressLineNumbers w:val="0"/>
            </w:pPr>
            <w:r>
              <w:t>分别评价 Angio-FFR 或 Angio-IMR 与 mPOCE 的关联是否受 OCT 优化状态修饰，为识别解剖学达标后仍处于较高残余风险的患者提供依据。</w:t>
            </w:r>
          </w:p>
          <w:p w14:paraId="3289D579">
            <w:pPr>
              <w:pStyle w:val="2"/>
            </w:pPr>
          </w:p>
          <w:p w14:paraId="1657213C">
            <w:pPr>
              <w:pStyle w:val="2"/>
            </w:pPr>
          </w:p>
          <w:p w14:paraId="679D6021">
            <w:pPr>
              <w:pStyle w:val="2"/>
            </w:pPr>
          </w:p>
          <w:p w14:paraId="7433F49F">
            <w:pPr>
              <w:pStyle w:val="2"/>
            </w:pPr>
          </w:p>
          <w:p w14:paraId="46921C9F">
            <w:pPr>
              <w:pStyle w:val="2"/>
            </w:pPr>
          </w:p>
        </w:tc>
      </w:tr>
      <w:tr w14:paraId="7C7132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504" w:type="dxa"/>
            <w:shd w:val="clear" w:color="auto" w:fill="auto"/>
          </w:tcPr>
          <w:p w14:paraId="4AAC0C5B">
            <w:pPr>
              <w:pStyle w:val="Heading1"/>
            </w:pPr>
            <w:r>
              <w:t>九、课题经费预算</w:t>
            </w:r>
          </w:p>
          <w:p w14:paraId="4B2C3CD0">
            <w:pPr>
              <w:pStyle w:val="2"/>
            </w:pPr>
            <w:r>
              <w:t>（如</w:t>
            </w:r>
            <w:r>
              <w:t>需仪器设备和试剂</w:t>
            </w:r>
            <w:r>
              <w:t>者</w:t>
            </w:r>
            <w:r>
              <w:t>请写出</w:t>
            </w:r>
            <w:r>
              <w:t>所需</w:t>
            </w:r>
            <w:r>
              <w:t>的主要仪器设备和试剂</w:t>
            </w:r>
            <w:r>
              <w:t>）</w:t>
            </w:r>
          </w:p>
          <w:p w14:paraId="686BEE19">
            <w:pPr>
              <w:pStyle w:val="2"/>
              <w:rPr>
                <w:lang w:val="en-US" w:eastAsia="zh-CN"/>
              </w:rPr>
            </w:pPr>
            <w:r>
              <w:rPr>
                <w:lang w:val="en-US" w:eastAsia="zh-CN"/>
              </w:rPr>
              <w:t>随访费用：1800*25=4.5万。</w:t>
            </w:r>
          </w:p>
          <w:p w14:paraId="15FAED55">
            <w:pPr>
              <w:pStyle w:val="2"/>
            </w:pPr>
          </w:p>
          <w:p w14:paraId="38D6CF9A">
            <w:pPr>
              <w:pStyle w:val="2"/>
            </w:pPr>
          </w:p>
          <w:p w14:paraId="7FE7E4CF">
            <w:pPr>
              <w:pStyle w:val="2"/>
            </w:pPr>
          </w:p>
          <w:p w14:paraId="09BCBEA5">
            <w:pPr>
              <w:pStyle w:val="2"/>
            </w:pPr>
          </w:p>
        </w:tc>
      </w:tr>
      <w:tr w14:paraId="2379F4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15" w:hRule="atLeast"/>
          <w:jc w:val="center"/>
        </w:trPr>
        <w:tc>
          <w:tcPr>
            <w:tcW w:w="8504" w:type="dxa"/>
            <w:shd w:val="clear" w:color="auto" w:fill="auto"/>
          </w:tcPr>
          <w:p w14:paraId="7D118655">
            <w:pPr>
              <w:pStyle w:val="Heading1"/>
            </w:pPr>
            <w:r>
              <w:t>十、参考文献</w:t>
            </w:r>
          </w:p>
          <w:p w14:paraId="3B3618D6">
            <w:pPr>
              <w:pStyle w:val="Reference"/>
              <w:rPr>
                <w:kern w:val="2"/>
                <w:lang w:val="en-US" w:eastAsia="zh-CN" w:bidi="ar-SA"/>
              </w:rPr>
            </w:pPr>
            <w:r>
              <w:rPr>
                <w:kern w:val="2"/>
                <w:lang w:val="en-US" w:eastAsia="zh-CN" w:bidi="ar-SA"/>
              </w:rPr>
              <w:t>[1] Ali ZA, Landmesser U, Maehara A, et al. Optical coherence tomography-guided versus angiography-guided coronary stent implantation. N Engl J Med. 2023;389(16):1466-1476. doi: 10.1056/NEJMoa2305861. PMID: 37634188.</w:t>
            </w:r>
          </w:p>
          <w:p w14:paraId="22D0F7D6">
            <w:pPr>
              <w:pStyle w:val="Reference"/>
              <w:rPr>
                <w:kern w:val="2"/>
                <w:lang w:val="en-US" w:eastAsia="zh-CN" w:bidi="ar-SA"/>
              </w:rPr>
            </w:pPr>
            <w:r>
              <w:rPr>
                <w:kern w:val="2"/>
                <w:lang w:val="en-US" w:eastAsia="zh-CN" w:bidi="ar-SA"/>
              </w:rPr>
              <w:t>[2] Adel SMH, Jorfi F, Mombeini H, et al. Effect of a low dose of empagliflozin on short-term outcomes in type 2 diabetics with acute coronary syndrome after percutaneous coronary intervention. Saudi Med J. 2022;43(5):458-464. doi: 10.15537/smj.2022.43.5.20220018. PMID: 35537720.</w:t>
            </w:r>
          </w:p>
          <w:p w14:paraId="521E4F24">
            <w:pPr>
              <w:pStyle w:val="Reference"/>
              <w:rPr>
                <w:kern w:val="2"/>
                <w:lang w:val="en-US" w:eastAsia="zh-CN" w:bidi="ar-SA"/>
              </w:rPr>
            </w:pPr>
            <w:r>
              <w:rPr>
                <w:kern w:val="2"/>
                <w:lang w:val="en-US" w:eastAsia="zh-CN" w:bidi="ar-SA"/>
              </w:rPr>
              <w:t>[3] Dai N, Che W, Liu L, et al. Diagnostic value of angiography-derived IMR for coronary microcirculation and its prognostic implication after PCI. Front Cardiovasc Med. 2021;8:735743. doi: 10.3389/fcvm.2021.735743. PMID: 34722667.</w:t>
            </w:r>
          </w:p>
          <w:p w14:paraId="07CF22F2">
            <w:pPr>
              <w:pStyle w:val="Reference"/>
              <w:rPr>
                <w:kern w:val="2"/>
                <w:lang w:val="en-US" w:eastAsia="zh-CN" w:bidi="ar-SA"/>
              </w:rPr>
            </w:pPr>
            <w:r>
              <w:rPr>
                <w:kern w:val="2"/>
                <w:lang w:val="en-US" w:eastAsia="zh-CN" w:bidi="ar-SA"/>
              </w:rPr>
              <w:t>[4] Räber L, Mintz GS, Koskinas KC, et al. Clinical use of intracoronary imaging. Part 1: guidance and optimization of coronary interventions. An expert consensus document of the European Association of Percutaneous Cardiovascular Interventions. Eur Heart J. 2018;39(35):3281-3300. doi: 10.1093/eurheartj/ehy285. PMID: 29790954.</w:t>
            </w:r>
          </w:p>
          <w:p w14:paraId="11F30BC6">
            <w:pPr>
              <w:pStyle w:val="Reference"/>
              <w:rPr>
                <w:kern w:val="2"/>
                <w:lang w:val="en-US" w:eastAsia="zh-CN" w:bidi="ar-SA"/>
              </w:rPr>
            </w:pPr>
            <w:r>
              <w:rPr>
                <w:kern w:val="2"/>
                <w:lang w:val="en-US" w:eastAsia="zh-CN" w:bidi="ar-SA"/>
              </w:rPr>
              <w:t>[5] Vrints C, Andreotti F, Koskinas KC, et al. 2024 ESC Guidelines for the management of chronic coronary syndromes. Eur Heart J. 2024;45(36):3415-3537. doi: 10.1093/eurheartj/ehae177. PMID: 39210710.</w:t>
            </w:r>
          </w:p>
          <w:p w14:paraId="13E3692C">
            <w:pPr>
              <w:pStyle w:val="Reference"/>
              <w:rPr>
                <w:kern w:val="2"/>
                <w:lang w:val="en-US" w:eastAsia="zh-CN" w:bidi="ar-SA"/>
              </w:rPr>
            </w:pPr>
            <w:r>
              <w:rPr>
                <w:kern w:val="2"/>
                <w:lang w:val="en-US" w:eastAsia="zh-CN" w:bidi="ar-SA"/>
              </w:rPr>
              <w:t>[6] Giacoppo D, Laudani C, Occhipinti G, et al. Coronary angiography, intravascular ultrasound, and optical coherence tomography in the guidance of percutaneous coronary intervention: a systematic review and network meta-analysis. Circulation. 2024;149(14):1065-1086. doi: 10.1161/CIRCULATIONAHA.123.067583. PMID: 38344859.</w:t>
            </w:r>
          </w:p>
          <w:p w14:paraId="14B3B272">
            <w:pPr>
              <w:pStyle w:val="Reference"/>
              <w:rPr>
                <w:kern w:val="2"/>
                <w:lang w:val="en-US" w:eastAsia="zh-CN" w:bidi="ar-SA"/>
              </w:rPr>
            </w:pPr>
            <w:r>
              <w:rPr>
                <w:kern w:val="2"/>
                <w:lang w:val="en-US" w:eastAsia="zh-CN" w:bidi="ar-SA"/>
              </w:rPr>
              <w:t>[7] Holm NR, Andreasen LD, Neghabat O, et al. OCT or angiography guidance for PCI in complex bifurcation lesions. N Engl J Med. 2023;389(16):1477-1487. doi: 10.1056/NEJMoa2307770. PMID: 37634149.</w:t>
            </w:r>
          </w:p>
          <w:p w14:paraId="1BE978B2">
            <w:pPr>
              <w:pStyle w:val="Reference"/>
              <w:rPr>
                <w:kern w:val="2"/>
                <w:lang w:val="en-US" w:eastAsia="zh-CN" w:bidi="ar-SA"/>
              </w:rPr>
            </w:pPr>
            <w:r>
              <w:rPr>
                <w:kern w:val="2"/>
                <w:lang w:val="en-US" w:eastAsia="zh-CN" w:bidi="ar-SA"/>
              </w:rPr>
              <w:t>[8] Landmesser U, Ali ZA, Maehara A, et al. Optical coherence tomography predictors of clinical outcomes after stent implantation: the ILUMIEN IV trial. Eur Heart J. 2024;45(43):4630-4643. doi: 10.1093/eurheartj/ehae521. PMID: 39196989.</w:t>
            </w:r>
          </w:p>
          <w:p w14:paraId="755F8155">
            <w:pPr>
              <w:pStyle w:val="Reference"/>
              <w:rPr>
                <w:kern w:val="2"/>
                <w:lang w:val="en-US" w:eastAsia="zh-CN" w:bidi="ar-SA"/>
              </w:rPr>
            </w:pPr>
            <w:r>
              <w:rPr>
                <w:kern w:val="2"/>
                <w:lang w:val="en-US" w:eastAsia="zh-CN" w:bidi="ar-SA"/>
              </w:rPr>
              <w:t>[9] Jeremias A, Davies JE, Maehara A, et al. Blinded physiological assessment of residual ischemia after successful angiographic percutaneous coronary intervention: the DEFINE PCI study. JACC Cardiovasc Interv. 2019;12(20):1991-2001. doi: 10.1016/j.jcin.2019.05.054. PMID: 31648761.</w:t>
            </w:r>
          </w:p>
          <w:p w14:paraId="43931E97">
            <w:pPr>
              <w:pStyle w:val="Reference"/>
              <w:rPr>
                <w:kern w:val="2"/>
                <w:lang w:val="en-US" w:eastAsia="zh-CN" w:bidi="ar-SA"/>
              </w:rPr>
            </w:pPr>
            <w:r>
              <w:rPr>
                <w:kern w:val="2"/>
                <w:lang w:val="en-US" w:eastAsia="zh-CN" w:bidi="ar-SA"/>
              </w:rPr>
              <w:t>[10] Li Y, Duan J, Liu H, et al. Coronary microvascular dysfunction in post-PCI target vessels: a systematic review and meta-analysis of prevalence and associated outcomes. Front Cardiovasc Med. 2025;12:1620204. doi: 10.3389/fcvm.2025.1620204. PMID: 40832144.</w:t>
            </w:r>
          </w:p>
          <w:p w14:paraId="43FFCB06">
            <w:pPr>
              <w:pStyle w:val="Reference"/>
              <w:rPr>
                <w:kern w:val="2"/>
                <w:lang w:val="en-US" w:eastAsia="zh-CN" w:bidi="ar-SA"/>
              </w:rPr>
            </w:pPr>
            <w:r>
              <w:rPr>
                <w:kern w:val="2"/>
                <w:lang w:val="en-US" w:eastAsia="zh-CN" w:bidi="ar-SA"/>
              </w:rPr>
              <w:t>[11] Biscaglia S, Tebaldi M, Brugaletta S, et al. Prognostic value of QFR measured immediately after successful stent implantation: the international multicenter prospective HAWKEYE study. JACC Cardiovasc Interv. 2019;12(20):2079-2088. doi: 10.1016/j.jcin.2019.06.003. PMID: 31563688.</w:t>
            </w:r>
          </w:p>
          <w:p w14:paraId="52B8ED26">
            <w:pPr>
              <w:pStyle w:val="Reference"/>
              <w:rPr>
                <w:kern w:val="2"/>
                <w:lang w:val="en-US" w:eastAsia="zh-CN" w:bidi="ar-SA"/>
              </w:rPr>
            </w:pPr>
            <w:r>
              <w:rPr>
                <w:kern w:val="2"/>
                <w:lang w:val="en-US" w:eastAsia="zh-CN" w:bidi="ar-SA"/>
              </w:rPr>
              <w:t>[12] Johnson TW, Bergmark BA, Croce K, et al. Impact of optical coherence tomography-based post-PCI physiology assessment to predict clinical outcomes: an ILUMIEN-IV substudy. J Am Coll Cardiol. 2025;86(2):93-102. doi: 10.1016/j.jacc.2025.05.019. PMID: 40406943.</w:t>
            </w:r>
          </w:p>
          <w:p w14:paraId="4080AF84">
            <w:pPr>
              <w:pStyle w:val="Reference"/>
              <w:rPr>
                <w:kern w:val="2"/>
                <w:lang w:val="en-US" w:eastAsia="zh-CN" w:bidi="ar-SA"/>
              </w:rPr>
            </w:pPr>
            <w:r>
              <w:rPr>
                <w:kern w:val="2"/>
                <w:lang w:val="en-US" w:eastAsia="zh-CN" w:bidi="ar-SA"/>
              </w:rPr>
              <w:t>[13] Bednarek A, Serruys PW, Tsai TY, et al. Impact of coronary artery disease patterns assessed with pullback pressure gradient on clinical outcomes: meta-analysis. Atherosclerosis. 2026;415:120688. doi: 10.1016/j.atherosclerosis.2026.120688. PMID: 41819708.</w:t>
            </w:r>
          </w:p>
          <w:p w14:paraId="7D30E2C5">
            <w:pPr>
              <w:pStyle w:val="Reference"/>
              <w:rPr>
                <w:kern w:val="2"/>
                <w:lang w:val="en-US" w:eastAsia="zh-CN" w:bidi="ar-SA"/>
              </w:rPr>
            </w:pPr>
            <w:r>
              <w:rPr>
                <w:kern w:val="2"/>
                <w:lang w:val="en-US" w:eastAsia="zh-CN" w:bidi="ar-SA"/>
              </w:rPr>
              <w:t>[14] Belguidoum S, Meneveau N, Motreff P, et al. Relationship between stent expansion and fractional flow reserve after percutaneous coronary intervention: a post hoc analysis of the DOCTORS trial. EuroIntervention. 2021;17(2):e132-e139. doi: 10.4244/EIJ-D-19-01103. PMID: 32392171.</w:t>
            </w:r>
          </w:p>
          <w:p w14:paraId="0B572AF6">
            <w:pPr>
              <w:pStyle w:val="Reference"/>
              <w:rPr>
                <w:kern w:val="2"/>
                <w:lang w:val="en-US" w:eastAsia="zh-CN" w:bidi="ar-SA"/>
              </w:rPr>
            </w:pPr>
            <w:r>
              <w:rPr>
                <w:kern w:val="2"/>
                <w:lang w:val="en-US" w:eastAsia="zh-CN" w:bidi="ar-SA"/>
              </w:rPr>
              <w:t>[15] Jallad P, Maksud D, Garcia-Garcia HM, et al. Association of angiography-derived coronary microvascular parameters with periprocedural myocardial injury in uncomplicated elective percutaneous coronary interventions. Diagnostics (Basel). 2026;16(7):997. doi: 10.3390/diagnostics16070997. PMID: 41975710.</w:t>
            </w:r>
          </w:p>
          <w:p w14:paraId="73283DD6">
            <w:pPr>
              <w:pStyle w:val="Reference"/>
              <w:rPr>
                <w:kern w:val="2"/>
                <w:lang w:val="en-US" w:eastAsia="zh-CN" w:bidi="ar-SA"/>
              </w:rPr>
            </w:pPr>
            <w:r>
              <w:rPr>
                <w:kern w:val="2"/>
                <w:lang w:val="en-US" w:eastAsia="zh-CN" w:bidi="ar-SA"/>
              </w:rPr>
              <w:t>[16] Ekenbäck C, Jokhaji F, Östlund-Papadogeorgos N, et al. Changes in index of microcirculatory resistance during PCI in the left anterior descending coronary artery in relation to total length of implanted stents. J Interv Cardiol. 2019;2019:1397895. doi: 10.1155/2019/1397895. PMID: 31866770.</w:t>
            </w:r>
          </w:p>
          <w:p w14:paraId="68674803">
            <w:pPr>
              <w:pStyle w:val="Reference"/>
              <w:rPr>
                <w:kern w:val="2"/>
                <w:lang w:val="en-US" w:eastAsia="zh-CN" w:bidi="ar-SA"/>
              </w:rPr>
            </w:pPr>
            <w:r>
              <w:rPr>
                <w:kern w:val="2"/>
                <w:lang w:val="en-US" w:eastAsia="zh-CN" w:bidi="ar-SA"/>
              </w:rPr>
              <w:t>[17] Pijls NHJ, Klauss V, Siebert U, et al. Coronary pressure measurement after stenting predicts adverse events at follow-up: a multicenter registry. Circulation. 2002;105(25):2950-2954. doi: 10.1161/01.CIR.0000020547.92091.76. PMID: 12081986.</w:t>
            </w:r>
          </w:p>
          <w:p w14:paraId="19C88961">
            <w:pPr>
              <w:pStyle w:val="Reference"/>
              <w:rPr>
                <w:kern w:val="2"/>
                <w:lang w:val="en-US" w:eastAsia="zh-CN" w:bidi="ar-SA"/>
              </w:rPr>
            </w:pPr>
            <w:r>
              <w:rPr>
                <w:kern w:val="2"/>
                <w:lang w:val="en-US" w:eastAsia="zh-CN" w:bidi="ar-SA"/>
              </w:rPr>
              <w:t>[18] Hwang D, Koo BK, Zhang J, et al. Prognostic implications of fractional flow reserve after coronary stenting: a systematic review and meta-analysis. JAMA Netw Open. 2022;5(9):e2232842. doi: 10.1001/jamanetworkopen.2022.32842. PMID: 36136329.</w:t>
            </w:r>
          </w:p>
          <w:p w14:paraId="6299533F">
            <w:pPr>
              <w:pStyle w:val="Reference"/>
              <w:rPr>
                <w:kern w:val="2"/>
                <w:lang w:val="en-US" w:eastAsia="zh-CN" w:bidi="ar-SA"/>
              </w:rPr>
            </w:pPr>
            <w:r>
              <w:rPr>
                <w:kern w:val="2"/>
                <w:lang w:val="en-US" w:eastAsia="zh-CN" w:bidi="ar-SA"/>
              </w:rPr>
              <w:t>[19] Rubimbura V, Guillon B, Fournier S, et al. Quantitative flow ratio virtual stenting and post stenting correlations to post stenting fractional flow reserve measurements from the DOCTORS study population. Catheter Cardiovasc Interv. 2020;96(6):1145-1153. doi: 10.1002/ccd.28615. PMID: 31763775.</w:t>
            </w:r>
          </w:p>
          <w:p w14:paraId="01666BDF">
            <w:pPr>
              <w:pStyle w:val="Reference"/>
              <w:rPr>
                <w:kern w:val="2"/>
                <w:lang w:val="en-US" w:eastAsia="zh-CN" w:bidi="ar-SA"/>
              </w:rPr>
            </w:pPr>
            <w:r>
              <w:rPr>
                <w:kern w:val="2"/>
                <w:lang w:val="en-US" w:eastAsia="zh-CN" w:bidi="ar-SA"/>
              </w:rPr>
              <w:t>[20] Masdjedi K, van Zandvoort LJC, Balbi MM, et al. Validation of novel 3-dimensional quantitative coronary angiography based software to calculate fractional flow reserve post stenting. Catheter Cardiovasc Interv. 2021;98(4):671-677. doi: 10.1002/ccd.29311. PMID: 33022098.</w:t>
            </w:r>
          </w:p>
          <w:p w14:paraId="32DB8B9B">
            <w:pPr>
              <w:pStyle w:val="Reference"/>
              <w:rPr>
                <w:kern w:val="2"/>
                <w:lang w:val="en-US" w:eastAsia="zh-CN" w:bidi="ar-SA"/>
              </w:rPr>
            </w:pPr>
            <w:r>
              <w:rPr>
                <w:kern w:val="2"/>
                <w:lang w:val="en-US" w:eastAsia="zh-CN" w:bidi="ar-SA"/>
              </w:rPr>
              <w:t>[21] Ai H, Zheng N, Li L, et al. Agreement of angiography-derived and wire-based fractional flow reserves in percutaneous coronary intervention. Front Cardiovasc Med. 2021;8:654392. doi: 10.3389/fcvm.2021.654392. PMID: 33969017.</w:t>
            </w:r>
          </w:p>
          <w:p w14:paraId="5BCDECC4">
            <w:pPr>
              <w:pStyle w:val="Reference"/>
              <w:rPr>
                <w:kern w:val="2"/>
                <w:lang w:val="en-US" w:eastAsia="zh-CN" w:bidi="ar-SA"/>
              </w:rPr>
            </w:pPr>
            <w:r>
              <w:rPr>
                <w:kern w:val="2"/>
                <w:lang w:val="en-US" w:eastAsia="zh-CN" w:bidi="ar-SA"/>
              </w:rPr>
              <w:t>[22] Neleman T, Scoccia A, Masdjedi K, et al. The prognostic value of angiography-based vessel fractional flow reserve after percutaneous coronary intervention: the FAST Outcome study. Int J Cardiol. 2022;359:14-19. doi: 10.1016/j.ijcard.2022.04.021. PMID: 35421516.</w:t>
            </w:r>
          </w:p>
          <w:p w14:paraId="4401943B">
            <w:pPr>
              <w:pStyle w:val="Reference"/>
              <w:rPr>
                <w:kern w:val="2"/>
                <w:lang w:val="en-US" w:eastAsia="zh-CN" w:bidi="ar-SA"/>
              </w:rPr>
            </w:pPr>
            <w:r>
              <w:rPr>
                <w:kern w:val="2"/>
                <w:lang w:val="en-US" w:eastAsia="zh-CN" w:bidi="ar-SA"/>
              </w:rPr>
              <w:t>[23] Zhou Z, Zhu B, Fan F, et al. Prognostic value of coronary angiography-derived fractional flow reserve immediately after stenting. Front Cardiovasc Med. 2022;9:834553. doi: 10.3389/fcvm.2022.834553. PMID: 35387443.</w:t>
            </w:r>
          </w:p>
          <w:p w14:paraId="75D9027E">
            <w:pPr>
              <w:pStyle w:val="Reference"/>
              <w:rPr>
                <w:kern w:val="2"/>
                <w:lang w:val="en-US" w:eastAsia="zh-CN" w:bidi="ar-SA"/>
              </w:rPr>
            </w:pPr>
            <w:r>
              <w:rPr>
                <w:kern w:val="2"/>
                <w:lang w:val="en-US" w:eastAsia="zh-CN" w:bidi="ar-SA"/>
              </w:rPr>
              <w:t>[24] Terentes-Printzios D, Gkini KP, Oikonomou D, et al. Prognostic value of post-PCI angiography-derived fractional flow reserve: a systematic review and meta-analysis of cohort studies. J Pers Med. 2023;13(8):1251. doi: 10.3390/jpm13081251. PMID: 37623501.</w:t>
            </w:r>
          </w:p>
          <w:p w14:paraId="1E62A2CA">
            <w:pPr>
              <w:pStyle w:val="Reference"/>
              <w:rPr>
                <w:kern w:val="2"/>
                <w:lang w:val="en-US" w:eastAsia="zh-CN" w:bidi="ar-SA"/>
              </w:rPr>
            </w:pPr>
            <w:r>
              <w:rPr>
                <w:kern w:val="2"/>
                <w:lang w:val="en-US" w:eastAsia="zh-CN" w:bidi="ar-SA"/>
              </w:rPr>
              <w:t>[25] Murai T, Lee T, Yonetsu T, et al. Influence of microvascular resistance on fractional flow reserve after successful percutaneous coronary intervention. Catheter Cardiovasc Interv. 2015;85(4):585-592. doi: 10.1002/ccd.25499. PMID: 24678006.</w:t>
            </w:r>
          </w:p>
          <w:p w14:paraId="07B85190">
            <w:pPr>
              <w:pStyle w:val="Reference"/>
              <w:rPr>
                <w:kern w:val="2"/>
                <w:lang w:val="en-US" w:eastAsia="zh-CN" w:bidi="ar-SA"/>
              </w:rPr>
            </w:pPr>
            <w:r>
              <w:rPr>
                <w:kern w:val="2"/>
                <w:lang w:val="en-US" w:eastAsia="zh-CN" w:bidi="ar-SA"/>
              </w:rPr>
              <w:t>[26] Li C, Zhou Y, Lu D, et al. Periprocedural assessment of coronary microcirculatory function to predict clinical outcomes after elective percutaneous coronary intervention. J Am Heart Assoc. 2025;14(19):e043836. doi: 10.1161/JAHA.125.043836. PMID: 40891241.</w:t>
            </w:r>
          </w:p>
          <w:p w14:paraId="1637FE3D">
            <w:pPr>
              <w:pStyle w:val="Reference"/>
              <w:rPr>
                <w:kern w:val="2"/>
                <w:lang w:val="en-US" w:eastAsia="zh-CN" w:bidi="ar-SA"/>
              </w:rPr>
            </w:pPr>
            <w:r>
              <w:rPr>
                <w:kern w:val="2"/>
                <w:lang w:val="en-US" w:eastAsia="zh-CN" w:bidi="ar-SA"/>
              </w:rPr>
              <w:t>[27] Li K, Wang L, Liao P, et al. Coronary angiography-derived microcirculatory resistance predicts adverse cardiovascular events in elderly with unstable angina post-percutaneous coronary intervention. Front Aging. 2026;7:1839323. doi: 10.3389/fragi.2026.1839323. PMID: 42339317.</w:t>
            </w:r>
          </w:p>
          <w:p w14:paraId="00D145B7">
            <w:pPr>
              <w:pStyle w:val="Reference"/>
              <w:rPr>
                <w:kern w:val="2"/>
                <w:lang w:val="en-US" w:eastAsia="zh-CN" w:bidi="ar-SA"/>
              </w:rPr>
            </w:pPr>
            <w:r>
              <w:rPr>
                <w:kern w:val="2"/>
                <w:lang w:val="en-US" w:eastAsia="zh-CN" w:bidi="ar-SA"/>
              </w:rPr>
              <w:t>[28] Choi KH, Dai N, Li Y, et al. Functional coronary angiography-derived index of microcirculatory resistance in patients with ST-segment elevation myocardial infarction. JACC Cardiovasc Interv. 2021;14(15):1670-1684. doi: 10.1016/j.jcin.2021.05.027. PMID: 34353599.</w:t>
            </w:r>
          </w:p>
          <w:p w14:paraId="7DA50FC0">
            <w:pPr>
              <w:pStyle w:val="Reference"/>
              <w:rPr>
                <w:kern w:val="2"/>
                <w:lang w:val="en-US" w:eastAsia="zh-CN" w:bidi="ar-SA"/>
              </w:rPr>
            </w:pPr>
            <w:r>
              <w:rPr>
                <w:kern w:val="2"/>
                <w:lang w:val="en-US" w:eastAsia="zh-CN" w:bidi="ar-SA"/>
              </w:rPr>
              <w:t>[29] Zhang Y, Pu J, Niu T, et al. Prognostic value of coronary angiography-derived index of microcirculatory resistance in non-ST-segment elevation myocardial infarction patients. JACC Cardiovasc Interv. 2024;17(16):1874-1886. doi: 10.1016/j.jcin.2024.04.048. PMID: 39115479.</w:t>
            </w:r>
          </w:p>
          <w:p w14:paraId="028B034B">
            <w:pPr>
              <w:pStyle w:val="Reference"/>
              <w:rPr>
                <w:kern w:val="2"/>
                <w:lang w:val="en-US" w:eastAsia="zh-CN" w:bidi="ar-SA"/>
              </w:rPr>
            </w:pPr>
            <w:r>
              <w:rPr>
                <w:kern w:val="2"/>
                <w:lang w:val="en-US" w:eastAsia="zh-CN" w:bidi="ar-SA"/>
              </w:rPr>
              <w:t>[30] Han C, Gao JQ, Zhang H, et al. Prognostic value of coronary microvascular dysfunction assessed by coronary angiography-derived index of microcirculatory resistance in patients with ST-segment elevation myocardial infarction. Clin Cardiol. 2024;47(7):e24318. doi: 10.1002/clc.24318. PMID: 38978390.</w:t>
            </w:r>
          </w:p>
          <w:p w14:paraId="33EA593B">
            <w:pPr>
              <w:pStyle w:val="Reference"/>
              <w:rPr>
                <w:kern w:val="2"/>
                <w:lang w:val="en-US" w:eastAsia="zh-CN" w:bidi="ar-SA"/>
              </w:rPr>
            </w:pPr>
            <w:r>
              <w:rPr>
                <w:kern w:val="2"/>
                <w:lang w:val="en-US" w:eastAsia="zh-CN" w:bidi="ar-SA"/>
              </w:rPr>
              <w:t>[31] Wu Y, Liu J, Du X, et al. Prognostic value of angiography-derived index of microcirculatory resistance in patients with diabetes and ST-segment elevation myocardial infarction. Can J Cardiol. 2025;41(10):2041-2051. doi: 10.1016/j.cjca.2025.05.001. PMID: 40349770.</w:t>
            </w:r>
          </w:p>
          <w:p w14:paraId="11B5EF7A">
            <w:pPr>
              <w:pStyle w:val="Reference"/>
              <w:rPr>
                <w:kern w:val="2"/>
                <w:lang w:val="en-US" w:eastAsia="zh-CN" w:bidi="ar-SA"/>
              </w:rPr>
            </w:pPr>
            <w:r>
              <w:rPr>
                <w:kern w:val="2"/>
                <w:lang w:val="en-US" w:eastAsia="zh-CN" w:bidi="ar-SA"/>
              </w:rPr>
              <w:t>[32] Zheng Y, Zhang Y, Chen D, et al. Prognostic value of coronary angiography-derived index of microcirculatory resistance in patients with intermediate coronary stenosis. JACC Cardiovasc Interv. 2025;18(2):171-183. doi: 10.1016/j.jcin.2024.10.017. PMID: 39880572.</w:t>
            </w:r>
          </w:p>
          <w:p w14:paraId="5B530FEB">
            <w:pPr>
              <w:pStyle w:val="Reference"/>
              <w:rPr>
                <w:kern w:val="2"/>
                <w:lang w:val="en-US" w:eastAsia="zh-CN" w:bidi="ar-SA"/>
              </w:rPr>
            </w:pPr>
            <w:r>
              <w:rPr>
                <w:kern w:val="2"/>
                <w:lang w:val="en-US" w:eastAsia="zh-CN" w:bidi="ar-SA"/>
              </w:rPr>
              <w:t>[33] Zhang Y, Fang J, Chen Z, et al. Long-term prognostic impact of changes in coronary angiography-derived index of microcirculatory resistance following PCI. JACC Cardiovasc Interv. 2026;19(4):452-463. doi: 10.1016/j.jcin.2025.11.010. PMID: 41518357.</w:t>
            </w:r>
          </w:p>
          <w:p w14:paraId="047CB222">
            <w:pPr>
              <w:pStyle w:val="Reference"/>
            </w:pPr>
            <w:r>
              <w:rPr>
                <w:kern w:val="2"/>
                <w:lang w:val="en-US" w:eastAsia="zh-CN" w:bidi="ar-SA"/>
              </w:rPr>
              <w:t>[34] Wang D, Li X, Feng W, et al. Diagnostic and prognostic value of angiography-derived index of microvascular resistance: a systematic review and meta-analysis. Front Cardiovasc Med. 2024;11:1360648. doi: 10.3389/fcvm.2024.1360648. PMID: 38685980.</w:t>
            </w:r>
          </w:p>
          <w:p w14:paraId="774B9912">
            <w:pPr>
              <w:pStyle w:val="2"/>
            </w:pPr>
          </w:p>
          <w:p w14:paraId="05104D1F">
            <w:pPr>
              <w:pStyle w:val="2"/>
            </w:pPr>
          </w:p>
          <w:p w14:paraId="0238DFC2">
            <w:pPr>
              <w:pStyle w:val="2"/>
            </w:pPr>
          </w:p>
          <w:p w14:paraId="0F1FFAE7">
            <w:pPr>
              <w:pStyle w:val="2"/>
              <w:tabs>
                <w:tab w:val="left" w:pos="860"/>
                <w:tab w:val="left" w:pos="4714"/>
                <w:tab w:val="left" w:pos="8850"/>
              </w:tabs>
            </w:pPr>
            <w:r>
              <w:t>研究生签字：</w:t>
            </w:r>
          </w:p>
          <w:p w14:paraId="48165D4C">
            <w:pPr>
              <w:pStyle w:val="2"/>
              <w:tabs>
                <w:tab w:val="left" w:pos="860"/>
                <w:tab w:val="left" w:pos="4714"/>
                <w:tab w:val="left" w:pos="8850"/>
              </w:tabs>
            </w:pPr>
          </w:p>
          <w:p w14:paraId="3AFE40A7">
            <w:pPr>
              <w:pStyle w:val="2"/>
            </w:pPr>
            <w:r>
              <w:t>日期</w:t>
            </w:r>
            <w:r>
              <w:t>：</w:t>
            </w:r>
          </w:p>
        </w:tc>
      </w:tr>
    </w:tbl>
    <w:p w14:paraId="40F20BDF">
      <w:pPr>
        <w:widowControl/>
        <w:jc w:val="left"/>
        <w:rPr>
          <w:rFonts w:hint="eastAsia" w:ascii="仿宋" w:hAnsi="仿宋" w:eastAsia="仿宋"/>
          <w:szCs w:val="28"/>
          <w:lang w:val="en-US" w:eastAsia="zh-CN"/>
        </w:rPr>
        <w:sectPr>
          <w:pgSz w:w="11906" w:h="16838"/>
          <w:pgMar w:top="1440" w:right="1800" w:bottom="1440" w:left="1800" w:header="851" w:footer="992" w:gutter="0"/>
          <w:cols w:space="425" w:num="1"/>
          <w:titlePg/>
          <w:docGrid w:type="lines" w:linePitch="312" w:charSpace="0"/>
        </w:sectPr>
      </w:pPr>
      <w:r>
        <w:rPr>
          <w:rFonts w:hint="eastAsia" w:ascii="仿宋" w:hAnsi="仿宋" w:eastAsia="仿宋"/>
          <w:szCs w:val="28"/>
        </w:rPr>
        <w:t>备注</w:t>
      </w:r>
      <w:r>
        <w:rPr>
          <w:rFonts w:ascii="仿宋" w:hAnsi="仿宋" w:eastAsia="仿宋"/>
          <w:szCs w:val="28"/>
        </w:rPr>
        <w:t>：</w:t>
      </w:r>
      <w:r>
        <w:rPr>
          <w:rFonts w:hint="eastAsia" w:ascii="仿宋" w:hAnsi="仿宋" w:eastAsia="仿宋"/>
          <w:szCs w:val="28"/>
        </w:rPr>
        <w:t>学位论文开题报告字数博士不少于4000字，硕士不少于2000字</w:t>
      </w:r>
      <w:r>
        <w:rPr>
          <w:rFonts w:hint="eastAsia" w:ascii="仿宋" w:hAnsi="仿宋" w:eastAsia="仿宋"/>
          <w:szCs w:val="28"/>
          <w:lang w:val="en-US" w:eastAsia="zh-CN"/>
        </w:rPr>
        <w:t>.</w:t>
      </w:r>
    </w:p>
    <w:p w14:paraId="0BD0EF54"/>
    <w:sectPr>
      <w:headerReference r:id="rId4" w:type="first"/>
      <w:footerReference r:id="rId6" w:type="first"/>
      <w:headerReference r:id="rId3" w:type="default"/>
      <w:footerReference r:id="rId5" w:type="default"/>
      <w:pgSz w:w="11906" w:h="16838"/>
      <w:pgMar w:top="1440" w:right="1797" w:bottom="1440" w:left="1797" w:header="851" w:footer="99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ongti SC">
    <w:altName w:val="宋体"/>
    <w:panose1 w:val="02010800040101010101"/>
    <w:charset w:val="86"/>
    <w:family w:val="auto"/>
    <w:pitch w:val="default"/>
    <w:sig w:usb0="00000000" w:usb1="00000000" w:usb2="00000000" w:usb3="00000000" w:csb0="0004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F025E">
    <w:pPr>
      <w:pStyle w:val="3"/>
      <w:jc w:val="center"/>
    </w:pPr>
    <w:r>
      <w:ptab w:relativeTo="margin" w:alignment="center" w:leader="none"/>
    </w:r>
    <w:r>
      <w:rPr>
        <w:rFonts w:hint="eastAsia"/>
      </w:rPr>
      <w:t>第    页</w:t>
    </w:r>
    <w:r>
      <w:ptab w:relativeTo="margin" w:alignment="right" w:leader="none"/>
    </w:r>
    <w:r>
      <w:rPr>
        <w:rFonts w:hint="eastAsia"/>
      </w:rPr>
      <w:t>姓名</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3A018">
    <w:pPr>
      <w:pStyle w:val="3"/>
    </w:pPr>
    <w:r>
      <w:ptab w:relativeTo="margin" w:alignment="center" w:leader="none"/>
    </w:r>
    <w:r>
      <w:rPr>
        <w:rFonts w:hint="eastAsia"/>
      </w:rPr>
      <w:t xml:space="preserve">第 </w:t>
    </w:r>
    <w:r>
      <w:t xml:space="preserve">   </w:t>
    </w:r>
    <w:r>
      <w:rPr>
        <w:rFonts w:hint="eastAsia"/>
      </w:rPr>
      <w:t>页</w:t>
    </w:r>
    <w:r>
      <w:ptab w:relativeTo="margin" w:alignment="right" w:leader="none"/>
    </w:r>
    <w:r>
      <w:rPr>
        <w:rFonts w:hint="eastAsia"/>
      </w:rPr>
      <w:t>姓名</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B9647">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2B78F">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4A2B8"/>
    <w:multiLevelType w:val="singleLevel"/>
    <w:tmpl w:val="B104A2B8"/>
    <w:lvl w:ilvl="0" w:tentative="0">
      <w:start w:val="2"/>
      <w:numFmt w:val="decimal"/>
      <w:lvlText w:val="%1."/>
      <w:lvlJc w:val="left"/>
      <w:pPr>
        <w:tabs>
          <w:tab w:val="left" w:pos="312"/>
        </w:tabs>
      </w:pPr>
    </w:lvl>
  </w:abstractNum>
  <w:abstractNum w:abstractNumId="1">
    <w:nsid w:val="1D9551A0"/>
    <w:multiLevelType w:val="singleLevel"/>
    <w:tmpl w:val="1D9551A0"/>
    <w:lvl w:ilvl="0" w:tentative="0">
      <w:start w:val="3"/>
      <w:numFmt w:val="decimal"/>
      <w:suff w:val="nothing"/>
      <w:lvlText w:val="%1）"/>
      <w:lvlJc w:val="left"/>
    </w:lvl>
  </w:abstractNum>
  <w:abstractNum w:abstractNumId="2">
    <w:nsid w:val="35A7E5D2"/>
    <w:multiLevelType w:val="singleLevel"/>
    <w:tmpl w:val="35A7E5D2"/>
    <w:lvl w:ilvl="0" w:tentative="0">
      <w:start w:val="2"/>
      <w:numFmt w:val="decimal"/>
      <w:suff w:val="nothing"/>
      <w:lvlText w:val="（%1）"/>
      <w:lvlJc w:val="left"/>
    </w:lvl>
  </w:abstractNum>
  <w:abstractNum w:abstractNumId="3">
    <w:nsid w:val="47355F34"/>
    <w:multiLevelType w:val="singleLevel"/>
    <w:tmpl w:val="47355F34"/>
    <w:lvl w:ilvl="0" w:tentative="0">
      <w:start w:val="2"/>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9A4C0A"/>
    <w:rsid w:val="02E37041"/>
    <w:rsid w:val="07496B7A"/>
    <w:rsid w:val="11492396"/>
    <w:rsid w:val="16060719"/>
    <w:rsid w:val="1D927673"/>
    <w:rsid w:val="26977FBF"/>
    <w:rsid w:val="345C05FB"/>
    <w:rsid w:val="34B42CD7"/>
    <w:rsid w:val="39392652"/>
    <w:rsid w:val="3CE241FB"/>
    <w:rsid w:val="3E3F4D6C"/>
    <w:rsid w:val="40BC4291"/>
    <w:rsid w:val="42BA70B7"/>
    <w:rsid w:val="462705C0"/>
    <w:rsid w:val="50863682"/>
    <w:rsid w:val="51656219"/>
    <w:rsid w:val="526D6A4B"/>
    <w:rsid w:val="62A212A2"/>
    <w:rsid w:val="6B9A4C0A"/>
    <w:rsid w:val="70205EFC"/>
    <w:rsid w:val="71F028B6"/>
    <w:rsid w:val="7BD67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styleId="2">
    <w:name w:val="Body Text"/>
    <w:basedOn w:val="1"/>
    <w:qFormat/>
    <w:uiPriority w:val="0"/>
    <w:pPr>
      <w:spacing w:line="360" w:lineRule="auto" w:before="0" w:after="0"/>
      <w:ind w:firstLineChars="200"/>
      <w:jc w:val="both"/>
    </w:pPr>
    <w:rPr>
      <w:rFonts w:ascii="Times New Roman" w:hAnsi="Times New Roman" w:eastAsia="宋体"/>
      <w:spacing w:val="8"/>
      <w:sz w:val="24"/>
      <w:szCs w:val="24"/>
    </w:rPr>
  </w:style>
  <w:style w:type="paragraph" w:styleId="Heading1">
    <w:name w:val="heading 1"/>
    <w:basedOn w:val="1"/>
    <w:pPr>
      <w:spacing w:before="240" w:after="120" w:line="360" w:lineRule="auto"/>
      <w:ind w:firstLine="0"/>
      <w:jc w:val="left"/>
      <w:outlineLvl w:val="0"/>
    </w:pPr>
    <w:rPr>
      <w:rFonts w:ascii="Times New Roman" w:hAnsi="Times New Roman" w:eastAsia="黑体"/>
      <w:b w:val="0"/>
      <w:bCs w:val="0"/>
      <w:sz w:val="30"/>
      <w:szCs w:val="30"/>
    </w:rPr>
  </w:style>
  <w:style w:type="paragraph" w:styleId="Heading2">
    <w:name w:val="heading 2"/>
    <w:basedOn w:val="1"/>
    <w:pPr>
      <w:spacing w:before="120" w:after="60" w:line="360" w:lineRule="auto"/>
      <w:ind w:firstLine="0"/>
      <w:jc w:val="left"/>
      <w:outlineLvl w:val="1"/>
    </w:pPr>
    <w:rPr>
      <w:rFonts w:ascii="Times New Roman" w:hAnsi="Times New Roman" w:eastAsia="黑体"/>
      <w:b w:val="0"/>
      <w:bCs w:val="0"/>
      <w:sz w:val="24"/>
      <w:szCs w:val="24"/>
    </w:rPr>
  </w:style>
  <w:style w:type="paragraph" w:styleId="Heading3">
    <w:name w:val="heading 3"/>
    <w:basedOn w:val="1"/>
    <w:pPr>
      <w:spacing w:before="120" w:after="60" w:line="360" w:lineRule="auto"/>
      <w:ind w:firstLine="0"/>
      <w:jc w:val="left"/>
      <w:outlineLvl w:val="2"/>
    </w:pPr>
    <w:rPr>
      <w:rFonts w:ascii="Times New Roman" w:hAnsi="Times New Roman" w:eastAsia="宋体"/>
      <w:b/>
      <w:bCs/>
      <w:sz w:val="24"/>
      <w:szCs w:val="24"/>
    </w:rPr>
  </w:style>
  <w:style w:type="paragraph" w:styleId="Reference">
    <w:name w:val="Reference"/>
    <w:basedOn w:val="1"/>
    <w:pPr>
      <w:spacing w:before="0" w:after="0" w:line="360" w:lineRule="auto"/>
      <w:ind w:firstLine="0"/>
      <w:jc w:val="left"/>
    </w:pPr>
    <w:rPr>
      <w:rFonts w:ascii="Times New Roman" w:hAnsi="Times New Roman" w:eastAsia="宋体"/>
      <w:sz w:val="24"/>
      <w:szCs w:val="24"/>
    </w:rPr>
  </w:style>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footer"/>
    <w:basedOn w:val="1"/>
    <w:unhideWhenUsed/>
    <w:qFormat/>
    <w:uiPriority w:val="0"/>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ignature"/>
    <w:basedOn w:val="1"/>
    <w:uiPriority w:val="0"/>
    <w:pPr>
      <w:ind w:left="100" w:leftChars="2100"/>
    </w:p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page number"/>
    <w:basedOn w:val="9"/>
    <w:qFormat/>
    <w:uiPriority w:val="0"/>
  </w:style>
  <w:style w:type="paragraph" w:customStyle="1" w:styleId="12">
    <w:name w:val="论文标题"/>
    <w:basedOn w:val="1"/>
    <w:next w:val="5"/>
    <w:qFormat/>
    <w:uiPriority w:val="0"/>
    <w:pPr>
      <w:adjustRightInd w:val="0"/>
      <w:spacing w:line="240" w:lineRule="auto"/>
      <w:ind w:leftChars="0"/>
      <w:jc w:val="center"/>
      <w:outlineLvl w:val="0"/>
    </w:pPr>
    <w:rPr>
      <w:rFonts w:ascii="Times New Roman" w:hAnsi="Times New Roman" w:eastAsia="黑体" w:cs="Times New Roman"/>
      <w:b/>
      <w:bCs/>
      <w:kern w:val="44"/>
      <w:sz w:val="32"/>
      <w:szCs w:val="44"/>
    </w:rPr>
  </w:style>
  <w:style w:type="paragraph" w:styleId="13">
    <w:name w:val="List Paragraph"/>
    <w:basedOn w:val="1"/>
    <w:qFormat/>
    <w:uiPriority w:val="34"/>
    <w:pPr>
      <w:ind w:firstLine="420" w:firstLineChars="200"/>
    </w:pPr>
  </w:style>
  <w:style w:type="paragraph" w:customStyle="1" w:styleId="14">
    <w:name w:val="正文 A"/>
    <w:qFormat/>
    <w:uiPriority w:val="0"/>
    <w:pPr>
      <w:framePr w:wrap="around" w:vAnchor="margin" w:hAnchor="text" w:y="1"/>
      <w:widowControl w:val="0"/>
      <w:jc w:val="both"/>
    </w:pPr>
    <w:rPr>
      <w:rFonts w:ascii="Calibri" w:hAnsi="Calibri" w:eastAsia="Calibri" w:cs="Calibri"/>
      <w:color w:val="000000"/>
      <w:kern w:val="2"/>
      <w:sz w:val="21"/>
      <w:szCs w:val="21"/>
      <w:u w:color="000000"/>
      <w:lang w:val="en-US" w:eastAsia="zh-CN" w:bidi="ar-SA"/>
    </w:rPr>
  </w:style>
  <w:style w:type="paragraph" w:customStyle="1" w:styleId="15">
    <w:name w:val="列出段落1"/>
    <w:qFormat/>
    <w:uiPriority w:val="0"/>
    <w:pPr>
      <w:framePr w:wrap="around" w:vAnchor="margin" w:hAnchor="text" w:y="1"/>
      <w:widowControl w:val="0"/>
      <w:ind w:firstLine="42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6">
    <w:name w:val="正文文本1"/>
    <w:qFormat/>
    <w:uiPriority w:val="0"/>
    <w:pPr>
      <w:framePr w:wrap="around" w:vAnchor="margin" w:hAnchor="text" w:y="1"/>
      <w:widowControl w:val="0"/>
      <w:spacing w:line="360" w:lineRule="auto"/>
      <w:jc w:val="both"/>
    </w:pPr>
    <w:rPr>
      <w:rFonts w:hint="eastAsia" w:ascii="Arial Unicode MS" w:hAnsi="Arial Unicode MS" w:eastAsia="Arial Unicode MS" w:cs="Arial Unicode MS"/>
      <w:color w:val="000000"/>
      <w:spacing w:val="8"/>
      <w:kern w:val="2"/>
      <w:sz w:val="24"/>
      <w:szCs w:val="24"/>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11724</Words>
  <Characters>14373</Characters>
  <Lines>0</Lines>
  <Paragraphs>0</Paragraphs>
  <TotalTime>7</TotalTime>
  <ScaleCrop>false</ScaleCrop>
  <LinksUpToDate>false</LinksUpToDate>
  <CharactersWithSpaces>14731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2026-06-22T02:11:00Z</dcterms:created>
  <dc:creator>DeWay</dc:creator>
  <cp:lastModifiedBy>DeWay</cp:lastModifiedBy>
  <dcterms:modified xsi:type="dcterms:W3CDTF">2026-07-01T13:05:54Z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6FFC29B511A24389A024C0ACBC96D13F_13</vt:lpwstr>
  </property>
  <property fmtid="{D5CDD505-2E9C-101B-9397-08002B2CF9AE}" pid="4" name="KSOTemplateDocerSaveRecord">
    <vt:lpwstr>eyJoZGlkIjoiODk2NGE2MzA5YzNhMDJiMTJlZjgxODNiNDMxMzQ5M2EiLCJ1c2VySWQiOiI1NTQ4ODIxNDYifQ==</vt:lpwstr>
  </property>
</Properties>
</file>