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Сверка источников по первоисточникам — 26.10.2026</w:t>
      </w:r>
    </w:p>
    <w:p>
      <w:pPr>
        <w:pStyle w:val="FirstParagraph"/>
      </w:pPr>
      <w:r>
        <w:t xml:space="preserve">К концепции v2.2 и проекту анкеты v2.2, задача Б24 № 349714. Каждая цифра сверена с текстом страницы, отчёт SITA 2025 — по полному тексту (PDF, 23 стр.).</w:t>
      </w:r>
    </w:p>
    <w:p>
      <w:pPr>
        <w:pStyle w:val="Heading2"/>
      </w:pPr>
      <w:r>
        <w:t xml:space="preserve">Итог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Подтверждено по странице:</w:t>
      </w:r>
      <w:r>
        <w:t xml:space="preserve"> </w:t>
      </w:r>
      <w:r>
        <w:t xml:space="preserve">18 групп утверждений (таблица ниже).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Исправлено:</w:t>
      </w:r>
      <w:r>
        <w:t xml:space="preserve"> </w:t>
      </w:r>
      <w:r>
        <w:t xml:space="preserve">8 — 1 ошибка, 4 неточности (одна — устаревший факт), 3 цифры с заменённым источником; все исправления внесены в документы.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McKinsey:</w:t>
      </w:r>
      <w:r>
        <w:t xml:space="preserve"> </w:t>
      </w:r>
      <w:r>
        <w:t xml:space="preserve">страница открыта вручную 26.10. На ней уже выпуск 2026 г., поэтому цифры выпуска 2025 г. (62% пробуют ИИ-агентов, 39% видят эффект на прибыль) заменены новыми: ИИ масштабирован у 44%, агентов масштабируют около 20% (в крупных компаниях — 40%), эффект на прибыль — у 37%, 32% отказались покупать ПО и сделали его сами, 60% нарастят вложения в ИИ, у 20% ИИ сдерживают затраты.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Не удалось открыть при проверке:</w:t>
      </w:r>
      <w:r>
        <w:t xml:space="preserve"> </w:t>
      </w:r>
      <w:r>
        <w:t xml:space="preserve">страница Gartner. Её цифры убраны, исследование оставлено как пример вопросов; если подтвердить цифры (85% и 80% нарастят инвестиции в ИБ и ИИ), их можно вернуть. Доклад WEF сверен по его подробному обзору от Kiteworks.</w:t>
      </w:r>
    </w:p>
    <w:p>
      <w:pPr>
        <w:pStyle w:val="Heading2"/>
      </w:pPr>
      <w:r>
        <w:t xml:space="preserve">Исправления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0" w:type="dxa"/>
          <w:left w:w="70" w:type="dxa"/>
          <w:bottom w:w="20" w:type="dxa"/>
          <w:right w:w="70" w:type="dxa"/>
        </w:tblCellMar>
        <w:tblLook w:firstRow="1" w:lastRow="0" w:firstColumn="0" w:lastColumn="0" w:noHBand="0" w:noVBand="0" w:val="0020"/>
      </w:tblPr>
      <w:tblGrid>
        <w:gridCol w:w="2402"/>
        <w:gridCol w:w="3114"/>
        <w:gridCol w:w="2402"/>
      </w:tblGrid>
      <w:tr>
        <w:trPr>
          <w:tblHeader w:val="true"/>
          <w:cantSplit/>
          <w:tblHeader/>
        </w:trPr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Было</w:t>
            </w:r>
          </w:p>
        </w:tc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Что показала сверка</w:t>
            </w:r>
          </w:p>
        </w:tc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Стало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SITA 2025: обмен данными с партнёрами — у 31% авиакомпаний и 49% аэропортов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Ошибка.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Такой цифры в отчёте нет — поисковик пересказал отчёт неверно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49% авиакомпаний и 33% аэропортов называют интеграцию и согласованность данных главным барьером для ИИ в операциях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Российские системы бронирования «Леонардо» и ОРС (v1)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Источник называет «Леонардо» и «ТАИС»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«Леонардо» и «ТАИС»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SITA и ARINC «ушли» с рынка связи «борт–земля»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Сервисы стали недоступны с 29.03.2022 из-за санкций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так и сформулировано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Эксперимент по биометрии «с 01.06.2026»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Минтранс: запуск до конца I полугодия 2026 г., эксперимент в 2026–2027 гг.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формулировка Минтранса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216,4 млн пасс. в аэропортах — ссылка на «Эксперт»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 статье «Эксперта» этой цифры 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источник — сайт Минтранса (выступление главы Росавиации)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Сочи в сегменте A — ссылка на «Газету.ru»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страница не открылась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Сочи — 13,7 млн пасс. в 2024 г. по «Коммерсанту» (данные аэропорта); три московских аэропорта и Пулково подтверждены «Экспертом»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 аэропортов юга и центра закрыты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Устарело: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в 2025 г. возобновили работу аэропорты Краснодара и Геленджика («Эксперт», «Коммерсантъ»)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закрыты в 2022 г.; Краснодар и Геленджик открыты в 2025 г.; статус остальных уточнить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 аэропортов закрыты «с 24.02.2022» — ссылка на «Деловой Петербург»; указы и ПП № 301 — «Контур» и «Гарант»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эти страницы не открылись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 аэропортов — «Сноб» (март 2022, со списком), Указ № 166 и ПП № 301 — «Коммерсантъ»</w:t>
            </w:r>
          </w:p>
        </w:tc>
      </w:tr>
    </w:tbl>
    <w:p>
      <w:pPr>
        <w:pStyle w:val="Heading2"/>
        <w:spacing w:before="80"/>
      </w:pPr>
      <w:r>
        <w:t xml:space="preserve">Подтверждено по странице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0" w:type="dxa"/>
          <w:left w:w="70" w:type="dxa"/>
          <w:bottom w:w="20" w:type="dxa"/>
          <w:right w:w="70" w:type="dxa"/>
        </w:tblCellMar>
        <w:tblLook w:firstRow="1" w:lastRow="0" w:firstColumn="0" w:lastColumn="0" w:noHBand="0" w:noVBand="0" w:val="0020"/>
      </w:tblPr>
      <w:tblGrid>
        <w:gridCol w:w="4865"/>
        <w:gridCol w:w="3054"/>
      </w:tblGrid>
      <w:tr>
        <w:trPr>
          <w:tblHeader w:val="true"/>
          <w:cantSplit/>
          <w:tblHeader/>
        </w:trPr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Утверждение</w:t>
            </w:r>
          </w:p>
        </w:tc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Источник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2025: 108,5 млн пасс., −2,7%; январь–октябрь: группа «Аэрофлот» — 42,5 млн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www1.ru, «Эксперт»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2024: аэропорты — 216,4 млн пасс. (+5,1%); 30 миллионников; Шереметьево 43,9, Пулково 20,9, Внуково 16, Домодедово 15,6 млн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Минтранс, «Эксперт»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118 авиакомпаний, 15 выполняют 94% перевозок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Tourdom (данные Росавиации)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75 аэропортов — «больше трети» аэропортовой 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«Профиль»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53 авиакомпании перешли на российские системы бронирования (01.11.2022)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«Сноб» (ТАСС, Минтранс)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Указ № 166: с 01.01.2025 запрет иностранного ПО на объектах КИИ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«Коммерсантъ»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Сбой систем «Аэрофлота» 28.07.2025, отменено около 50 пар рейсов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vc.ru, ЕАН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Около 45% транспортных организаций применяют ИИ (оценка Минтранса и ЦТЛ)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публикация канала Минтранса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Задержки до 7 часов в Казани из-за плана «Ковёр»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Tourdom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Росавиация убрала часть данных («оптимизация публикуемой информации»)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«Коммерсантъ»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Подсанкционные госкомпании не публикуют закупки в ЕИС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«Коммерсантъ»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НАИС-2026: 4–5 февраля, «Крокус Экспо», более 200 компаний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РИАМО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SITA 2025: ИТ-расходы 3,6% выручки у авиакомпаний и 7,3% у аэропортов; ИИ в управлении операциями — 63% авиакомпаний; 83% и 89% ставят в приоритет решения на основе данных; методика (39 авиакомпаний, 80 аэропортов, взвешивание по трафику)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полный отчёт SITA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ACI World и SITA: 19 лет совместного исследования, выпуск 11.04.2023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AviationPros (пресс-релиз ACI)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WEF 2026: 804 руководителя из 92 стран; ИИ — главный фактор изменений (94%); проверка безопасности ИИ — 64% (было 37%); подрядчики — главное препятствие для 65% крупных компаний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обзор Kiteworks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ENISA: шифровальщики 38%, угрозы данным 30%, цепочка поставок 10% (98 инцидентов)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полный отчёт ENISA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EASA и IATA: потеря сигнала GPS +220% за 2021–2024 гг.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пресс-релиз EASA от 18.06.2025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Roland Berger: 100 руководителей; более 90% операторов аэропортов повысят ИТ-инвестиции за 5 лет; более 70% считают ИИ перспективным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сайт Roland Berger</w:t>
            </w:r>
          </w:p>
        </w:tc>
      </w:tr>
    </w:tbl>
    <w:p>
      <w:pPr>
        <w:pStyle w:val="Heading2"/>
        <w:spacing w:before="80"/>
      </w:pPr>
      <w:r>
        <w:t xml:space="preserve">Новые факты, добавленные после сверки</w:t>
      </w:r>
    </w:p>
    <w:p>
      <w:pPr>
        <w:pStyle w:val="Compact"/>
        <w:numPr>
          <w:ilvl w:val="0"/>
          <w:numId w:val="1002"/>
        </w:numPr>
      </w:pPr>
      <w:r>
        <w:t xml:space="preserve">SITA 2025: ИИ для ответов пассажирам — у 75% авиакомпаний, для контроля обслуживания ВС — только у 17%; инвестировать в ИИ планируют 73% аэропортов и 90% авиакомпаний; киоски самообслуживания — в 77% аэропортов, автоматическая сдача багажа — в 63%, биометрический пограничный контроль — в 54%; из авиакомпаний, применяющих ИИ, в кибербезопасности его используют 49%.</w:t>
      </w:r>
    </w:p>
    <w:p>
      <w:pPr>
        <w:pStyle w:val="Compact"/>
        <w:numPr>
          <w:ilvl w:val="0"/>
          <w:numId w:val="1002"/>
        </w:numPr>
      </w:pPr>
      <w:r>
        <w:t xml:space="preserve">SITA 2025, методика: опрос вела независимая компания, ответы конфиденциальны, публикуются только обобщённые данные — это мы и предлагаем в концепции.</w:t>
      </w:r>
    </w:p>
    <w:p>
      <w:pPr>
        <w:pStyle w:val="Compact"/>
        <w:numPr>
          <w:ilvl w:val="0"/>
          <w:numId w:val="1002"/>
        </w:numPr>
      </w:pPr>
      <w:r>
        <w:t xml:space="preserve">WEF 2026: киберустойчивость выше требований — у 19% организаций, недостаточная — у 17%; учения вместе с подрядчиками проводят лишь 27%.</w:t>
      </w:r>
    </w:p>
    <w:sectPr>
      <w:footerReference w:type="default" r:id="rId9"/>
      <w:pgSz w:h="16838" w:w="11906"/>
      <w:pgMar w:left="1020" w:right="1020" w:top="794" w:bottom="794" w:footer="397" w:header="39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 w:line="240" w:lineRule="auto"/>
    </w:pPr>
    <w:rPr>
      <w:rFonts w:ascii="Arial" w:cs="Arial" w:eastAsia="Arial" w:hAnsi="Arial"/>
      <w:sz w:val="19"/>
    </w:rPr>
  </w:style>
  <w:style w:styleId="BodyText" w:type="paragraph">
    <w:name w:val="Body Text"/>
    <w:basedOn w:val="Normal"/>
    <w:link w:val="BodyTextChar"/>
    <w:pPr>
      <w:spacing w:after="60" w:before="0" w:line="240" w:lineRule="auto"/>
    </w:pPr>
    <w:qFormat/>
    <w:rPr>
      <w:rFonts w:ascii="Arial" w:cs="Arial" w:eastAsia="Arial" w:hAnsi="Arial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 w:line="240" w:lineRule="auto"/>
    </w:pPr>
    <w:rPr>
      <w:rFonts w:ascii="Arial" w:cs="Arial" w:eastAsia="Arial" w:hAnsi="Arial"/>
      <w:sz w:val="19"/>
    </w:rPr>
  </w:style>
  <w:style w:customStyle="1" w:styleId="Compact" w:type="paragraph">
    <w:name w:val="Compact"/>
    <w:basedOn w:val="BodyText"/>
    <w:qFormat/>
    <w:pPr>
      <w:spacing w:after="20" w:before="0" w:line="240" w:lineRule="auto"/>
    </w:pPr>
    <w:rPr>
      <w:rFonts w:ascii="Arial" w:cs="Arial" w:eastAsia="Arial" w:hAnsi="Arial"/>
      <w:sz w:val="17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0"/>
      <w:outlineLvl w:val="0"/>
    </w:pPr>
    <w:rPr>
      <w:rFonts w:ascii="Arial" w:cs="Arial" w:eastAsia="Arial" w:hAnsi="Arial"/>
      <w:b/>
      <w:bCs/>
      <w:i w:val="0"/>
      <w:color w:val="1F3A5F"/>
      <w:sz w:val="27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40"/>
      <w:outlineLvl w:val="1"/>
    </w:pPr>
    <w:rPr>
      <w:rFonts w:ascii="Arial" w:cs="Arial" w:eastAsia="Arial" w:hAnsi="Arial"/>
      <w:b/>
      <w:bCs/>
      <w:i w:val="0"/>
      <w:color w:val="1F3A5F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40" w:before="100"/>
      <w:outlineLvl w:val="2"/>
    </w:pPr>
    <w:rPr>
      <w:rFonts w:ascii="Arial" w:cs="Arial" w:eastAsia="Arial" w:hAnsi="Arial"/>
      <w:b/>
      <w:bCs/>
      <w:i w:val="0"/>
      <w:color w:val="1F3A5F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2026-10-26T21:02:40Z</dcterms:created>
  <dcterms:modified xsi:type="dcterms:W3CDTF">2026-10-26T21:02:40Z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