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Ежегодное исследование цифровизации аэропортов и авиакомпаний России</w:t>
      </w:r>
    </w:p>
    <w:p>
      <w:pPr>
        <w:pStyle w:val="FirstParagraph"/>
      </w:pPr>
      <w:r>
        <w:rPr>
          <w:bCs/>
          <w:b/>
        </w:rPr>
        <w:t xml:space="preserve">Концепция для решения ГД</w:t>
      </w:r>
      <w:r>
        <w:t xml:space="preserve"> </w:t>
      </w:r>
      <w:r>
        <w:t xml:space="preserve">· проект v1 от 23.10.2026 · задача Б24 № 349714 · исполнитель: В. Горбатко</w:t>
      </w:r>
    </w:p>
    <w:p>
      <w:pPr>
        <w:pStyle w:val="BodyText"/>
      </w:pPr>
      <w:r>
        <w:t xml:space="preserve">[n] — источник из приложения.</w:t>
      </w:r>
      <w:r>
        <w:t xml:space="preserve"> </w:t>
      </w:r>
      <w:r>
        <w:rPr>
          <w:bCs/>
          <w:b/>
        </w:rPr>
        <w:t xml:space="preserve">(П)</w:t>
      </w:r>
      <w:r>
        <w:t xml:space="preserve"> </w:t>
      </w:r>
      <w:r>
        <w:t xml:space="preserve">— предположение или наше предложение; требует проверки или решения.</w:t>
      </w:r>
    </w:p>
    <w:p>
      <w:pPr>
        <w:pStyle w:val="Heading2"/>
      </w:pPr>
      <w:r>
        <w:t xml:space="preserve">Что предлагается решить</w:t>
      </w:r>
    </w:p>
    <w:p>
      <w:pPr>
        <w:pStyle w:val="Compact"/>
        <w:numPr>
          <w:ilvl w:val="0"/>
          <w:numId w:val="1001"/>
        </w:numPr>
      </w:pPr>
      <w:r>
        <w:t xml:space="preserve">Запустить исследование: первая волна — сбор данных в феврале–апреле 2027 г., публикация в сентябре–октябре 2027 г., далее ежегодно.</w:t>
      </w:r>
    </w:p>
    <w:p>
      <w:pPr>
        <w:pStyle w:val="Compact"/>
        <w:numPr>
          <w:ilvl w:val="0"/>
          <w:numId w:val="1001"/>
        </w:numPr>
      </w:pPr>
      <w:r>
        <w:t xml:space="preserve">Продукт: «Индекс цифровизации гражданской авиации России» (рабочее название,</w:t>
      </w:r>
      <w:r>
        <w:t xml:space="preserve"> </w:t>
      </w:r>
      <w:r>
        <w:rPr>
          <w:bCs/>
          <w:b/>
        </w:rPr>
        <w:t xml:space="preserve">П</w:t>
      </w:r>
      <w:r>
        <w:t xml:space="preserve">) — публичный отчёт, персональные профили участников и внутренняя карта рынка.</w:t>
      </w:r>
    </w:p>
    <w:p>
      <w:pPr>
        <w:pStyle w:val="Compact"/>
        <w:numPr>
          <w:ilvl w:val="0"/>
          <w:numId w:val="1001"/>
        </w:numPr>
      </w:pPr>
      <w:r>
        <w:t xml:space="preserve">Поручить переговоры о соорганизации с Ассоциацией «Аэропорт» ГА [27] — основной канал к аэропортам.</w:t>
      </w:r>
    </w:p>
    <w:p>
      <w:pPr>
        <w:pStyle w:val="Compact"/>
        <w:numPr>
          <w:ilvl w:val="0"/>
          <w:numId w:val="1001"/>
        </w:numPr>
      </w:pPr>
      <w:r>
        <w:t xml:space="preserve">Утвердить правила конфиденциальности (раздел 6): публикуем только обобщённые данные, организации называем только с их согласия.</w:t>
      </w:r>
    </w:p>
    <w:p>
      <w:pPr>
        <w:pStyle w:val="Compact"/>
        <w:numPr>
          <w:ilvl w:val="0"/>
          <w:numId w:val="1001"/>
        </w:numPr>
      </w:pPr>
      <w:r>
        <w:t xml:space="preserve">Назначить руководителя проекта (около 0,5 ставки на 9 месяцев) и экспертов (раздел 6,</w:t>
      </w:r>
      <w:r>
        <w:t xml:space="preserve"> </w:t>
      </w:r>
      <w:r>
        <w:rPr>
          <w:bCs/>
          <w:b/>
        </w:rPr>
        <w:t xml:space="preserve">П</w:t>
      </w:r>
      <w:r>
        <w:t xml:space="preserve">).</w:t>
      </w:r>
    </w:p>
    <w:p>
      <w:pPr>
        <w:pStyle w:val="Heading2"/>
      </w:pPr>
      <w:r>
        <w:t xml:space="preserve">1. Зачем и для кого</w:t>
      </w:r>
    </w:p>
    <w:p>
      <w:pPr>
        <w:pStyle w:val="FirstParagraph"/>
      </w:pPr>
      <w:r>
        <w:rPr>
          <w:bCs/>
          <w:b/>
        </w:rPr>
        <w:t xml:space="preserve">Контекст.</w:t>
      </w:r>
      <w:r>
        <w:t xml:space="preserve"> </w:t>
      </w:r>
      <w:r>
        <w:t xml:space="preserve">Рынок концентрирован и быстро меняется. В 2025 г. авиакомпании перевезли 108,5 млн пассажиров (−2,7%) [1]; 15 из 118 авиакомпаний выполняют 94% перевозок [4]. Все 53 авиакомпании к 01.11.2022 перешли на российские системы бронирования [9]; с 01.01.2025 на значимых объектах КИИ запрещено иностранное ПО [10]. Кибератака на «Аэрофлот» 28.07.2025 привела к массовой отмене рейсов [12]. Регулярного публичного исследования цифровизации именно аэропортов и авиакомпаний России в открытых источниках не нашлось (</w:t>
      </w:r>
      <w:r>
        <w:rPr>
          <w:bCs/>
          <w:b/>
        </w:rPr>
        <w:t xml:space="preserve">П</w:t>
      </w:r>
      <w:r>
        <w:t xml:space="preserve">: вывод по результатам поиска, проверить с НТС). Известные индексы либо охватывают всю экономику (ВШЭ [23], методика Росстата «Цифровая зрелость» [21]), либо относятся к другим видам транспорта (индекс Минтранса для грузоперевозок [22]).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1645"/>
        <w:gridCol w:w="4422"/>
        <w:gridCol w:w="1851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Польза для компании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Как её даёт исследование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Ориентир успеха (</w:t>
            </w:r>
            <w:r>
              <w:rPr>
                <w:bCs/>
                <w:b/>
                <w:sz w:val="17"/>
              </w:rPr>
              <w:t xml:space="preserve">П</w:t>
            </w:r>
            <w:r>
              <w:rPr>
                <w:b/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Позиционирование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Компания — автор регулярного отраслевого индекса с открытой методикой; цифры цитируют СМИ и отраслевые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≥5 публикаций в отраслевых СМИ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Повод для контакта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Каждый участник получает профиль «ваша организация в сравнении с сегментом» — повод для встречи с ИТ-директором; интервью дают выход на первых лиц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≥30 встреч по итогам волны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Карта рынка для коммерции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Уровень по блокам × сегменты + открытые данные (закупки, новости): где спрос, у кого какие системы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карта по ≥100 организациям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Материал для выступлений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Ежегодные цифры и кейсы для НАИС, мероприятий Ассоциации, лекций «Цифровизация аэропортов» и курса «Цифровизация ВТ»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3–5 выступлений в год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Продукты разработки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Где не хватает российских решений и что планируют внедрять — вход в дорожную карту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вопрос D3 анкеты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Читатели отчёта.</w:t>
      </w:r>
      <w:r>
        <w:t xml:space="preserve"> </w:t>
      </w:r>
      <w:r>
        <w:t xml:space="preserve">Основной — руководители аэропортов и авиакомпаний: генеральные директора, ИТ-директора и директора по цифровизации, директора по производству и коммерции. Им нужно сравнение с сегментом и приоритеты отрасли. Далее — Минтранс, Росавиация и отраслевые объединения (картина отрасли для программ цифровой трансформации транспорта [25]); владельцы аэропортовых холдингов и инвесторы; отраслевые СМИ. Внутренний читатель — ГД, коммерция и разработка: им расширенная версия с картой рынка (не публикуется).</w:t>
      </w:r>
    </w:p>
    <w:p>
      <w:pPr>
        <w:pStyle w:val="Heading2"/>
      </w:pPr>
      <w:r>
        <w:t xml:space="preserve">2. Кого изучаем</w:t>
      </w:r>
    </w:p>
    <w:p>
      <w:pPr>
        <w:pStyle w:val="FirstParagraph"/>
      </w:pPr>
      <w:r>
        <w:rPr>
          <w:bCs/>
          <w:b/>
        </w:rPr>
        <w:t xml:space="preserve">Генеральная совокупность первой волны.</w:t>
      </w:r>
      <w:r>
        <w:t xml:space="preserve"> </w:t>
      </w:r>
      <w:r>
        <w:t xml:space="preserve">Аэропорты с регулярными пассажирскими рейсами — порядка 200: на модернизацию направляют 75 аэропортов, это «более трети» аэропортовой сети [5]; точный перечень возьмём из данных Росавиации и ОРАКУЛа (</w:t>
      </w:r>
      <w:r>
        <w:rPr>
          <w:bCs/>
          <w:b/>
        </w:rPr>
        <w:t xml:space="preserve">П</w:t>
      </w:r>
      <w:r>
        <w:t xml:space="preserve">). Авиакомпании — 118 эксплуатантов [4]. Грузовые, вертолётные компании и бизнес-авиацию в первую волну не включаем (</w:t>
      </w:r>
      <w:r>
        <w:rPr>
          <w:bCs/>
          <w:b/>
        </w:rPr>
        <w:t xml:space="preserve">П</w:t>
      </w:r>
      <w:r>
        <w:t xml:space="preserve">).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1431"/>
        <w:gridCol w:w="3244"/>
        <w:gridCol w:w="3244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Признак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Сегменты аэропортов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Комментарий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Пассажиропоток за год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≥10 млн · B 3–10 млн · C 1–3 млн · D 0,1–1 млн · E &lt;0,1 млн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 2024 г. 30 аэропортов-миллионников, всего 216,4 млн пасс. [2]; в A — Шереметьево, Пулково, Внуково, Домодедово, Сочи; топ-10 — около 66% трафика (наш расчёт по [2], [3])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Регион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федеральные округа; Московский авиаузел — отдельно; признак «Арктика и Крайний Север»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от региона зависят бюджеты и доля субсидируемых рейсов (</w:t>
            </w:r>
            <w:r>
              <w:rPr>
                <w:bCs/>
                <w:b/>
                <w:sz w:val="17"/>
              </w:rPr>
              <w:t xml:space="preserve">П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Собственник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частный холдинг (например, «Новапорт» — доли в 22 аэропортах [6]); федеральная собственность, в т. ч. обращённые в доход государства (Домодедово, 2025 [7]); субъект РФ или муниципалитет; отдельная частная компания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 холдингах ИТ часто централизованы — анкета от управляющей компании и от аэропорта (</w:t>
            </w:r>
            <w:r>
              <w:rPr>
                <w:bCs/>
                <w:b/>
                <w:sz w:val="17"/>
              </w:rPr>
              <w:t xml:space="preserve">П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Статус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работает · ограничение полётов (11 аэропортов юга и центра закрыты с 24.02.2022 [8]; статус на 2027 г. уточнить)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закрытые аэропорты в индексе не штрафуем, показываем отдельно</w:t>
            </w:r>
          </w:p>
        </w:tc>
      </w:tr>
    </w:tbl>
    <w:p>
      <w:pPr>
        <w:pStyle w:val="BodyText"/>
        <w:spacing w:before="80"/>
      </w:pPr>
      <w:r>
        <w:t xml:space="preserve">Сегменты авиакомпаний: по перевозкам — I ≥10 млн пасс. (группа «Аэрофлот» — 42,5 млн за январь–октябрь 2025 г. [1]), II 2–10 млн, III 0,3–2 млн, IV &lt;0,3 млн; по модели — сетевая, лоукост, чартерная, региональная и местная (в т. ч. субсидируемые рейсы); по собственнику — государственная (федеральная или региональная), частная, в составе группы.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2320"/>
        <w:gridCol w:w="2800"/>
        <w:gridCol w:w="2800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Выборка (</w:t>
            </w:r>
            <w:r>
              <w:rPr>
                <w:bCs/>
                <w:b/>
                <w:sz w:val="17"/>
              </w:rPr>
              <w:t xml:space="preserve">П</w:t>
            </w:r>
            <w:r>
              <w:rPr>
                <w:b/>
                <w:sz w:val="17"/>
              </w:rPr>
              <w:t xml:space="preserve">: цели, проверить на пилоте)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Аэропорты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Авиакомпании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Цель первой волны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40–50: все из A и B, не менее половины C, 15–20 из D и 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20–25: ≥10 из 15 крупнейших + 10–15 региональных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Охват трафика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≥60% пассажиропотока аэропортов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≥70% перевозок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Кого приглашаем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всех (~200)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всех (118)</w:t>
            </w:r>
          </w:p>
        </w:tc>
      </w:tr>
    </w:tbl>
    <w:p>
      <w:pPr>
        <w:pStyle w:val="BodyText"/>
        <w:spacing w:before="80"/>
      </w:pPr>
      <w:r>
        <w:t xml:space="preserve">При отклике 20–30% (</w:t>
      </w:r>
      <w:r>
        <w:rPr>
          <w:bCs/>
          <w:b/>
        </w:rPr>
        <w:t xml:space="preserve">П</w:t>
      </w:r>
      <w:r>
        <w:t xml:space="preserve">) получим 60–75 анкет. Единица наблюдения — организация: одна сводная анкета, отдельные блоки ИТ-директор может передать профильным руководителям. Данные по сегменту публикуем, только если в нём не меньше 5 ответов.</w:t>
      </w:r>
    </w:p>
    <w:p>
      <w:pPr>
        <w:pStyle w:val="Heading2"/>
      </w:pPr>
      <w:r>
        <w:t xml:space="preserve">3. Что измеряем: блоки и индекс цифровизации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1714"/>
        <w:gridCol w:w="3102"/>
        <w:gridCol w:w="3102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Блок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Аэропорт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Авиакомпания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1. Производственные процессы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планирование ресурсов (стоянки, гейты, стойки), суточный план, обмен данными с авиакомпаниями и УВД (A-CDM), ситуационный центр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планирование расписания и парка, центр управления полётами, загрузка и центровка, электронная документация экипажа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2. Коммерция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неавиационные доходы, онлайн-продажа услуг, CRM и лояльность, расчёты с авиакомпаниями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собственные цифровые каналы продаж, управление доходами, лояльность, дополнительные услуги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3. Наземное обслуживание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диспетчеризация хендлинга, телематика спецтехники, самообслуживание, багаж, биометрия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регистрация (DCS), контроль подрядчиков, самообслуживание, розыск багажа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 ТОиР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ТОиР инфраструктуры и спецтехники, запчасти, мобильные рабочие места, датчики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планирование ТО ВС, учёт ресурса и компонентов, электронные карты-наряды, предиктивное ТО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 Экипажи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не применимо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планирование и ростеринг, рабочее время и отдых, подготовка и допуски, приложение экипажа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6. Данные и аналитика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хранилище данных, единые справочники, дашборды руководства, обмен данными с партнёрами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то же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7. 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статус по сценариям: прогноз спроса и потока, планирование ресурсов, видеоаналитика, предиктивное ТО, ассистенты на генеративном ИИ, обработка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то же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8. Импортозамещение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статус перехода по классам систем: производство, регистрация, ERP, ТОиР, документооборот, инфраструктура (ОС, СУБД)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то же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9. Информационная безопасность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организационная зрелость без технических деталей: мониторинг 24/7, учения, план восстановления и его проверка, обучение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то же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Шкала.</w:t>
      </w:r>
      <w:r>
        <w:t xml:space="preserve"> </w:t>
      </w:r>
      <w:r>
        <w:t xml:space="preserve">Каждый подпроцесс оценивается от 0 до 4 по якорным описаниям — они снижают субъективность самооценки. Блоки 1–6: 0 — бумага, Excel, телефон; 1 — отдельные программы, данные переносят вручную; 2 — единая система по процессу, данные вводят один раз; 3 — интеграция с другими системами и партнёрами, данные в реальном времени; 4 — прогноз и оптимизация, система подсказывает или принимает решения. Блок 7 (ИИ): 0 — не рассматриваем … 4 — работает в эксплуатации с измеренным эффектом. Блок 8: 0 — иностранная система, плана замены нет … 4 — российская система полностью. Блок 9: пять описанных уровней зрелости. Ответ «не применимо / на аутсорсе» в расчёт не входит.</w:t>
      </w:r>
    </w:p>
    <w:p>
      <w:pPr>
        <w:pStyle w:val="BodyText"/>
      </w:pPr>
      <w:r>
        <w:rPr>
          <w:bCs/>
          <w:b/>
        </w:rPr>
        <w:t xml:space="preserve">Расчёт.</w:t>
      </w:r>
      <w:r>
        <w:t xml:space="preserve"> </w:t>
      </w:r>
      <w:r>
        <w:t xml:space="preserve">Балл блока = среднее по подпроцессам ÷ 4 × 100. Индекс = сумма баллов блоков с весами. Считаем два индекса — для аэропортов и для авиакомпаний, потому что процессы у них разные. Уровни: 0–25 «начальный», 25–50 «базовый», 50–75 «продвинутый», 75–100 «лидер».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143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Блок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1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2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3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4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5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6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7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8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Вес для аэропортов,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Вес для авиакомпаний,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</w:tr>
    </w:tbl>
    <w:p>
      <w:pPr>
        <w:pStyle w:val="BodyText"/>
        <w:spacing w:before="80"/>
      </w:pPr>
      <w:r>
        <w:t xml:space="preserve">Веса стартовые (</w:t>
      </w:r>
      <w:r>
        <w:rPr>
          <w:bCs/>
          <w:b/>
        </w:rPr>
        <w:t xml:space="preserve">П</w:t>
      </w:r>
      <w:r>
        <w:t xml:space="preserve">). Утвердить их экспертной оценкой (5–7 экспертов: НТС, разработка, 2–3 внешних) и не менять три года. Для контроля считаем и индекс с равными весами: если места сегментов меняются, объясняем это в отчёте.</w:t>
      </w:r>
    </w:p>
    <w:p>
      <w:pPr>
        <w:pStyle w:val="BodyText"/>
      </w:pPr>
      <w:r>
        <w:rPr>
          <w:bCs/>
          <w:b/>
        </w:rPr>
        <w:t xml:space="preserve">Как сравнивать год к году.</w:t>
      </w:r>
      <w:r>
        <w:t xml:space="preserve"> </w:t>
      </w:r>
      <w:r>
        <w:t xml:space="preserve">(1) Вопросы о блоках не меняются минимум три года; новые темы идут модулем «тема года» вне индекса — так SITA выделяет главную тему выпуска (в 2025 г. — согласованность данных [14]). (2) Динамику считаем по панели — организациям, ответившим в оба года; по всей выборке показываем только уровень. (3) Даём два средних: по организациям и взвешенное по пассажиропотоку (SITA показывает охват выборки в доле трафика [16]). (4) Изменение называем значимым, только если оно выходит за доверительный интервал. (5) Если меняем шкалу или веса, пересчитываем прошлые годы.</w:t>
      </w:r>
    </w:p>
    <w:p>
      <w:pPr>
        <w:pStyle w:val="Heading2"/>
      </w:pPr>
      <w:r>
        <w:t xml:space="preserve">4. Откуда данные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1827"/>
        <w:gridCol w:w="2959"/>
        <w:gridCol w:w="3133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Источник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Что даёт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Ограничения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Анкета (основа индекса)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баллы по блокам, приоритеты, барьеры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самооценка; отвечают чаще продвинутые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Интервью, 15–20 в год по 45–60 мин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причины, кейсы, проверка выводов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трудоёмко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ЕИС (закупки по 223-ФЗ и 44-ФЗ)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предмет и объём ИТ-закупок, поставщики; карта рынка и проверка самооценки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заказчики под санкциями не размещают сведения о закупках (ПП № 301 [19]); частные компании без госучастия в ЕИС, как правило, не видны (</w:t>
            </w:r>
            <w:r>
              <w:rPr>
                <w:bCs/>
                <w:b/>
                <w:sz w:val="17"/>
              </w:rPr>
              <w:t xml:space="preserve">П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Отчётность и раскрытие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ИТ-проекты, инвестиции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раскрытие сокращено; Росавиация публикует меньше данных [20]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Новости и конференции (НАИС, АТО, CNews, ComNews, TAdviser)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объявленные проекты: например, нейросети в управлении доходами и ИИ-партнёрства «Аэрофлота» [13]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пресс-релизы приукрашивают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Статистика Росавиации и Минтранса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пассажиропоток для сегментов и весов [1]–[3]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часть цифр предварительная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Внутренние данные ОРАКУЛа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генеральная совокупность и контакты (</w:t>
            </w:r>
            <w:r>
              <w:rPr>
                <w:bCs/>
                <w:b/>
                <w:sz w:val="17"/>
              </w:rPr>
              <w:t xml:space="preserve">П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доступ после VPN или через Глеба; в документ не включены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Реестры: российского ПО; технологий ИИ Минтранса [24]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классификация систем и сценариев 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  <w:spacing w:before="80"/>
      </w:pPr>
      <w:r>
        <w:t xml:space="preserve">Открытые данные вспомогательные: они идут в карту рынка и в проверку ответов, но не в баллы индекса.</w:t>
      </w:r>
    </w:p>
    <w:p>
      <w:pPr>
        <w:pStyle w:val="BodyText"/>
      </w:pPr>
      <w:r>
        <w:rPr>
          <w:bCs/>
          <w:b/>
        </w:rPr>
        <w:t xml:space="preserve">Зарубежные аналоги.</w:t>
      </w:r>
      <w:r>
        <w:t xml:space="preserve"> </w:t>
      </w:r>
      <w:r>
        <w:t xml:space="preserve">SITA Air Transport IT Insights выходит ежегодно. Выпуск 2025 г. (опубликован в апреле 2026 г.): ИТ-расходы авиакомпаний — 36 млрд долл. (3,6% выручки), аэропортов — 14,8 млрд долл. (7,3%); решения на основе данных — стратегический приоритет для 83% авиакомпаний и 89% аэропортов [14]. Выборка 2024 г. — более 100 авиакомпаний и 236 аэропортов [15]; ранее — около 180 ИТ-руководителей из 41–45 стран [16]. ACI World и SITA 19 лет вели совместное Airport IT Insights; выпуск 2022 г. вышел 11.04.2023 г. [17]. Кроме того, ACI выпускает руководства по цифровой трансформации аэропортов [18].</w:t>
      </w:r>
    </w:p>
    <w:p>
      <w:pPr>
        <w:pStyle w:val="BodyText"/>
      </w:pPr>
      <w:r>
        <w:rPr>
          <w:iCs/>
          <w:i/>
        </w:rPr>
        <w:t xml:space="preserve">Берём:</w:t>
      </w:r>
      <w:r>
        <w:t xml:space="preserve"> </w:t>
      </w:r>
      <w:r>
        <w:t xml:space="preserve">ежегодный цикл с неизменным ядром вопросов; респондента — ИТ-руководителя; отдельные главы для аэропортов и авиакомпаний; долю ИТ-затрат в выручке и ожидания по бюджету; статусы «внедрено / пилот / в планах»; тему года; охват выборки в доле пассажиропотока.</w:t>
      </w:r>
      <w:r>
        <w:t xml:space="preserve"> </w:t>
      </w:r>
      <w:r>
        <w:rPr>
          <w:iCs/>
          <w:i/>
        </w:rPr>
        <w:t xml:space="preserve">Не берём:</w:t>
      </w:r>
      <w:r>
        <w:t xml:space="preserve"> </w:t>
      </w:r>
      <w:r>
        <w:t xml:space="preserve">прямое сравнение с мировыми цифрами — SITA и ARINC ушли с российского рынка связи «борт–земля» в 2022 г. [11], и российских организаций в их выборках, вероятно, нет (</w:t>
      </w:r>
      <w:r>
        <w:rPr>
          <w:bCs/>
          <w:b/>
        </w:rPr>
        <w:t xml:space="preserve">П</w:t>
      </w:r>
      <w:r>
        <w:t xml:space="preserve">); перечни технологий под недоступных поставщиков (Amadeus, Sabre: российские авиакомпании перешли на «Леонардо» и ОРС [9]); бюджеты в долларах — спрашиваем только доли и диапазоны. В доступных материалах SITA и ACI сводного индекса нет (</w:t>
      </w:r>
      <w:r>
        <w:rPr>
          <w:bCs/>
          <w:b/>
        </w:rPr>
        <w:t xml:space="preserve">П</w:t>
      </w:r>
      <w:r>
        <w:t xml:space="preserve">) — мы его вводим и добавляем то, чего у них нет: ТОиР, экипажи, импортозамещение, ИБ с учётом требований к КИИ [10]. Термины сверяем с российскими методиками [21]–[24].</w:t>
      </w:r>
    </w:p>
    <w:p>
      <w:pPr>
        <w:pStyle w:val="Heading2"/>
      </w:pPr>
      <w:r>
        <w:t xml:space="preserve">5. Анкета и распространение</w:t>
      </w:r>
    </w:p>
    <w:p>
      <w:pPr>
        <w:pStyle w:val="FirstParagraph"/>
      </w:pPr>
      <w:r>
        <w:t xml:space="preserve">Проект анкеты — отдельный файл: 22 вопроса, около 20 минут, пять разделов — профиль (5), стратегия и ресурсы (3), уровень по 9 блокам (9), приоритеты и барьеры (3), обратная связь и согласия (2). Это черновик, наружу он не отправлялся.</w:t>
      </w:r>
    </w:p>
    <w:p>
      <w:pPr>
        <w:pStyle w:val="BodyText"/>
      </w:pPr>
      <w:r>
        <w:t xml:space="preserve">Каналы, по приоритету: (1) Ассоциация «Аэропорт» ГА [27] — письмо членам от имени Ассоциации, совместный логотип, презентация итогов на её мероприятии (</w:t>
      </w:r>
      <w:r>
        <w:rPr>
          <w:bCs/>
          <w:b/>
        </w:rPr>
        <w:t xml:space="preserve">П</w:t>
      </w:r>
      <w:r>
        <w:t xml:space="preserve">: условия — предмет переговоров). (2) Клиенты компании — персональные приглашения через аккаунт-менеджеров; канал фиксируем в анкете, чтобы учесть смещение. (3) НАИС: в 2026 г. прошёл 4–5 февраля, более 200 экспонентов [26]; на НАИС-2027 запускаем волну — секция или стенд с QR-кодом (даты 2027 г. уточнить). (4) Письмо от ГД ИТ-директорам 15 крупнейших авиакомпаний и аэропортов-миллионников. Что получает респондент: персональный профиль, ранний доступ к отчёту, закрытую презентацию. Платформа — российский сервис с хранением данных в РФ (</w:t>
      </w:r>
      <w:r>
        <w:rPr>
          <w:bCs/>
          <w:b/>
        </w:rPr>
        <w:t xml:space="preserve">П</w:t>
      </w:r>
      <w:r>
        <w:t xml:space="preserve">: выбрать вместе с ИБ). Сбор — 10 недель, 3 напоминания.</w:t>
      </w:r>
    </w:p>
    <w:p>
      <w:pPr>
        <w:pStyle w:val="Heading2"/>
      </w:pPr>
      <w:r>
        <w:t xml:space="preserve">6. Результат, план, команда, риски</w:t>
      </w:r>
    </w:p>
    <w:p>
      <w:pPr>
        <w:pStyle w:val="FirstParagraph"/>
      </w:pPr>
      <w:r>
        <w:rPr>
          <w:bCs/>
          <w:b/>
        </w:rPr>
        <w:t xml:space="preserve">Что выпускаем.</w:t>
      </w:r>
      <w:r>
        <w:t xml:space="preserve"> </w:t>
      </w:r>
      <w:r>
        <w:t xml:space="preserve">Публичный отчёт на 25–35 страниц (PDF) и резюме на 2 страницы для СМИ; персональный профиль участника (2 стр., конфиденциально); презентацию на 15 слайдов для выступлений и лекций; открытую методику (2–3 стр.); внутреннюю карту рынка для коммерции и разработки — открытые данные плюс ответы тех, кто дал согласие на контакт; её не публикуем. Где публикуем: сайт компании (отчёт — после регистрации), рассылка участникам, отраслевые СМИ, мероприятие Ассоциации или осенний отраслевой форум (</w:t>
      </w:r>
      <w:r>
        <w:rPr>
          <w:bCs/>
          <w:b/>
        </w:rPr>
        <w:t xml:space="preserve">П</w:t>
      </w:r>
      <w:r>
        <w:t xml:space="preserve">).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1813"/>
        <w:gridCol w:w="4007"/>
        <w:gridCol w:w="2099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Срок (</w:t>
            </w:r>
            <w:r>
              <w:rPr>
                <w:bCs/>
                <w:b/>
                <w:sz w:val="17"/>
              </w:rPr>
              <w:t xml:space="preserve">П</w:t>
            </w:r>
            <w:r>
              <w:rPr>
                <w:b/>
                <w:sz w:val="17"/>
              </w:rPr>
              <w:t xml:space="preserve">)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Этап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Результат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до 06.11.2026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концепция; комментарии В. А. Абрамова по сегментам и блокам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решение ГД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09.11–18.12.2026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веса (экспертная оценка), анкета v2, юридическая проверка, переговоры с Ассоциацией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методика, анкета v2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11.01–05.02.2027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пилот на 5–7 клиентах (проверочные интервью), база генеральной совокупности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анкета v3, база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февраль–апрель 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запуск на НАИС; анкета (10 недель), 15–20 интервью, анализ ЕИС и СМИ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данные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май 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очистка, расчёт индекса, сверка с открытыми данными, обсуждение на НТС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расчёт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июнь–август 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отчёт, профили, дизайн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макеты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сентябрь–октябрь 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публикация, выступления, встречи с участниками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отчёт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ноябрь 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разбор итогов, решение о второй волне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Кто нужен (П, оценка трудозатрат).</w:t>
      </w:r>
      <w:r>
        <w:t xml:space="preserve"> </w:t>
      </w:r>
      <w:r>
        <w:t xml:space="preserve">Руководитель исследования — аналитик, около 0,5 ставки на 9 месяцев. Методолог (выборка, анкета, индекс) — свой или внешний, 15–20 человеко-дней. Эксперты — Г. Головченко (НТС, лекции), В. А. Абрамов (разработка), 2–3 внешних — по 2–3 дня. Коммерция — приглашения клиентам. Маркетинг и дизайнер — около 20 человеко-дней. Юрист и специалист по ИБ — по 3 дня. ИИ-ассистент — кабинетное исследование и черновики.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2175"/>
        <w:gridCol w:w="5744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Риск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Что делаем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Низкий отклик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соорганизатор — Ассоциация; анкета не дольше 20 минут; персональный профиль; тёплые каналы; приглашаем всю генеральную совокупность; если анкет меньше 40 — выпускаем «пилотный обзор» без индексов по сегментам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Конфиденциальность ответов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публикуем только обобщённые данные (≥5 ответов в сегменте); называем организацию только с её согласия; ответы и контакты храним раздельно, доступ — у двух человек; коммерция получает контакт только при отдельном согласии; правила конфиденциальности — в начале анкеты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Чувствительность ИБ и КИИ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спрашиваем только об организационной зрелости, без систем и уязвимостей; есть вариант «предпочитаю не отвечать»; раздел ИБ в отчёте согласует специалист по ИБ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Недоверие к поставщику ПО как автору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открытая методика; соорганизатор; экспертный совет; в отчёте нет продуктов компании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Завышенная самооценка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якорные описания уровней; сверка с ЕИС и новостями; интервью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Смещение выборки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фиксируем канал приглашения; сравниваем структуру ответов с генеральной совокупностью; взвешиваем по сегментам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Пробелы в открытых данных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ПП № 301 [19], сокращение раскрытия [20] → открытые данные не входят в индекс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Внешние шоки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закрытые аэропорты — отдельный статус [8]; динамику считаем по панели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Ограничения этой версии.</w:t>
      </w:r>
      <w:r>
        <w:t xml:space="preserve"> </w:t>
      </w:r>
      <w:r>
        <w:t xml:space="preserve">Материалы лекций «Цифровизация аэропортов», курса «Цифровизация ВТ» и данные ОРАКУЛа не использованы — доступа пока нет; после их получения уточним сегменты и генеральную совокупность. Источники найдены через веб-поиск; открыть страницы напрямую из рабочей среды не удалось, поэтому перед внешней публикацией цифры нужно сверить по первоисточникам.</w:t>
      </w:r>
    </w:p>
    <w:p>
      <w:pPr>
        <w:pStyle w:val="BodyText"/>
      </w:pPr>
      <w:r>
        <w:rPr>
          <w:bCs/>
          <w:b/>
        </w:rPr>
        <w:t xml:space="preserve">Просьба к В. А. Абрамову (до 06.11):</w:t>
      </w:r>
      <w:r>
        <w:t xml:space="preserve"> </w:t>
      </w:r>
      <w:r>
        <w:t xml:space="preserve">оценить сегменты (раздел 2), подпроцессы в блоках 1–5 и классы систем в блоке 8 (раздел 3) с точки зрения продуктов разработки, а также вопрос D3 анкеты.</w:t>
      </w:r>
    </w:p>
    <w:p>
      <w:pPr>
        <w:pStyle w:val="Heading2"/>
      </w:pPr>
      <w:r>
        <w:t xml:space="preserve">Приложение. Источники</w:t>
      </w:r>
    </w:p>
    <w:p>
      <w:pPr>
        <w:pStyle w:val="FirstParagraph"/>
      </w:pPr>
      <w:r>
        <w:t xml:space="preserve">Все источники найдены через веб-поиск 23.10.2026. Цифры сверены по поисковой выдаче, по возможности по двум источникам; страницы напрямую не открывались.</w:t>
      </w:r>
    </w:p>
    <w:p>
      <w:pPr>
        <w:pStyle w:val="Compact"/>
        <w:numPr>
          <w:ilvl w:val="0"/>
          <w:numId w:val="1002"/>
        </w:numPr>
      </w:pPr>
      <w:r>
        <w:t xml:space="preserve">Итоги 2025 г. по данным Росавиации: 108,5 млн пасс. (−2,7%), внутренние перевозки — 81,2 млн, международные — 27,4 млн; январь–октябрь 2025 г.: около 84 млн, группа «Аэрофлот» — 42,5 млн. https://www1.ru/news/2026/01/02/passaziropotok-rossiiskix-aviakompanii-v-2025-godu-sokratilsia-na-27-rosaviaciia.html; https://expert.ru/news/passazhiropotok-rossiyskikh-aviakompaniy-za-god-snizilsya-na-2-mln-chelovek/</w:t>
      </w:r>
    </w:p>
    <w:p>
      <w:pPr>
        <w:pStyle w:val="Compact"/>
        <w:numPr>
          <w:ilvl w:val="0"/>
          <w:numId w:val="1002"/>
        </w:numPr>
      </w:pPr>
      <w:r>
        <w:t xml:space="preserve">Аэропорты РФ в 2024 г.: 216,4 млн пасс. (+5,1%), 30 аэропортов-миллионников против 31 в 2023 г. https://expert.ru/news/v-rossii-sokratilos-chislo-aeroportov-s-passazhiropotokom-v-1-mln-chelovek</w:t>
      </w:r>
    </w:p>
    <w:p>
      <w:pPr>
        <w:pStyle w:val="Compact"/>
        <w:numPr>
          <w:ilvl w:val="0"/>
          <w:numId w:val="1002"/>
        </w:numPr>
      </w:pPr>
      <w:r>
        <w:t xml:space="preserve">Крупнейшие аэропорты в 2024 г.: Шереметьево 43,3 млн (по данным Росавиации), Пулково 20,9, Внуково 16,0, Домодедово 15,6, Сочи 13,7, Новосибирск 9,3, Екатеринбург 8,5, Казань 5,4, Минеральные Воды 4,86, Калининград 4,81. https://www.gazeta.ru/social/news/2025/02/04/24998636.shtml</w:t>
      </w:r>
    </w:p>
    <w:p>
      <w:pPr>
        <w:pStyle w:val="Compact"/>
        <w:numPr>
          <w:ilvl w:val="0"/>
          <w:numId w:val="1002"/>
        </w:numPr>
      </w:pPr>
      <w:r>
        <w:t xml:space="preserve">Росавиация, ноябрь 2025 г.: 118 авиакомпаний, 15 из них выполняют 94% перевозок. https://www.tourdom.ru/news/rosaviatsiya-v-rf-ne-budut-iskusstvenno-sokraschat-kolichestvo-aviakompaniy.html; https://www1.ru/news/2025/11/24/cislo-aviakompanii-v-rossii-sokratitsia-estestvennym-obrazom.amp.html</w:t>
      </w:r>
    </w:p>
    <w:p>
      <w:pPr>
        <w:pStyle w:val="Compact"/>
        <w:numPr>
          <w:ilvl w:val="0"/>
          <w:numId w:val="1002"/>
        </w:numPr>
      </w:pPr>
      <w:r>
        <w:t xml:space="preserve">22.12.2024: 250 млрд руб. на реконструкцию 75 аэропортов — «более трети» аэропортовой сети. https://profile.ru/news/economy/modernizaciya-75-aeroportov-novye-dorogi-v-regionah-borba-s-probkami-o-chem-govoril-putin-1638019/</w:t>
      </w:r>
    </w:p>
    <w:p>
      <w:pPr>
        <w:pStyle w:val="Compact"/>
        <w:numPr>
          <w:ilvl w:val="0"/>
          <w:numId w:val="1002"/>
        </w:numPr>
      </w:pPr>
      <w:r>
        <w:t xml:space="preserve">«Новапорт» — доли в 22 региональных аэропортах. https://www.cbinsights.com/company/novaport</w:t>
      </w:r>
    </w:p>
    <w:p>
      <w:pPr>
        <w:pStyle w:val="Compact"/>
        <w:numPr>
          <w:ilvl w:val="0"/>
          <w:numId w:val="1002"/>
        </w:numPr>
      </w:pPr>
      <w:r>
        <w:t xml:space="preserve">Аэропорт Домодедово обращён в доход государства (17.06.2025; апелляция — 01.09.2025). https://expert.ru/news/aeroport-domodedovo-obratili-v-dokhod-gosudarstva/; https://www.bfm.ru/news/575687</w:t>
      </w:r>
    </w:p>
    <w:p>
      <w:pPr>
        <w:pStyle w:val="Compact"/>
        <w:numPr>
          <w:ilvl w:val="0"/>
          <w:numId w:val="1002"/>
        </w:numPr>
      </w:pPr>
      <w:r>
        <w:t xml:space="preserve">Ограничение полётов в 11 аэропортов юга и центра России с 24.02.2022. https://www.dp.ru/a/2022/05/12/Ajeroporti_juga_i_centra_Ro; https://snob.ru/news/rosaviaciya-prodlila-zakrytie-11-aeroportov-rossii-do-1-aprelya/</w:t>
      </w:r>
    </w:p>
    <w:p>
      <w:pPr>
        <w:pStyle w:val="Compact"/>
        <w:numPr>
          <w:ilvl w:val="0"/>
          <w:numId w:val="1002"/>
        </w:numPr>
      </w:pPr>
      <w:r>
        <w:t xml:space="preserve">53 авиакомпании перешли на российские системы бронирования «Леонардо» и ОРС (01.11.2022); ПП РФ № 1393 от 08.08.2022. https://snob.ru/news/vse-rossijskie-aviakompanii-pereshli-na-otechestvennye-sistemy-bronirovaniya/</w:t>
      </w:r>
    </w:p>
    <w:p>
      <w:pPr>
        <w:pStyle w:val="Compact"/>
        <w:numPr>
          <w:ilvl w:val="0"/>
          <w:numId w:val="1002"/>
        </w:numPr>
      </w:pPr>
      <w:r>
        <w:t xml:space="preserve">Указ № 166 от 30.03.2022 (иностранное ПО на значимых объектах КИИ запрещено с 01.01.2025), Указ № 250 от 01.05.2022, ПП РФ № 1912 от 14.11.2023. https://kontur.ru/talk/spravka/54411-ukaz_prezidenta_ob_importozameshchenii; https://habr.com/ru/articles/944312/</w:t>
      </w:r>
    </w:p>
    <w:p>
      <w:pPr>
        <w:pStyle w:val="Compact"/>
        <w:numPr>
          <w:ilvl w:val="0"/>
          <w:numId w:val="1002"/>
        </w:numPr>
      </w:pPr>
      <w:r>
        <w:t xml:space="preserve">Ростех заместил связь «борт–земля» после ухода SITA и ARINC в 2022 г. https://www.comnews.ru/digital-economy/content/227765/2023-07-28/2023-w30/rostekh-importozamestil-sistemu-cifrovoy-svyazi-bort-zemlya-dlya-rossiyskikh-aviakompaniy</w:t>
      </w:r>
    </w:p>
    <w:p>
      <w:pPr>
        <w:pStyle w:val="Compact"/>
        <w:numPr>
          <w:ilvl w:val="0"/>
          <w:numId w:val="1002"/>
        </w:numPr>
      </w:pPr>
      <w:r>
        <w:t xml:space="preserve">Сбой информационных систем «Аэрофлота» 28.07.2025 (квалифицирован как кибератака), отмена рейсов. https://vc.ru/legal/2125132; https://eanews.ru/rossiya/20250729075007/aeroflot-prodolzhaet-otmenu-reysov-posle-masshtabnoy-kiberataki</w:t>
      </w:r>
    </w:p>
    <w:p>
      <w:pPr>
        <w:pStyle w:val="Compact"/>
        <w:numPr>
          <w:ilvl w:val="0"/>
          <w:numId w:val="1002"/>
        </w:numPr>
      </w:pPr>
      <w:r>
        <w:t xml:space="preserve">«Аэрофлот»: нейросети в системе управления доходами, ИИ-партнёрства со Сбером (2025–2026). https://fomag.ru/news-streem/aeroflot-planiruet-integrirovat-ii-v-bolshinstvo-svoego-programmnogo-obespecheniya/; https://www.comnews.ru/digital-economy/content/242474/2025-11-20/2025-w47/1012/aeroflot-i-sber-sozdadut-umnogo-planirovschika-puteshestviy; https://www.vedomosti.ru/technologies/industries_and_markets/news/2026/06/04/1203135-otrasli</w:t>
      </w:r>
    </w:p>
    <w:p>
      <w:pPr>
        <w:pStyle w:val="Compact"/>
        <w:numPr>
          <w:ilvl w:val="0"/>
          <w:numId w:val="1002"/>
        </w:numPr>
      </w:pPr>
      <w:r>
        <w:t xml:space="preserve">SITA, The State of Aviation: 2025 Air Transport IT Insights (апрель 2026): 50,8 млрд долл.; авиакомпании — 36 млрд (3,6% выручки); аэропорты — 14,8 млрд (7,3%); 83% и 89%; ИИ в управлении операциями — у 63% авиакомпаний. https://www.travolution.com/news/sita-says-record-tech-spend-hinges-on-data-coordination/; https://itbrief.co.uk/story/sita-says-fragmented-data-hinders-aviation-tech-spend; https://www.aviacionnews.com/wp-content/uploads/2026/04/The-state-of-aviation-SITA-2025-Air-Transport-IT-Insights.pdf</w:t>
      </w:r>
    </w:p>
    <w:p>
      <w:pPr>
        <w:pStyle w:val="Compact"/>
        <w:numPr>
          <w:ilvl w:val="0"/>
          <w:numId w:val="1002"/>
        </w:numPr>
      </w:pPr>
      <w:r>
        <w:t xml:space="preserve">SITA, Air Transport IT Insights 2024: более 100 авиакомпаний и 236 аэропортов (по пересказу СМИ). https://runwaygirlnetwork.com/2025/02/cybersecurity-as-it-spend-climbs/; https://www.ajot.com/news/aviation-industry-doubles-down-on-cybersecurity-as-it-spend-climbs-to-new-highs</w:t>
      </w:r>
    </w:p>
    <w:p>
      <w:pPr>
        <w:pStyle w:val="Compact"/>
        <w:numPr>
          <w:ilvl w:val="0"/>
          <w:numId w:val="1002"/>
        </w:numPr>
      </w:pPr>
      <w:r>
        <w:t xml:space="preserve">SITA, Air Transport IT Insights 2020 и 2021: более 180 ИТ-руководителей из 41 и 45 стран; охват — в доле пассажиропотока. https://www.sita.aero/resources/surveys-reports/air-transport-it-insights-2020/; https://www.sita.aero/resources/surveys-reports/air-transport-it-insights-2021</w:t>
      </w:r>
    </w:p>
    <w:p>
      <w:pPr>
        <w:pStyle w:val="Compact"/>
        <w:numPr>
          <w:ilvl w:val="0"/>
          <w:numId w:val="1002"/>
        </w:numPr>
      </w:pPr>
      <w:r>
        <w:t xml:space="preserve">ACI World и SITA, Airport IT Insights 2022 (11.04.2023), совместное исследование 19 лет. https://www.aviationpros.com/airports/press-release/53056890/airports-council-international-aci-world-airports-ramp-up-digital-technology-investments-to-meet-demands-of-air-travel-recovery; https://internationalairportreview.com/news/184435/air-travel-recovery-demand-sees-airports-invest-more-in-technology</w:t>
      </w:r>
    </w:p>
    <w:p>
      <w:pPr>
        <w:pStyle w:val="Compact"/>
        <w:numPr>
          <w:ilvl w:val="0"/>
          <w:numId w:val="1002"/>
        </w:numPr>
      </w:pPr>
      <w:r>
        <w:t xml:space="preserve">ACI World: Airport Digital Transformation Best Practice; Airport Commercial Digital Transformation Best Practices. https://www.moodiedavittreport.com/aci-address-challenge-of-digitalisation-at-airports-with-best-practice-guide/; https://www.traveldailynews.com/associations/aci-world-unveils-best-practices-for-airport-commercial-digital-transformation/</w:t>
      </w:r>
    </w:p>
    <w:p>
      <w:pPr>
        <w:pStyle w:val="Compact"/>
        <w:numPr>
          <w:ilvl w:val="0"/>
          <w:numId w:val="1002"/>
        </w:numPr>
      </w:pPr>
      <w:r>
        <w:t xml:space="preserve">ПП РФ № 301 от 06.03.2022: заказчики по 223-ФЗ, в отношении которых введены санкции, не размещают сведения о закупках в ЕИС. https://www.garant.ru/news/1533887/; https://www.pro-ability.ru/tpost/7t3x99d4k1-podsanktsionnie-zakazchiki-ne-mogut-prov</w:t>
      </w:r>
    </w:p>
    <w:p>
      <w:pPr>
        <w:pStyle w:val="Compact"/>
        <w:numPr>
          <w:ilvl w:val="0"/>
          <w:numId w:val="1002"/>
        </w:numPr>
      </w:pPr>
      <w:r>
        <w:t xml:space="preserve">Росавиация убрала с сайта часть данных («оптимизация публикуемой информации»). https://www.kommersant.ru/doc/6790867</w:t>
      </w:r>
    </w:p>
    <w:p>
      <w:pPr>
        <w:pStyle w:val="Compact"/>
        <w:numPr>
          <w:ilvl w:val="0"/>
          <w:numId w:val="1002"/>
        </w:numPr>
      </w:pPr>
      <w:r>
        <w:t xml:space="preserve">Росстат: методика расчёта показателя «Цифровая зрелость» (с учётом использования отечественных ИТ-решений). https://rosstat.gov.ru/storage/mediabank/7bXOLQIm/MET010019.pdf</w:t>
      </w:r>
    </w:p>
    <w:p>
      <w:pPr>
        <w:pStyle w:val="Compact"/>
        <w:numPr>
          <w:ilvl w:val="0"/>
          <w:numId w:val="1002"/>
        </w:numPr>
      </w:pPr>
      <w:r>
        <w:t xml:space="preserve">Приказ Минтранса № 417 от 28.11.2024: «Индекс цифровой трансформации грузоперевозок», ФП «Цифровая трансформация транспортной отрасли». https://rulaws.ru/acts/Prikaz-Mintransa-Rossii-ot-28.11.2024-N-417/</w:t>
      </w:r>
    </w:p>
    <w:p>
      <w:pPr>
        <w:pStyle w:val="Compact"/>
        <w:numPr>
          <w:ilvl w:val="0"/>
          <w:numId w:val="1002"/>
        </w:numPr>
      </w:pPr>
      <w:r>
        <w:t xml:space="preserve">НИУ ВШЭ (ИСИЭЗ): индекс цифровизации бизнеса — 5 показателей (выпуски «Наука. Технологии. Инновации», 2019). https://lsts.hse.ru/data/2019/02/27/1193920132/NTI_N_121_27022019.pdf; https://issek.hse.ru/data/2019/10/03/1542994758/NTI_N_146_03102019.pdf</w:t>
      </w:r>
    </w:p>
    <w:p>
      <w:pPr>
        <w:pStyle w:val="Compact"/>
        <w:numPr>
          <w:ilvl w:val="0"/>
          <w:numId w:val="1002"/>
        </w:numPr>
      </w:pPr>
      <w:r>
        <w:t xml:space="preserve">Белая книга «ИИ в транспорте и логистике» (2025; Ассоциация «Цифровой транспорт и логистика», Альянс в сфере ИИ); реестр технологий ИИ в транспорте. https://mintrans.gov.ru/storage/app/media/files/books_ii_transport.pdf; https://www.gazeta.ru/business/news/2025/10/01/26859740.shtml</w:t>
      </w:r>
    </w:p>
    <w:p>
      <w:pPr>
        <w:pStyle w:val="Compact"/>
        <w:numPr>
          <w:ilvl w:val="0"/>
          <w:numId w:val="1002"/>
        </w:numPr>
      </w:pPr>
      <w:r>
        <w:t xml:space="preserve">Распоряжение Правительства РФ № 3097-р от 03.11.2023 — стратегическое направление цифровой трансформации транспортной отрасли (заменило № 3744-р). https://legalacts.ru/doc/rasporjazhenie-pravitelstva-rf-ot-03112023-n-3097-r-ob-utverzhdenii/</w:t>
      </w:r>
    </w:p>
    <w:p>
      <w:pPr>
        <w:pStyle w:val="Compact"/>
        <w:numPr>
          <w:ilvl w:val="0"/>
          <w:numId w:val="1002"/>
        </w:numPr>
      </w:pPr>
      <w:r>
        <w:t xml:space="preserve">НАИС-2026: 4–5.02.2026, «Крокус Экспо», более 200 компаний, 92% экспонентов — российские. https://riamo.ru/news/obschestvo/aviatsionnaja-vystavka-nais-2026-projdet-v-moskve-45-fevralja/; https://xn–90aivcdt6dxbc.xn–p1ai/articles/news/aviatsionnaya-vystavka-soberet-v-podmoskove-bolee-200-kompaniy-iz-raznykh-stran/</w:t>
      </w:r>
    </w:p>
    <w:p>
      <w:pPr>
        <w:pStyle w:val="Compact"/>
        <w:numPr>
          <w:ilvl w:val="0"/>
          <w:numId w:val="1002"/>
        </w:numPr>
      </w:pPr>
      <w:r>
        <w:t xml:space="preserve">Ассоциация «Аэропорт» гражданской авиации. https://airport.org.ru/about-us/</w:t>
      </w:r>
    </w:p>
    <w:sectPr>
      <w:footerReference w:type="default" r:id="rId9"/>
      <w:pgSz w:h="16838" w:w="11906"/>
      <w:pgMar w:left="1020" w:right="1020" w:top="794" w:bottom="794" w:footer="397" w:header="39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60" w:before="0" w:line="240" w:lineRule="auto"/>
    </w:pPr>
    <w:rPr>
      <w:rFonts w:ascii="Arial" w:cs="Arial" w:eastAsia="Arial" w:hAnsi="Arial"/>
      <w:sz w:val="19"/>
    </w:rPr>
  </w:style>
  <w:style w:styleId="BodyText" w:type="paragraph">
    <w:name w:val="Body Text"/>
    <w:basedOn w:val="Normal"/>
    <w:link w:val="BodyTextChar"/>
    <w:pPr>
      <w:spacing w:after="60" w:before="0" w:line="240" w:lineRule="auto"/>
    </w:pPr>
    <w:qFormat/>
    <w:rPr>
      <w:rFonts w:ascii="Arial" w:cs="Arial" w:eastAsia="Arial" w:hAnsi="Arial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60" w:before="0" w:line="240" w:lineRule="auto"/>
    </w:pPr>
    <w:rPr>
      <w:rFonts w:ascii="Arial" w:cs="Arial" w:eastAsia="Arial" w:hAnsi="Arial"/>
      <w:sz w:val="19"/>
    </w:rPr>
  </w:style>
  <w:style w:customStyle="1" w:styleId="Compact" w:type="paragraph">
    <w:name w:val="Compact"/>
    <w:basedOn w:val="BodyText"/>
    <w:qFormat/>
    <w:pPr>
      <w:spacing w:after="20" w:before="0" w:line="240" w:lineRule="auto"/>
    </w:pPr>
    <w:rPr>
      <w:rFonts w:ascii="Arial" w:cs="Arial" w:eastAsia="Arial" w:hAnsi="Arial"/>
      <w:sz w:val="17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0"/>
      <w:outlineLvl w:val="0"/>
    </w:pPr>
    <w:rPr>
      <w:rFonts w:ascii="Arial" w:cs="Arial" w:eastAsia="Arial" w:hAnsi="Arial"/>
      <w:b/>
      <w:bCs/>
      <w:i w:val="0"/>
      <w:color w:val="1F3A5F"/>
      <w:sz w:val="27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60" w:before="140"/>
      <w:outlineLvl w:val="1"/>
    </w:pPr>
    <w:rPr>
      <w:rFonts w:ascii="Arial" w:cs="Arial" w:eastAsia="Arial" w:hAnsi="Arial"/>
      <w:b/>
      <w:bCs/>
      <w:i w:val="0"/>
      <w:color w:val="1F3A5F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40" w:before="100"/>
      <w:outlineLvl w:val="2"/>
    </w:pPr>
    <w:rPr>
      <w:rFonts w:ascii="Arial" w:cs="Arial" w:eastAsia="Arial" w:hAnsi="Arial"/>
      <w:b/>
      <w:bCs/>
      <w:i w:val="0"/>
      <w:color w:val="1F3A5F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2026-10-23T21:11:51Z</dcterms:created>
  <dcterms:modified xsi:type="dcterms:W3CDTF">2026-10-23T21:11:51Z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