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Ежегодное исследование цифровизации аэропортов и авиакомпаний России</w:t>
      </w:r>
    </w:p>
    <w:p>
      <w:pPr>
        <w:pStyle w:val="FirstParagraph"/>
      </w:pPr>
      <w:r>
        <w:rPr>
          <w:bCs/>
          <w:b/>
        </w:rPr>
        <w:t xml:space="preserve">Концепция для решения ГД</w:t>
      </w:r>
      <w:r>
        <w:t xml:space="preserve"> </w:t>
      </w:r>
      <w:r>
        <w:t xml:space="preserve">· проект v2.2 от 26.10.2026 · задача Б24 № 349714 · учтены итоги встречи с Г. В. Головченко 23.10 · исполнитель: В. Горбатко</w:t>
      </w:r>
    </w:p>
    <w:p>
      <w:pPr>
        <w:pStyle w:val="BodyText"/>
      </w:pPr>
      <w:r>
        <w:t xml:space="preserve">[n] — источник из приложения.</w:t>
      </w:r>
      <w:r>
        <w:t xml:space="preserve"> </w:t>
      </w:r>
      <w:r>
        <w:rPr>
          <w:bCs/>
          <w:b/>
        </w:rPr>
        <w:t xml:space="preserve">(П)</w:t>
      </w:r>
      <w:r>
        <w:t xml:space="preserve"> </w:t>
      </w:r>
      <w:r>
        <w:t xml:space="preserve">— предположение или наше предложение; требует проверки или решения.</w:t>
      </w:r>
    </w:p>
    <w:p>
      <w:pPr>
        <w:pStyle w:val="Heading2"/>
      </w:pPr>
      <w:r>
        <w:t xml:space="preserve">Что предлагается решить</w:t>
      </w:r>
    </w:p>
    <w:p>
      <w:pPr>
        <w:pStyle w:val="Compact"/>
        <w:numPr>
          <w:ilvl w:val="0"/>
          <w:numId w:val="1001"/>
        </w:numPr>
      </w:pPr>
      <w:r>
        <w:t xml:space="preserve">Перезапустить ежегодный опрос с новой анкетой. Вместо вопросов «какие системы у вас стоят» — цели, планы на три года, готовность и барьеры. В центре — искусственный интеллект и информационная безопасность.</w:t>
      </w:r>
    </w:p>
    <w:p>
      <w:pPr>
        <w:pStyle w:val="Compact"/>
        <w:numPr>
          <w:ilvl w:val="0"/>
          <w:numId w:val="1001"/>
        </w:numPr>
      </w:pPr>
      <w:r>
        <w:t xml:space="preserve">Первая волна (</w:t>
      </w:r>
      <w:r>
        <w:rPr>
          <w:bCs/>
          <w:b/>
        </w:rPr>
        <w:t xml:space="preserve">П</w:t>
      </w:r>
      <w:r>
        <w:t xml:space="preserve">): сбор ответов 18.01–13.03.2027 — электронная форма в Битриксе или Яндекс Формах, письма и обзвон; результаты — к середине апреля; выступления — апрель–октябрь 2027 г.</w:t>
      </w:r>
    </w:p>
    <w:p>
      <w:pPr>
        <w:pStyle w:val="Compact"/>
        <w:numPr>
          <w:ilvl w:val="0"/>
          <w:numId w:val="1001"/>
        </w:numPr>
      </w:pPr>
      <w:r>
        <w:t xml:space="preserve">Результат: презентация для выступлений и короткий документ; участникам — сравнение своей организации с отраслью.</w:t>
      </w:r>
    </w:p>
    <w:p>
      <w:pPr>
        <w:pStyle w:val="Compact"/>
        <w:numPr>
          <w:ilvl w:val="0"/>
          <w:numId w:val="1001"/>
        </w:numPr>
      </w:pPr>
      <w:r>
        <w:t xml:space="preserve">Утвердить правила конфиденциальности (раздел 6) и назначить ответственного и сотрудников для обзвона.</w:t>
      </w:r>
    </w:p>
    <w:p>
      <w:pPr>
        <w:pStyle w:val="Compact"/>
        <w:numPr>
          <w:ilvl w:val="0"/>
          <w:numId w:val="1001"/>
        </w:numPr>
      </w:pPr>
      <w:r>
        <w:t xml:space="preserve">По желанию — предложить Ассоциации «Аэропорт» ГА [25] стать соорганизатором: это повысит отклик аэропортов (</w:t>
      </w:r>
      <w:r>
        <w:rPr>
          <w:bCs/>
          <w:b/>
        </w:rPr>
        <w:t xml:space="preserve">П</w:t>
      </w:r>
      <w:r>
        <w:t xml:space="preserve">).</w:t>
      </w:r>
    </w:p>
    <w:p>
      <w:pPr>
        <w:pStyle w:val="Heading2"/>
      </w:pPr>
      <w:r>
        <w:t xml:space="preserve">1. Зачем и для кого</w:t>
      </w:r>
    </w:p>
    <w:p>
      <w:pPr>
        <w:pStyle w:val="FirstParagraph"/>
      </w:pPr>
      <w:r>
        <w:rPr>
          <w:bCs/>
          <w:b/>
        </w:rPr>
        <w:t xml:space="preserve">История.</w:t>
      </w:r>
      <w:r>
        <w:t xml:space="preserve"> </w:t>
      </w:r>
      <w:r>
        <w:t xml:space="preserve">По итогам встречи 23.10: компания около десяти лет проводила ежегодный опрос аэропортов и авиакомпаний России по образцу исследований SITA. Анкету публиковали в Битриксе или Яндекс Формах, затем обзванивали ИТ-директоров и руководителей. Спрашивали, как решены конкретные задачи: есть ли модуль управления ресурсами, как работает звуковое оповещение, есть ли мобильные устройства на перроне. Результаты из года в год повторялись, и опрос остановили.</w:t>
      </w:r>
    </w:p>
    <w:p>
      <w:pPr>
        <w:pStyle w:val="BodyText"/>
      </w:pPr>
      <w:r>
        <w:rPr>
          <w:bCs/>
          <w:b/>
        </w:rPr>
        <w:t xml:space="preserve">Почему перезапуск полезен сейчас.</w:t>
      </w:r>
      <w:r>
        <w:t xml:space="preserve"> </w:t>
      </w:r>
      <w:r>
        <w:t xml:space="preserve">Отрасль меняется быстрее, чем раньше. В 2025 г. авиакомпании перевезли 108,5 млн пассажиров (−2,7%) [1]; 15 из 118 авиакомпаний выполняют 94% перевозок [4]. В 2022 г. 53 авиакомпании перешли на российские системы бронирования [7]; с 01.01.2025 органам власти и госкомпаниям запрещено использовать иностранное ПО на объектах КИИ [8]. Из-за сбоя информационных систем «Аэрофлота» 28.07.2025 отменили около 50 пар рейсов [10]. В Шереметьево и Пулково по постановлению Правительства запускается пилот посадки по биометрии на рейсы «Аэрофлота» Москва — Санкт-Петербург: старт — до конца I полугодия 2026 г., эксперимент — в 2026–2027 гг. [11]. ИИ, по оценке Минтранса и Ассоциации ЦТЛ, применяют около 45% организаций транспортной отрасли [12]. Ограничения полётов дают многочасовые задержки — например, до 7 часов в Казани [13]. Об этом отрасль спорит сейчас, и у компании будет своя цифра по каждой из этих тем.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0" w:type="dxa"/>
          <w:left w:w="70" w:type="dxa"/>
          <w:bottom w:w="20" w:type="dxa"/>
          <w:right w:w="70" w:type="dxa"/>
        </w:tblCellMar>
        <w:tblLook w:firstRow="1" w:lastRow="0" w:firstColumn="0" w:lastColumn="0" w:noHBand="0" w:noVBand="0" w:val="0020"/>
      </w:tblPr>
      <w:tblGrid>
        <w:gridCol w:w="1604"/>
        <w:gridCol w:w="4511"/>
        <w:gridCol w:w="1804"/>
      </w:tblGrid>
      <w:tr>
        <w:trPr>
          <w:tblHeader w:val="true"/>
          <w:cantSplit/>
          <w:tblHeader/>
        </w:trPr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Цель (с встречи 23.10)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Как её даёт исследование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Ориентир (</w:t>
            </w:r>
            <w:r>
              <w:rPr>
                <w:bCs/>
                <w:b/>
                <w:sz w:val="17"/>
              </w:rPr>
              <w:t xml:space="preserve">П</w:t>
            </w:r>
            <w:r>
              <w:rPr>
                <w:b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 Отчёт по итогам опроса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презентация и короткий документ: 5 главных выводов, разделы об ИИ и ИБ, цитаты респондентов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готов к середине апреля 2027 г.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2. Выступления в течение полугода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компания рассказывает не о продуктах, а о выводах исследования, и продукты показывает как ответ на найденные проблемы; для каждого мероприятия — своя подборка слайдов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5–8 выступлений за апрель–октябрь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3. Понимание отрасли и потребностей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разрезы по сегментам и прямые вопросы о потребностях (2.4, 4.4, 6.2, 7.1) — сводка для разработки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сводка передана разработке в апреле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 Карта рынка для коммерции (из постановки задачи)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по сегментам: динамика ИТ-бюджетов (2.2), куда идут инвестиции (2.3), как организации получают решения (2.4), спрос на технологии и ИИ (3.1, 4.2); контакты конкретных организаций — только с их согласия (7.2)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карта передана коммерции в апреле</w:t>
            </w:r>
          </w:p>
        </w:tc>
      </w:tr>
    </w:tbl>
    <w:p>
      <w:pPr>
        <w:pStyle w:val="BodyText"/>
        <w:spacing w:before="80"/>
      </w:pPr>
      <w:r>
        <w:t xml:space="preserve">Ещё одна польза — повод для контакта: звонок с просьбой об участии — уже разговор с ИТ-директором, а сравнение с отраслью, которое участник получит по итогам, — повод для встречи.</w:t>
      </w:r>
    </w:p>
    <w:p>
      <w:pPr>
        <w:pStyle w:val="BodyText"/>
      </w:pPr>
      <w:r>
        <w:rPr>
          <w:bCs/>
          <w:b/>
        </w:rPr>
        <w:t xml:space="preserve">Читатели.</w:t>
      </w:r>
      <w:r>
        <w:t xml:space="preserve"> </w:t>
      </w:r>
      <w:r>
        <w:t xml:space="preserve">Основные — руководители аэропортов и авиакомпаний: генеральные директора, ИТ-директора, руководители ИБ, производства и коммерции. Далее — Минтранс, Росавиация, отраслевые объединения, отраслевые СМИ. Внутренние — ГД, коммерция и разработка; им — сводка потребностей, которую не публикуем.</w:t>
      </w:r>
    </w:p>
    <w:p>
      <w:pPr>
        <w:pStyle w:val="Heading2"/>
      </w:pPr>
      <w:r>
        <w:t xml:space="preserve">2. Кого изучаем</w:t>
      </w:r>
    </w:p>
    <w:p>
      <w:pPr>
        <w:pStyle w:val="FirstParagraph"/>
      </w:pPr>
      <w:r>
        <w:rPr>
          <w:bCs/>
          <w:b/>
        </w:rPr>
        <w:t xml:space="preserve">Генеральная совокупность.</w:t>
      </w:r>
      <w:r>
        <w:t xml:space="preserve"> </w:t>
      </w:r>
      <w:r>
        <w:t xml:space="preserve">Аэропорты с регулярными пассажирскими рейсами — порядка 200: на модернизацию направляют 75 аэропортов, это «более трети» аэропортовой сети [5]. Авиакомпании — 118 эксплуатантов [4]. Точный список и контакты собираем из базы клиентов, данных Росавиации и ОРАКУЛа (</w:t>
      </w:r>
      <w:r>
        <w:rPr>
          <w:bCs/>
          <w:b/>
        </w:rPr>
        <w:t xml:space="preserve">П</w:t>
      </w:r>
      <w:r>
        <w:t xml:space="preserve">).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0" w:type="dxa"/>
          <w:left w:w="70" w:type="dxa"/>
          <w:bottom w:w="20" w:type="dxa"/>
          <w:right w:w="70" w:type="dxa"/>
        </w:tblCellMar>
        <w:tblLook w:firstRow="1" w:lastRow="0" w:firstColumn="0" w:lastColumn="0" w:noHBand="0" w:noVBand="0" w:val="0020"/>
      </w:tblPr>
      <w:tblGrid>
        <w:gridCol w:w="1526"/>
        <w:gridCol w:w="6393"/>
      </w:tblGrid>
      <w:tr>
        <w:trPr>
          <w:tblHeader w:val="true"/>
          <w:cantSplit/>
          <w:tblHeader/>
        </w:trPr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Признак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Сегменты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Пассажиропоток, аэропорты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≥10 млн · B 3–10 млн · C 1–3 млн · D 0,1–1 млн · E &lt;0,1 млн. В 2024 г. аэропорты обслужили 216,4 млн пасс. [3], миллионников — 30 [2]; в A — Шереметьево (43,9 млн), Пулково (20,9), Внуково (16), Домодедово (15,6) [2], Сочи (13,7) [26]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Пассажиропоток, авиакомпании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 ≥10 млн (группа «Аэрофлот» — 42,5 млн за январь–октябрь 2025 г. [1]) · II 2–10 млн · III 0,3–2 млн · IV &lt;0,3 млн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Регион и собственник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федеральные округа, Московский авиаузел отдельно; частный холдинг, федеральная собственность, субъект РФ или муниципалитет, отдельная компания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Статус аэропорта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работает или под ограничением полётов: в 2022 г. закрыли 11 аэропортов юга и центра [6], в 2025 г. возобновили работу Краснодар и Геленджик [27]; статус остальных на 2027 г. уточнить</w:t>
            </w:r>
          </w:p>
        </w:tc>
      </w:tr>
    </w:tbl>
    <w:p>
      <w:pPr>
        <w:pStyle w:val="BodyText"/>
        <w:spacing w:before="80"/>
      </w:pPr>
      <w:r>
        <w:rPr>
          <w:bCs/>
          <w:b/>
        </w:rPr>
        <w:t xml:space="preserve">Цель первой волны (П):</w:t>
      </w:r>
      <w:r>
        <w:t xml:space="preserve"> </w:t>
      </w:r>
      <w:r>
        <w:t xml:space="preserve">60–75 анкет — 40–50 аэропортов (все из A и B, не менее половины C) и 20–25 авиакомпаний (не менее 10 из 15 крупнейших). Приглашаем всю генеральную совокупность; при отклике 20–30% этого хватит. Данные по сегменту показываем, только если в нём не меньше 5 ответов.</w:t>
      </w:r>
    </w:p>
    <w:p>
      <w:pPr>
        <w:pStyle w:val="Heading2"/>
      </w:pPr>
      <w:r>
        <w:t xml:space="preserve">3. Что спрашиваем</w:t>
      </w:r>
    </w:p>
    <w:p>
      <w:pPr>
        <w:pStyle w:val="FirstParagraph"/>
      </w:pPr>
      <w:r>
        <w:rPr>
          <w:bCs/>
          <w:b/>
        </w:rPr>
        <w:t xml:space="preserve">Принцип: не «что у вас стоит», а «куда вы движетесь».</w:t>
      </w:r>
      <w:r>
        <w:t xml:space="preserve"> </w:t>
      </w:r>
      <w:r>
        <w:t xml:space="preserve">Анкета (отдельный файл) — 25 вопросов, 15–20 минут, составлена с нуля.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0" w:type="dxa"/>
          <w:left w:w="70" w:type="dxa"/>
          <w:bottom w:w="20" w:type="dxa"/>
          <w:right w:w="70" w:type="dxa"/>
        </w:tblCellMar>
        <w:tblLook w:firstRow="1" w:lastRow="0" w:firstColumn="0" w:lastColumn="0" w:noHBand="0" w:noVBand="0" w:val="0020"/>
      </w:tblPr>
      <w:tblGrid>
        <w:gridCol w:w="2888"/>
        <w:gridCol w:w="5031"/>
      </w:tblGrid>
      <w:tr>
        <w:trPr>
          <w:tblHeader w:val="true"/>
          <w:cantSplit/>
          <w:tblHeader/>
        </w:trPr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Прежний опрос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Новая анкета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есть ли конкретный модуль или система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цели, планы на три года, готовность, барьеры, отношение к 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ответы из года в год похожи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ядро из 11 вопросов (★) для динамики + меняющаяся «тема года»; в 2027 г. — ИИ и ИБ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только заполнение формы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закрытые вопросы, которые удобно задать по телефону; ядро ★ — 8–10 минут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выводы — доли «есть / нет»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выводы для слайдов: «радар технологий», стадия ИИ, готовность доверить решения ИИ, восстановление после кибератаки, цитаты респондентов</w:t>
            </w:r>
          </w:p>
        </w:tc>
      </w:tr>
    </w:tbl>
    <w:p>
      <w:pPr>
        <w:spacing w:before="80"/>
      </w:pP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0" w:type="dxa"/>
          <w:left w:w="70" w:type="dxa"/>
          <w:bottom w:w="20" w:type="dxa"/>
          <w:right w:w="70" w:type="dxa"/>
        </w:tblCellMar>
        <w:tblLook w:firstRow="1" w:lastRow="0" w:firstColumn="0" w:lastColumn="0" w:noHBand="0" w:noVBand="0" w:val="0020"/>
      </w:tblPr>
      <w:tblGrid>
        <w:gridCol w:w="2888"/>
        <w:gridCol w:w="5031"/>
      </w:tblGrid>
      <w:tr>
        <w:trPr>
          <w:tblHeader w:val="true"/>
          <w:cantSplit/>
          <w:tblHeader/>
        </w:trPr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Блок из постановки задачи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Где в анкете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производственные процессы, наземное обслуживание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3.1 а–д, ж–к; 4.2 б–г; 4.5 а–б; 6.1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коммерция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2.1; 4.2 е–ж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ТОиР, экипажи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3.1 е, з, л; 4.2 б, д; 4.5 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данные и аналитика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2.1; 3.1 в; 4.6; 6.1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ИИ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раздел 4 (6 вопросов), 5.6, 5.7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импортозамещение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2.3; 2.4; 3.1 н; 6.2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информационная безопасность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раздел 5 (7 вопросов), 2.3</w:t>
            </w:r>
          </w:p>
        </w:tc>
      </w:tr>
    </w:tbl>
    <w:p>
      <w:pPr>
        <w:pStyle w:val="BodyText"/>
        <w:spacing w:before="80"/>
      </w:pPr>
      <w:r>
        <w:rPr>
          <w:bCs/>
          <w:b/>
        </w:rPr>
        <w:t xml:space="preserve">Индекс цифровой готовности (П) — одна цифра для слайда.</w:t>
      </w:r>
      <w:r>
        <w:t xml:space="preserve"> </w:t>
      </w:r>
      <w:r>
        <w:t xml:space="preserve">Считаем только по полным анкетам. Кто ответил по телефону лишь на ядро ★, получает сравнение с отраслью по вопросам ядра и ссылку, чтобы дозаполнить анкету и получить свой индекс. Три части, каждая от 0 до 100:</w:t>
      </w:r>
    </w:p>
    <w:p>
      <w:pPr>
        <w:pStyle w:val="Compact"/>
        <w:numPr>
          <w:ilvl w:val="0"/>
          <w:numId w:val="1002"/>
        </w:numPr>
      </w:pPr>
      <w:r>
        <w:t xml:space="preserve">технологии (3.1): «используем» — 1, «пилот» — 0,5, «планируем» — 0,25, «не планируем» — 0; среднее по строкам × 100;</w:t>
      </w:r>
    </w:p>
    <w:p>
      <w:pPr>
        <w:pStyle w:val="Compact"/>
        <w:numPr>
          <w:ilvl w:val="0"/>
          <w:numId w:val="1002"/>
        </w:numPr>
      </w:pPr>
      <w:r>
        <w:t xml:space="preserve">ИИ: стадия 4.1 (0–4) × 25 и задачи 4.2 (баллы как в 3.1); среднее двух;</w:t>
      </w:r>
    </w:p>
    <w:p>
      <w:pPr>
        <w:pStyle w:val="Compact"/>
        <w:numPr>
          <w:ilvl w:val="0"/>
          <w:numId w:val="1002"/>
        </w:numPr>
      </w:pPr>
      <w:r>
        <w:t xml:space="preserve">киберустойчивость: 5.2 (1 → 0 … 5 → 100); 5.3 (менее 2 ч — 0, 2–8 ч — 33, 8–24 ч — 67, более суток — 100); 5.4 (последние 12 месяцев — 100, 1–2 года — 50, не проводили — 0); 5.5 (четыре варианта — 0, 33, 67, 100); среднее четырёх.</w:t>
      </w:r>
    </w:p>
    <w:p>
      <w:pPr>
        <w:pStyle w:val="FirstParagraph"/>
      </w:pPr>
      <w:r>
        <w:t xml:space="preserve">«Не применимо», «не знаю» и «предпочитаю не отвечать» в расчёт не входят; «не оценивали» в 5.2 и 5.3 даёт 0 — отсутствие оценки само говорит о готовности. Часть считается, если отвечено не меньше половины её пунктов. Индекс — среднее трёх частей, отдельно для аэропортов и авиакомпаний. Формулу не меняем три года; динамику считаем по организациям, ответившим в оба года.</w:t>
      </w:r>
    </w:p>
    <w:p>
      <w:pPr>
        <w:pStyle w:val="Heading2"/>
      </w:pPr>
      <w:r>
        <w:t xml:space="preserve">4. Откуда данные и на кого равняемся</w:t>
      </w:r>
    </w:p>
    <w:p>
      <w:pPr>
        <w:pStyle w:val="FirstParagraph"/>
      </w:pPr>
      <w:r>
        <w:rPr>
          <w:bCs/>
          <w:b/>
        </w:rPr>
        <w:t xml:space="preserve">Данные.</w:t>
      </w:r>
      <w:r>
        <w:t xml:space="preserve"> </w:t>
      </w:r>
      <w:r>
        <w:t xml:space="preserve">Основа — анкета. Дополнительно — 10–15 интервью по 30–40 минут с теми, кто согласится в вопросе 7.2: они дают кейсы и цитаты для выступлений. Открытые источники (закупки в ЕИС, отчётность, новости, конференции) — только для контекста в презентации, в индекс не входят: заказчики под санкциями не размещают закупки в ЕИС [22], Росавиация публикует меньше данных, чем раньше [23].</w:t>
      </w:r>
    </w:p>
    <w:p>
      <w:pPr>
        <w:pStyle w:val="BodyText"/>
      </w:pPr>
      <w:r>
        <w:rPr>
          <w:bCs/>
          <w:b/>
        </w:rPr>
        <w:t xml:space="preserve">Мировые прецеденты — что спрашивают в похожих исследованиях.</w:t>
      </w:r>
      <w:r>
        <w:t xml:space="preserve"> </w:t>
      </w:r>
      <w:r>
        <w:t xml:space="preserve">— SITA Air Transport IT Insights, ежегодно: ИТ-бюджеты и приоритеты, ИИ, кибербезопасность, цифровая идентичность, обмен данными. В выпуске 2025 г. ИТ-расходы авиакомпаний — 3,6% выручки, аэропортов — 7,3%; ИИ в управлении операциями применяют 63% авиакомпаний [14]. Методика SITA близка к нашей задаче: ответили 39 авиакомпаний и 80 аэропортов (около 27–28% мирового трафика), результаты взвешены по пассажиропотоку, опрос вела независимая компания, публикуются только обобщённые данные [14]. ACI World и SITA 19 лет вели совместное Airport IT Insights [15].</w:t>
      </w:r>
      <w:r>
        <w:t xml:space="preserve"> </w:t>
      </w:r>
      <w:r>
        <w:t xml:space="preserve">— WEF Global Cybersecurity Outlook 2026 (804 руководителя из 92 стран): 94% называют ИИ главным фактором изменений в ИБ; процедура проверки безопасности ИИ-сервисов есть у 64% (годом ранее — у 37%) [16].</w:t>
      </w:r>
      <w:r>
        <w:t xml:space="preserve"> </w:t>
      </w:r>
      <w:r>
        <w:t xml:space="preserve">— McKinsey, The state of AI 2026 (1 719 респондентов из 97 стран): ИИ масштабирован на уровне всей организации у 44%, ИИ-агентов масштабируют около 20%; эффект на прибыль видят лишь 37%; 32% отказались покупать ПО, потому что сделали его сами с помощью ИИ-агентов для программирования [17]. Gartner, CIO Survey 2026 (госсектор вне США): больше вложат в кибербезопасность 85% ИТ-руководителей, в ИИ — 80%; ИИ-агентов внедряют или планируют 49%; 55% ждут перемен в отношениях с поставщиками ИТ из-за геополитики и цифрового суверенитета [18].</w:t>
      </w:r>
      <w:r>
        <w:t xml:space="preserve"> </w:t>
      </w:r>
      <w:r>
        <w:t xml:space="preserve">— ENISA (транспорт): лидируют шифровальщики (38%) и угрозы данным (30%) [19]. EASA и IATA: потеря сигнала GPS выросла на 220% за 2021–2024 гг. [20]. Roland Berger (100 руководителей): более 90% операторов аэропортов планируют повысить ИТ-расходы в ближайшие пять лет, более 70% считают решения на основе ИИ перспективными [21].</w:t>
      </w:r>
    </w:p>
    <w:p>
      <w:pPr>
        <w:pStyle w:val="BodyText"/>
      </w:pPr>
      <w:r>
        <w:rPr>
          <w:iCs/>
          <w:i/>
        </w:rPr>
        <w:t xml:space="preserve">Берём:</w:t>
      </w:r>
      <w:r>
        <w:t xml:space="preserve"> </w:t>
      </w:r>
      <w:r>
        <w:t xml:space="preserve">регулярное ядро вопросов; взвешивание по пассажиропотоку и конфиденциальность ответов, как у SITA; статусы «используем / пилот / планируем»; вопросы о бюджете и приоритетах; вопросы об отношении и уверенности («кому ИИ поможет больше», «насколько уверены, что восстановитесь»). Какой вопрос откуда взят — в конце анкеты.</w:t>
      </w:r>
      <w:r>
        <w:t xml:space="preserve"> </w:t>
      </w:r>
      <w:r>
        <w:rPr>
          <w:iCs/>
          <w:i/>
        </w:rPr>
        <w:t xml:space="preserve">Не берём:</w:t>
      </w:r>
      <w:r>
        <w:t xml:space="preserve"> </w:t>
      </w:r>
      <w:r>
        <w:t xml:space="preserve">прямое сравнение с мировыми цифрами — с 29.03.2022 сервисы связи «борт–земля» SITA и ARINC в России недоступны из-за санкций [9], российских организаций в их выборках, вероятно, нет (</w:t>
      </w:r>
      <w:r>
        <w:rPr>
          <w:bCs/>
          <w:b/>
        </w:rPr>
        <w:t xml:space="preserve">П</w:t>
      </w:r>
      <w:r>
        <w:t xml:space="preserve">); бюджеты в долларах; вопросы о недоступных в России продуктах.</w:t>
      </w:r>
    </w:p>
    <w:p>
      <w:pPr>
        <w:pStyle w:val="Heading2"/>
      </w:pPr>
      <w:r>
        <w:t xml:space="preserve">5. Анкета и распространение</w:t>
      </w:r>
    </w:p>
    <w:p>
      <w:pPr>
        <w:pStyle w:val="FirstParagraph"/>
      </w:pPr>
      <w:r>
        <w:t xml:space="preserve">Сейчас анкета в Word. Потом коллеги переносят её в электронную форму (Битрикс или Яндекс Формы) и распространяют так (</w:t>
      </w:r>
      <w:r>
        <w:rPr>
          <w:bCs/>
          <w:b/>
        </w:rPr>
        <w:t xml:space="preserve">П</w:t>
      </w:r>
      <w:r>
        <w:t xml:space="preserve">): (1) письмо-приглашение от имени ГД со ссылкой; (2) через 2–3 дня — звонок: респондент либо заполняет форму сам, либо отвечает на ядро ★ по телефону, и сотрудник заносит ответы в форму, а остальные вопросы респондент дозаполняет по ссылке; (3) два напоминания. Дополнительные каналы — рассылка Ассоциации «Аэропорт» [25] и НАИС: в 2026 г. выставка прошла 4–5 февраля, участвовали более 200 компаний [24]. НАИС-2027 попадает в период сбора — там можно приглашать лично. Участникам обещаем результаты раньше остальных и сравнение с отраслью.</w:t>
      </w:r>
    </w:p>
    <w:p>
      <w:pPr>
        <w:pStyle w:val="Heading2"/>
      </w:pPr>
      <w:r>
        <w:t xml:space="preserve">6. Результат, план, команда, риски</w:t>
      </w:r>
    </w:p>
    <w:p>
      <w:pPr>
        <w:pStyle w:val="FirstParagraph"/>
      </w:pPr>
      <w:r>
        <w:rPr>
          <w:bCs/>
          <w:b/>
        </w:rPr>
        <w:t xml:space="preserve">Что выпускаем.</w:t>
      </w:r>
      <w:r>
        <w:t xml:space="preserve"> </w:t>
      </w:r>
      <w:r>
        <w:t xml:space="preserve">Презентация на 20–25 слайдов: 5 главных выводов, «радар технологий», разделы об ИИ и ИБ, цитаты. Из неё собираем подборку под каждое выступление. Короткий документ на 10–15 страниц. Участникам — сравнение их организации с отраслью (2 стр.). Разработке — сводка потребностей по вопросам 2.4, 4.4, 6.2, 7.1; её не публикуем.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0" w:type="dxa"/>
          <w:left w:w="70" w:type="dxa"/>
          <w:bottom w:w="20" w:type="dxa"/>
          <w:right w:w="70" w:type="dxa"/>
        </w:tblCellMar>
        <w:tblLook w:firstRow="1" w:lastRow="0" w:firstColumn="0" w:lastColumn="0" w:noHBand="0" w:noVBand="0" w:val="0020"/>
      </w:tblPr>
      <w:tblGrid>
        <w:gridCol w:w="1770"/>
        <w:gridCol w:w="6149"/>
      </w:tblGrid>
      <w:tr>
        <w:trPr>
          <w:tblHeader w:val="true"/>
          <w:cantSplit/>
          <w:tblHeader/>
        </w:trPr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Срок (</w:t>
            </w:r>
            <w:r>
              <w:rPr>
                <w:bCs/>
                <w:b/>
                <w:sz w:val="17"/>
              </w:rPr>
              <w:t xml:space="preserve">П</w:t>
            </w:r>
            <w:r>
              <w:rPr>
                <w:b/>
                <w:sz w:val="17"/>
              </w:rPr>
              <w:t xml:space="preserve">)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Этап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до 06.11.2026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анкета v2 и концепция; комментарии В. А. Абрамова; решение ГД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09.11–04.12.2026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правки анкеты, электронная форма, список организаций и контактов, текст письма и сценарий звонка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07.12–25.12.2026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пилот на 3–5 клиентах, правки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18.01–13.03.2027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письма, обзвон, сбор ответов (8 недель), приглашения на НАИС; 10–15 интервью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16.03–16.04.2027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анализ, индекс, презентация и документ, сводка для разработки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апрель–октябрь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выступления на мероприятиях и форумах, встречи с участниками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ноябрь 2027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разбор итогов, тема года для второй волны</w:t>
            </w:r>
          </w:p>
        </w:tc>
      </w:tr>
    </w:tbl>
    <w:p>
      <w:pPr>
        <w:pStyle w:val="BodyText"/>
        <w:spacing w:before="80"/>
      </w:pPr>
      <w:r>
        <w:rPr>
          <w:bCs/>
          <w:b/>
        </w:rPr>
        <w:t xml:space="preserve">Кто нужен (П).</w:t>
      </w:r>
      <w:r>
        <w:t xml:space="preserve"> </w:t>
      </w:r>
      <w:r>
        <w:t xml:space="preserve">Ответственный аналитик — около 0,3–0,5 ставки на 5 месяцев. Сотрудники для обзвона — 2–3 человека примерно на неделю каждый (150–250 звонков). Эксперты: Г. В. Головченко, В. А. Абрамов, специалист по ИБ — проверить формулировки раздела 5. Дизайнер презентации. Юрист — текст согласия на обработку персональных данных.</w:t>
      </w:r>
    </w:p>
    <w:tbl>
      <w:tblPr>
        <w:tblStyle w:val="Table"/>
        <w:tblW w:type="pct" w:w="500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CellMar>
          <w:top w:w="20" w:type="dxa"/>
          <w:left w:w="70" w:type="dxa"/>
          <w:bottom w:w="20" w:type="dxa"/>
          <w:right w:w="70" w:type="dxa"/>
        </w:tblCellMar>
        <w:tblLook w:firstRow="1" w:lastRow="0" w:firstColumn="0" w:lastColumn="0" w:noHBand="0" w:noVBand="0" w:val="0020"/>
      </w:tblPr>
      <w:tblGrid>
        <w:gridCol w:w="2175"/>
        <w:gridCol w:w="5744"/>
      </w:tblGrid>
      <w:tr>
        <w:trPr>
          <w:tblHeader w:val="true"/>
          <w:cantSplit/>
          <w:tblHeader/>
        </w:trPr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Риск</w:t>
            </w:r>
          </w:p>
        </w:tc>
        <w:tc>
          <w:tcPr>
            <w:shd w:val="clear" w:color="auto" w:fill="E3E9F0"/>
          </w:tcPr>
          <w:p>
            <w:pPr>
              <w:pStyle w:val="Compact"/>
              <w:jc w:val="left"/>
            </w:pPr>
            <w:r>
              <w:rPr>
                <w:b/>
                <w:sz w:val="17"/>
              </w:rPr>
              <w:t xml:space="preserve">Что делаем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Низкий отклик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обзвон после письма; короткое ядро ★ по телефону; результаты участникам первыми; рассылка Ассоциации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Конфиденциальность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только обобщённые данные (≥5 ответов в сегменте); организации называем только с согласия; доступ к ответам — у двух человек; коммерция получает контакт только при отдельном согласии (7.2)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Чувствительность ИБ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 спрашиваем о системах, средствах защиты и инцидентах; есть вариант «предпочитаю не отвечать»; раздел проверяет специалист по ИБ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Опять скучные результаты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вопросы о будущем и отношении; новый вопрос 4.5 без прямых аналогов; открытый вопрос 7.1 даёт цитаты; тема года меняется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Недоверие к поставщику ПО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в анкете нет продуктов компании; выводы — обобщённые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Завышенная самооценка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интервью; сверка с новостями и закупками</w:t>
            </w:r>
          </w:p>
        </w:tc>
      </w:tr>
    </w:tbl>
    <w:p>
      <w:pPr>
        <w:pStyle w:val="BodyText"/>
        <w:spacing w:before="80"/>
      </w:pPr>
      <w:r>
        <w:rPr>
          <w:bCs/>
          <w:b/>
        </w:rPr>
        <w:t xml:space="preserve">Ограничения этой версии.</w:t>
      </w:r>
      <w:r>
        <w:t xml:space="preserve"> </w:t>
      </w:r>
      <w:r>
        <w:t xml:space="preserve">Прежние анкеты сознательно не использовались — по договорённости 23.10. Материалы лекций и данные ОРАКУЛа пока недоступны. Источники сверены по страницам 26.10.2026.</w:t>
      </w:r>
    </w:p>
    <w:p>
      <w:pPr>
        <w:pStyle w:val="BodyText"/>
      </w:pPr>
      <w:r>
        <w:rPr>
          <w:bCs/>
          <w:b/>
        </w:rPr>
        <w:t xml:space="preserve">Просьба к В. А. Абрамову (до 06.11):</w:t>
      </w:r>
      <w:r>
        <w:t xml:space="preserve"> </w:t>
      </w:r>
      <w:r>
        <w:t xml:space="preserve">оценить сегменты (раздел 2) и состав вопросов 3.1, 4.2, 2.4, 4.4, 6.2, 7.1 с точки зрения продуктов разработки.</w:t>
      </w:r>
    </w:p>
    <w:p>
      <w:pPr>
        <w:pStyle w:val="Heading2"/>
      </w:pPr>
      <w:r>
        <w:t xml:space="preserve">Приложение. Источники</w:t>
      </w:r>
    </w:p>
    <w:p>
      <w:pPr>
        <w:pStyle w:val="FirstParagraph"/>
      </w:pPr>
      <w:r>
        <w:t xml:space="preserve">Источники сверены по страницам 26.10.2026; SITA — по полному тексту отчёта; доклад WEF — по его обзору от Kiteworks.</w:t>
      </w:r>
    </w:p>
    <w:p>
      <w:pPr>
        <w:pStyle w:val="Compact"/>
        <w:numPr>
          <w:ilvl w:val="0"/>
          <w:numId w:val="1003"/>
        </w:numPr>
      </w:pPr>
      <w:r>
        <w:t xml:space="preserve">Итоги 2025 г. по данным Росавиации: 108,5 млн пасс. (−2,7%); январь–октябрь 2025 г.: группа «Аэрофлот» — 42,5 млн. https://www1.ru/news/2026/01/02/passaziropotok-rossiiskix-aviakompanii-v-2025-godu-sokratilsia-na-27-rosaviaciia.html; https://expert.ru/news/passazhiropotok-rossiyskikh-aviakompaniy-za-god-snizilsya-na-2-mln-chelovek/</w:t>
      </w:r>
    </w:p>
    <w:p>
      <w:pPr>
        <w:pStyle w:val="Compact"/>
        <w:numPr>
          <w:ilvl w:val="0"/>
          <w:numId w:val="1003"/>
        </w:numPr>
      </w:pPr>
      <w:r>
        <w:t xml:space="preserve">Аэропорты-миллионники в 2024 г.: 30 (в 2023 г. — 31); Шереметьево 43,9 млн, Пулково 20,9, Внуково 16, Домодедово 15,6. https://expert.ru/news/v-rossii-sokratilos-chislo-aeroportov-s-passazhiropotokom-v-1-mln-chelovek</w:t>
      </w:r>
    </w:p>
    <w:p>
      <w:pPr>
        <w:pStyle w:val="Compact"/>
        <w:numPr>
          <w:ilvl w:val="0"/>
          <w:numId w:val="1003"/>
        </w:numPr>
      </w:pPr>
      <w:r>
        <w:t xml:space="preserve">Росавиация на коллегии Минтранса: аэропорты в 2024 г. обслужили 216,4 млн пасс. (+5,1%). https://mintrans.gov.ru/press-center/branch-news/6434</w:t>
      </w:r>
    </w:p>
    <w:p>
      <w:pPr>
        <w:pStyle w:val="Compact"/>
        <w:numPr>
          <w:ilvl w:val="0"/>
          <w:numId w:val="1003"/>
        </w:numPr>
      </w:pPr>
      <w:r>
        <w:t xml:space="preserve">Росавиация, ноябрь 2025 г.: 118 авиакомпаний, 15 из них выполняют 94% перевозок. https://www.tourdom.ru/news/rosaviatsiya-v-rf-ne-budut-iskusstvenno-sokraschat-kolichestvo-aviakompaniy.html</w:t>
      </w:r>
    </w:p>
    <w:p>
      <w:pPr>
        <w:pStyle w:val="Compact"/>
        <w:numPr>
          <w:ilvl w:val="0"/>
          <w:numId w:val="1003"/>
        </w:numPr>
      </w:pPr>
      <w:r>
        <w:t xml:space="preserve">22.12.2024: реконструкция 75 аэропортов — «более трети» аэропортовой сети. https://profile.ru/news/economy/modernizaciya-75-aeroportov-novye-dorogi-v-regionah-borba-s-probkami-o-chem-govoril-putin-1638019/</w:t>
      </w:r>
    </w:p>
    <w:p>
      <w:pPr>
        <w:pStyle w:val="Compact"/>
        <w:numPr>
          <w:ilvl w:val="0"/>
          <w:numId w:val="1003"/>
        </w:numPr>
      </w:pPr>
      <w:r>
        <w:t xml:space="preserve">Ограничение полётов в 11 аэропортах юга и центра России (Анапа, Белгород, Брянск, Воронеж, Геленджик, Краснодар, Курск, Липецк, Ростов-на-Дону, Симферополь, Элиста), март 2022 г. https://snob.ru/news/rosaviaciya-prodlila-zakrytie-11-aeroportov-rossii-do-1-aprelya/</w:t>
      </w:r>
    </w:p>
    <w:p>
      <w:pPr>
        <w:pStyle w:val="Compact"/>
        <w:numPr>
          <w:ilvl w:val="0"/>
          <w:numId w:val="1003"/>
        </w:numPr>
      </w:pPr>
      <w:r>
        <w:t xml:space="preserve">53 авиакомпании перешли на российские системы бронирования «Леонардо» и «ТАИС» (01.11.2022). https://snob.ru/news/vse-rossijskie-aviakompanii-pereshli-na-otechestvennye-sistemy-bronirovaniya/</w:t>
      </w:r>
    </w:p>
    <w:p>
      <w:pPr>
        <w:pStyle w:val="Compact"/>
        <w:numPr>
          <w:ilvl w:val="0"/>
          <w:numId w:val="1003"/>
        </w:numPr>
      </w:pPr>
      <w:r>
        <w:t xml:space="preserve">Указ № 166 от 30.03.2022: с 01.01.2025 запрещено использовать иностранное ПО на объектах КИИ. https://www.kommersant.ru/doc/5283175</w:t>
      </w:r>
    </w:p>
    <w:p>
      <w:pPr>
        <w:pStyle w:val="Compact"/>
        <w:numPr>
          <w:ilvl w:val="0"/>
          <w:numId w:val="1003"/>
        </w:numPr>
      </w:pPr>
      <w:r>
        <w:t xml:space="preserve">С 29.03.2022 сервисы связи «борт–земля» SITA и ARINC недоступны из-за санкций; замена — разработка Ростеха. https://www.comnews.ru/digital-economy/content/227765/2023-07-28/2023-w30/rostekh-importozamestil-sistemu-cifrovoy-svyazi-bort-zemlya-dlya-rossiyskikh-aviakompaniy</w:t>
      </w:r>
    </w:p>
    <w:p>
      <w:pPr>
        <w:pStyle w:val="Compact"/>
        <w:numPr>
          <w:ilvl w:val="0"/>
          <w:numId w:val="1003"/>
        </w:numPr>
      </w:pPr>
      <w:r>
        <w:t xml:space="preserve">Сбой информационных систем «Аэрофлота» 28.07.2025, отменено около 50 пар рейсов. https://vc.ru/legal/2125132; https://eanews.ru/rossiya/20250729075007/aeroflot-prodolzhaet-otmenu-reysov-posle-masshtabnoy-kiberataki</w:t>
      </w:r>
    </w:p>
    <w:p>
      <w:pPr>
        <w:pStyle w:val="Compact"/>
        <w:numPr>
          <w:ilvl w:val="0"/>
          <w:numId w:val="1003"/>
        </w:numPr>
      </w:pPr>
      <w:r>
        <w:t xml:space="preserve">Пилот посадки по биометрии в Шереметьево и Пулково: запуск до конца I полугодия 2026 г., эксперимент в 2026–2027 гг. https://mintrans.gov.ru/press-center/branch-news/8880; https://expert.ru/news/v-dvukh-aeroportakh-rf-provedut-eksperiment-po-posadke-na-samolet-po-biometrii/</w:t>
      </w:r>
    </w:p>
    <w:p>
      <w:pPr>
        <w:pStyle w:val="Compact"/>
        <w:numPr>
          <w:ilvl w:val="0"/>
          <w:numId w:val="1003"/>
        </w:numPr>
      </w:pPr>
      <w:r>
        <w:t xml:space="preserve">Оценка Минтранса и Ассоциации ЦТЛ: около 45% организаций транспортной отрасли применяют ИИ (по публикации канала Минтранса). https://samokatus.ru/travel-telegram-feed/Mintrans_Russia/9263</w:t>
      </w:r>
    </w:p>
    <w:p>
      <w:pPr>
        <w:pStyle w:val="Compact"/>
        <w:numPr>
          <w:ilvl w:val="0"/>
          <w:numId w:val="1003"/>
        </w:numPr>
      </w:pPr>
      <w:r>
        <w:t xml:space="preserve">Задержки до 7 часов в аэропорту Казани из-за плана «Ковёр». https://www.tourdom.ru/news/zaderzhki-iz-za-plana-kover-v-aeroportu-kazani-dostigli-7-chasov.html</w:t>
      </w:r>
    </w:p>
    <w:p>
      <w:pPr>
        <w:pStyle w:val="Compact"/>
        <w:numPr>
          <w:ilvl w:val="0"/>
          <w:numId w:val="1003"/>
        </w:numPr>
      </w:pPr>
      <w:r>
        <w:t xml:space="preserve">SITA, The State of Aviation: 2025 Air Transport IT Insights (апрель 2026), полный текст отчёта, включая методику. https://www.aviacionnews.com/wp-content/uploads/2026/04/The-state-of-aviation-SITA-2025-Air-Transport-IT-Insights.pdf; https://www.travolution.com/news/sita-says-record-tech-spend-hinges-on-data-coordination/</w:t>
      </w:r>
    </w:p>
    <w:p>
      <w:pPr>
        <w:pStyle w:val="Compact"/>
        <w:numPr>
          <w:ilvl w:val="0"/>
          <w:numId w:val="1003"/>
        </w:numPr>
      </w:pPr>
      <w:r>
        <w:t xml:space="preserve">ACI World и SITA, Airport IT Insights 2022 (11.04.2023). https://www.aviationpros.com/airports/press-release/53056890/airports-council-international-aci-world-airports-ramp-up-digital-technology-investments-to-meet-demands-of-air-travel-recovery</w:t>
      </w:r>
    </w:p>
    <w:p>
      <w:pPr>
        <w:pStyle w:val="Compact"/>
        <w:numPr>
          <w:ilvl w:val="0"/>
          <w:numId w:val="1003"/>
        </w:numPr>
      </w:pPr>
      <w:r>
        <w:t xml:space="preserve">World Economic Forum, Global Cybersecurity Outlook 2026; цифры — по обзору доклада от Kiteworks. https://www.kiteworks.com/cybersecurity-risk-management/wef-global-cybersecurity-outlook-2026-ai-fraud-resilience/; https://www.weforum.org/publications/global-cybersecurity-outlook-2026/digest/</w:t>
      </w:r>
    </w:p>
    <w:p>
      <w:pPr>
        <w:pStyle w:val="Compact"/>
        <w:numPr>
          <w:ilvl w:val="0"/>
          <w:numId w:val="1003"/>
        </w:numPr>
      </w:pPr>
      <w:r>
        <w:t xml:space="preserve">McKinsey, The state of AI in 2026: On the road to ROI (25.08.2026; опрос 04.05–08.06.2026, 1 719 респондентов из 97 стран). https://www.mckinsey.com/capabilities/quantumblack/our-insights/the-state-of-ai</w:t>
      </w:r>
    </w:p>
    <w:p>
      <w:pPr>
        <w:pStyle w:val="Compact"/>
        <w:numPr>
          <w:ilvl w:val="0"/>
          <w:numId w:val="1003"/>
        </w:numPr>
      </w:pPr>
      <w:r>
        <w:t xml:space="preserve">Gartner, CIO and Technology Executive Survey 2026: пресс-релиз от 26.11.2025 (2 501 респондент, май–июнь 2025 г., из них 284 ИТ-руководителя госсектора вне США). https://www.gartner.com/en/newsroom/press-releases/2025-11-26-gartner-survey-reveals-52-percent-of-government-cios-expect-it-budgets-to-increase-in-2026</w:t>
      </w:r>
    </w:p>
    <w:p>
      <w:pPr>
        <w:pStyle w:val="Compact"/>
        <w:numPr>
          <w:ilvl w:val="0"/>
          <w:numId w:val="1003"/>
        </w:numPr>
      </w:pPr>
      <w:r>
        <w:t xml:space="preserve">ENISA, Transport Threat Landscape (март 2023; 98 инцидентов за январь 2021 — октябрь 2022): шифровальщики — 38%, угрозы данным — 30%, цепочка поставок — 10%. https://www.enisa.europa.eu/sites/default/files/publications/ENISA%20Transport%20Threat%20Landscape_RECAST2.pdf</w:t>
      </w:r>
    </w:p>
    <w:p>
      <w:pPr>
        <w:pStyle w:val="Compact"/>
        <w:numPr>
          <w:ilvl w:val="0"/>
          <w:numId w:val="1003"/>
        </w:numPr>
      </w:pPr>
      <w:r>
        <w:t xml:space="preserve">EASA и IATA, план по снижению рисков помех GNSS (18.06.2025): потеря сигнала GPS +220% за 2021–2024 гг. по данным IATA. https://www.easa.europa.eu/newsroom-and-events/press-releases/easa-and-iata-publish-comprehensive-plan-mitigate-gnss</w:t>
      </w:r>
    </w:p>
    <w:p>
      <w:pPr>
        <w:pStyle w:val="Compact"/>
        <w:numPr>
          <w:ilvl w:val="0"/>
          <w:numId w:val="1003"/>
        </w:numPr>
      </w:pPr>
      <w:r>
        <w:t xml:space="preserve">Roland Berger, Airport digital transformation (08.05.2025). https://www.rolandberger.com/en/Insights/Publications/Airport-digital-transformation-High-time-to-invest-in-IT-and-automation.html</w:t>
      </w:r>
    </w:p>
    <w:p>
      <w:pPr>
        <w:pStyle w:val="Compact"/>
        <w:numPr>
          <w:ilvl w:val="0"/>
          <w:numId w:val="1003"/>
        </w:numPr>
      </w:pPr>
      <w:r>
        <w:t xml:space="preserve">Подсанкционные госкомпании получили право не публиковать сведения о закупках в ЕИС (ПП РФ № 301 от 06.03.2022). https://www.kommersant.ru/doc/5492108</w:t>
      </w:r>
    </w:p>
    <w:p>
      <w:pPr>
        <w:pStyle w:val="Compact"/>
        <w:numPr>
          <w:ilvl w:val="0"/>
          <w:numId w:val="1003"/>
        </w:numPr>
      </w:pPr>
      <w:r>
        <w:t xml:space="preserve">Росавиация убрала с сайта часть данных («оптимизация публикуемой информации»). https://www.kommersant.ru/doc/6790867</w:t>
      </w:r>
    </w:p>
    <w:p>
      <w:pPr>
        <w:pStyle w:val="Compact"/>
        <w:numPr>
          <w:ilvl w:val="0"/>
          <w:numId w:val="1003"/>
        </w:numPr>
      </w:pPr>
      <w:r>
        <w:t xml:space="preserve">НАИС-2026: 4–5.02.2026, «Крокус Экспо», более 200 компаний. https://riamo.ru/news/obschestvo/aviatsionnaja-vystavka-nais-2026-projdet-v-moskve-45-fevralja/</w:t>
      </w:r>
    </w:p>
    <w:p>
      <w:pPr>
        <w:pStyle w:val="Compact"/>
        <w:numPr>
          <w:ilvl w:val="0"/>
          <w:numId w:val="1003"/>
        </w:numPr>
      </w:pPr>
      <w:r>
        <w:t xml:space="preserve">Ассоциация «Аэропорт» гражданской авиации. https://airport.org.ru/about-us/</w:t>
      </w:r>
    </w:p>
    <w:p>
      <w:pPr>
        <w:pStyle w:val="Compact"/>
        <w:numPr>
          <w:ilvl w:val="0"/>
          <w:numId w:val="1003"/>
        </w:numPr>
      </w:pPr>
      <w:r>
        <w:t xml:space="preserve">Аэропорт Сочи в 2024 г.: более 13,7 млн пасс. (−1,3%). https://www.kommersant.ru/doc/7433315</w:t>
      </w:r>
    </w:p>
    <w:p>
      <w:pPr>
        <w:pStyle w:val="Compact"/>
        <w:numPr>
          <w:ilvl w:val="0"/>
          <w:numId w:val="1003"/>
        </w:numPr>
      </w:pPr>
      <w:r>
        <w:t xml:space="preserve">В 2025 г. возобновили работу аэропорты Краснодара и Геленджика. https://expert.ru/transport/vozdushnyy-shelkovyy-put; https://www.kommersant.ru/doc/8119547</w:t>
      </w:r>
    </w:p>
    <w:sectPr>
      <w:footerReference w:type="default" r:id="rId9"/>
      <w:pgSz w:h="16838" w:w="11906"/>
      <w:pgMar w:left="1020" w:right="1020" w:top="794" w:bottom="794" w:footer="397" w:header="39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 w:line="240" w:lineRule="auto"/>
    </w:pPr>
    <w:rPr>
      <w:rFonts w:ascii="Arial" w:cs="Arial" w:eastAsia="Arial" w:hAnsi="Arial"/>
      <w:sz w:val="19"/>
    </w:rPr>
  </w:style>
  <w:style w:styleId="BodyText" w:type="paragraph">
    <w:name w:val="Body Text"/>
    <w:basedOn w:val="Normal"/>
    <w:link w:val="BodyTextChar"/>
    <w:pPr>
      <w:spacing w:after="60" w:before="0" w:line="240" w:lineRule="auto"/>
    </w:pPr>
    <w:qFormat/>
    <w:rPr>
      <w:rFonts w:ascii="Arial" w:cs="Arial" w:eastAsia="Arial" w:hAnsi="Arial"/>
      <w:sz w:val="19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 w:line="240" w:lineRule="auto"/>
    </w:pPr>
    <w:rPr>
      <w:rFonts w:ascii="Arial" w:cs="Arial" w:eastAsia="Arial" w:hAnsi="Arial"/>
      <w:sz w:val="19"/>
    </w:rPr>
  </w:style>
  <w:style w:customStyle="1" w:styleId="Compact" w:type="paragraph">
    <w:name w:val="Compact"/>
    <w:basedOn w:val="BodyText"/>
    <w:qFormat/>
    <w:pPr>
      <w:spacing w:after="20" w:before="0" w:line="240" w:lineRule="auto"/>
    </w:pPr>
    <w:rPr>
      <w:rFonts w:ascii="Arial" w:cs="Arial" w:eastAsia="Arial" w:hAnsi="Arial"/>
      <w:sz w:val="17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80" w:before="0"/>
      <w:outlineLvl w:val="0"/>
    </w:pPr>
    <w:rPr>
      <w:rFonts w:ascii="Arial" w:cs="Arial" w:eastAsia="Arial" w:hAnsi="Arial"/>
      <w:b/>
      <w:bCs/>
      <w:i w:val="0"/>
      <w:color w:val="1F3A5F"/>
      <w:sz w:val="27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60" w:before="140"/>
      <w:outlineLvl w:val="1"/>
    </w:pPr>
    <w:rPr>
      <w:rFonts w:ascii="Arial" w:cs="Arial" w:eastAsia="Arial" w:hAnsi="Arial"/>
      <w:b/>
      <w:bCs/>
      <w:i w:val="0"/>
      <w:color w:val="1F3A5F"/>
      <w:sz w:val="22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40" w:before="100"/>
      <w:outlineLvl w:val="2"/>
    </w:pPr>
    <w:rPr>
      <w:rFonts w:ascii="Arial" w:cs="Arial" w:eastAsia="Arial" w:hAnsi="Arial"/>
      <w:b/>
      <w:bCs/>
      <w:i w:val="0"/>
      <w:color w:val="1F3A5F"/>
      <w:sz w:val="20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2026-10-26T21:04:04Z</dcterms:created>
  <dcterms:modified xsi:type="dcterms:W3CDTF">2026-10-26T21:04:04Z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