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63a9a3022ba1dfc5b07914d2f1ecc1872815f6"/>
    <w:p>
      <w:pPr>
        <w:pStyle w:val="Heading1"/>
      </w:pPr>
      <w:r>
        <w:t xml:space="preserve">Памятка: подключение Claude к Битрикс24 через входящий вебхук</w:t>
      </w:r>
    </w:p>
    <w:p>
      <w:pPr>
        <w:pStyle w:val="FirstParagraph"/>
      </w:pPr>
      <w:r>
        <w:rPr>
          <w:bCs/>
          <w:b/>
        </w:rPr>
        <w:t xml:space="preserve">Вариант Claude:</w:t>
      </w:r>
      <w:r>
        <w:t xml:space="preserve"> </w:t>
      </w:r>
      <w:r>
        <w:t xml:space="preserve">Claude Code в облачной сессии (claude.ai/code). Claude вызывает REST API Битрикс24 командами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через</w:t>
      </w:r>
      <w:r>
        <w:t xml:space="preserve"> </w:t>
      </w:r>
      <w:r>
        <w:rPr>
          <w:bCs/>
          <w:b/>
        </w:rPr>
        <w:t xml:space="preserve">свой</w:t>
      </w:r>
      <w:r>
        <w:t xml:space="preserve"> </w:t>
      </w:r>
      <w:r>
        <w:t xml:space="preserve">входящий вебхук сотрудника.</w:t>
      </w:r>
      <w:r>
        <w:t xml:space="preserve"> </w:t>
      </w:r>
      <w:r>
        <w:t xml:space="preserve">Официальный MCP-коннектор Битрикс24 и настройка портала «Работа с Битрикс24 из внешних AI-систем»</w:t>
      </w:r>
      <w:r>
        <w:t xml:space="preserve"> </w:t>
      </w:r>
      <w:r>
        <w:rPr>
          <w:bCs/>
          <w:b/>
        </w:rPr>
        <w:t xml:space="preserve">не нужны</w:t>
      </w:r>
      <w:r>
        <w:t xml:space="preserve">.</w:t>
      </w:r>
    </w:p>
    <w:p>
      <w:pPr>
        <w:pStyle w:val="BodyText"/>
      </w:pPr>
      <w:r>
        <w:t xml:space="preserve">Обозначения: ✅ — шаг выполнен и проверен лично; ⚠️ — шаг не проверен, описан по документации.</w:t>
      </w:r>
      <w:r>
        <w:t xml:space="preserve"> </w:t>
      </w:r>
      <w:r>
        <w:t xml:space="preserve">Все значения в угловых скобках (</w:t>
      </w:r>
      <w:r>
        <w:rPr>
          <w:rStyle w:val="VerbatimChar"/>
        </w:rPr>
        <w:t xml:space="preserve">&lt;портал&gt;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&lt;ID задачи&gt;</w:t>
      </w:r>
      <w:r>
        <w:t xml:space="preserve">) — заглушки. Настоящие адреса и ключи в памятку, задачи, чаты и скриншоты не вставлять.</w:t>
      </w:r>
    </w:p>
    <w:bookmarkStart w:id="20" w:name="какие-нужны-доступы"/>
    <w:p>
      <w:pPr>
        <w:pStyle w:val="Heading2"/>
      </w:pPr>
      <w:r>
        <w:t xml:space="preserve">1. Какие нужны доступы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Где взять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Учётная запись на портале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&lt;портал&gt;.bitrix24.ru</w:t>
            </w:r>
            <w:r>
              <w:rPr>
                <w:sz w:val="18"/>
              </w:rPr>
              <w:t xml:space="preserve">, свои задачи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выдаёт ГД / отдел кадров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Разрешение создавать входящие вебхуки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если пункта «Входящий вебхук» нет — просить ГД проверить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это разрешение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(права администратора не нужны)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Аккаунт claude.ai с доступом к Claude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выдаёт ГД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Облачное окружение Claude Code, где разрешён домен портала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настраивает сам сотрудник (п. 2.2)</w:t>
            </w:r>
          </w:p>
        </w:tc>
      </w:tr>
    </w:tbl>
    <w:bookmarkEnd w:id="20"/>
    <w:bookmarkStart w:id="21" w:name="подготовка"/>
    <w:p>
      <w:pPr>
        <w:pStyle w:val="Heading2"/>
      </w:pPr>
      <w:r>
        <w:t xml:space="preserve">2. Подготовка</w:t>
      </w:r>
    </w:p>
    <w:p>
      <w:pPr>
        <w:pStyle w:val="FirstParagraph"/>
      </w:pPr>
      <w:r>
        <w:rPr>
          <w:bCs/>
          <w:b/>
        </w:rPr>
        <w:t xml:space="preserve">2.1. Создать свой входящий вебхук</w:t>
      </w:r>
      <w:r>
        <w:t xml:space="preserve"> </w:t>
      </w:r>
      <w:r>
        <w:t xml:space="preserve">✅</w:t>
      </w:r>
      <w:r>
        <w:t xml:space="preserve"> </w:t>
      </w:r>
      <w:r>
        <w:t xml:space="preserve">Битрикс24 → «Разработчикам» → «Другое» → «Входящий вебхук» (в разных версиях интерфейса путь может немного отличаться).</w:t>
      </w:r>
      <w:r>
        <w:t xml:space="preserve"> </w:t>
      </w:r>
      <w:r>
        <w:t xml:space="preserve">Права: только то, что нужно для работы с задачами, — «Задачи (task)» и «Пользователи (user)». Лишние права не добавлять. Сохранить.</w:t>
      </w:r>
      <w:r>
        <w:t xml:space="preserve"> </w:t>
      </w:r>
      <w:r>
        <w:t xml:space="preserve">Адрес вида</w:t>
      </w:r>
      <w:r>
        <w:t xml:space="preserve"> </w:t>
      </w:r>
      <w:r>
        <w:rPr>
          <w:rStyle w:val="VerbatimChar"/>
        </w:rPr>
        <w:t xml:space="preserve">https://&lt;портал&gt;.bitrix24.ru/rest/&lt;ID пользователя&gt;/&lt;секретный ключ&gt;/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секрет, равный паролю</w:t>
      </w:r>
      <w:r>
        <w:t xml:space="preserve">: по нему можно действовать от вашего имени и с вашими правами. Чужие вебхуки не использовать.</w:t>
      </w:r>
    </w:p>
    <w:p>
      <w:pPr>
        <w:pStyle w:val="BodyText"/>
      </w:pPr>
      <w:r>
        <w:rPr>
          <w:bCs/>
          <w:b/>
        </w:rPr>
        <w:t xml:space="preserve">2.2. Настроить окружение Claude Code</w:t>
      </w:r>
      <w:r>
        <w:t xml:space="preserve"> </w:t>
      </w:r>
      <w:r>
        <w:t xml:space="preserve">⚠️</w:t>
      </w:r>
      <w:r>
        <w:t xml:space="preserve"> </w:t>
      </w:r>
      <w:r>
        <w:t xml:space="preserve">claude.ai/code → меню облачного окружения в заголовке сессии →</w:t>
      </w:r>
      <w:r>
        <w:t xml:space="preserve"> </w:t>
      </w:r>
      <w:r>
        <w:rPr>
          <w:bCs/>
          <w:b/>
        </w:rPr>
        <w:t xml:space="preserve">Edit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Network access</w:t>
      </w:r>
      <w:r>
        <w:t xml:space="preserve"> </w:t>
      </w:r>
      <w:r>
        <w:t xml:space="preserve">→ уровень</w:t>
      </w:r>
      <w:r>
        <w:t xml:space="preserve"> </w:t>
      </w:r>
      <w:r>
        <w:rPr>
          <w:iCs/>
          <w:i/>
        </w:rPr>
        <w:t xml:space="preserve">Limited</w:t>
      </w:r>
      <w:r>
        <w:t xml:space="preserve"> </w:t>
      </w:r>
      <w:r>
        <w:t xml:space="preserve">(или</w:t>
      </w:r>
      <w:r>
        <w:t xml:space="preserve"> </w:t>
      </w:r>
      <w:r>
        <w:rPr>
          <w:iCs/>
          <w:i/>
        </w:rPr>
        <w:t xml:space="preserve">Custom</w:t>
      </w:r>
      <w:r>
        <w:t xml:space="preserve">) →</w:t>
      </w:r>
      <w:r>
        <w:t xml:space="preserve"> </w:t>
      </w:r>
      <w:r>
        <w:rPr>
          <w:bCs/>
          <w:b/>
        </w:rPr>
        <w:t xml:space="preserve">Allowed domains</w:t>
      </w:r>
      <w:r>
        <w:t xml:space="preserve"> </w:t>
      </w:r>
      <w:r>
        <w:t xml:space="preserve">→ добавить</w:t>
      </w:r>
      <w:r>
        <w:t xml:space="preserve"> </w:t>
      </w:r>
      <w:r>
        <w:rPr>
          <w:rStyle w:val="VerbatimChar"/>
        </w:rPr>
        <w:t xml:space="preserve">&lt;портал&gt;.bitrix24.ru</w:t>
      </w:r>
      <w:r>
        <w:t xml:space="preserve">; галочку</w:t>
      </w:r>
      <w:r>
        <w:t xml:space="preserve"> </w:t>
      </w:r>
      <w:r>
        <w:rPr>
          <w:iCs/>
          <w:i/>
        </w:rPr>
        <w:t xml:space="preserve">Allow package managers</w:t>
      </w:r>
      <w:r>
        <w:t xml:space="preserve"> </w:t>
      </w:r>
      <w:r>
        <w:t xml:space="preserve">оставить.</w:t>
      </w:r>
      <w:r>
        <w:t xml:space="preserve"> </w:t>
      </w:r>
      <w:r>
        <w:t xml:space="preserve">- Адрес вебхука сохранить как секрет окружения (раздел</w:t>
      </w:r>
      <w:r>
        <w:t xml:space="preserve"> </w:t>
      </w:r>
      <w:r>
        <w:rPr>
          <w:iCs/>
          <w:i/>
        </w:rPr>
        <w:t xml:space="preserve">Network secrets</w:t>
      </w:r>
      <w:r>
        <w:t xml:space="preserve">, если его нет — переменная окружения) с именем</w:t>
      </w:r>
      <w:r>
        <w:t xml:space="preserve"> </w:t>
      </w:r>
      <w:r>
        <w:rPr>
          <w:rStyle w:val="VerbatimChar"/>
        </w:rPr>
        <w:t xml:space="preserve">B24_WEBHOOK_URL</w:t>
      </w:r>
      <w:r>
        <w:t xml:space="preserve">. Адрес заканчивается на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  <w:r>
        <w:t xml:space="preserve"> </w:t>
      </w:r>
      <w:r>
        <w:t xml:space="preserve">- После изменения открыть</w:t>
      </w:r>
      <w:r>
        <w:t xml:space="preserve"> </w:t>
      </w:r>
      <w:r>
        <w:rPr>
          <w:bCs/>
          <w:b/>
        </w:rPr>
        <w:t xml:space="preserve">новую</w:t>
      </w:r>
      <w:r>
        <w:t xml:space="preserve"> </w:t>
      </w:r>
      <w:r>
        <w:t xml:space="preserve">сессию — настройки подхватываются при старте.</w:t>
      </w:r>
    </w:p>
    <w:bookmarkEnd w:id="21"/>
    <w:bookmarkStart w:id="22" w:name="подключение-и-проверка"/>
    <w:p>
      <w:pPr>
        <w:pStyle w:val="Heading2"/>
      </w:pPr>
      <w:r>
        <w:t xml:space="preserve">3. Подключение и проверка</w:t>
      </w:r>
    </w:p>
    <w:p>
      <w:pPr>
        <w:numPr>
          <w:ilvl w:val="0"/>
          <w:numId w:val="1001"/>
        </w:numPr>
      </w:pPr>
      <w:r>
        <w:t xml:space="preserve">Открыть новую сессию Claude Code в настроенном окружении. ⚠️</w:t>
      </w:r>
    </w:p>
    <w:p>
      <w:pPr>
        <w:numPr>
          <w:ilvl w:val="0"/>
          <w:numId w:val="1001"/>
        </w:numPr>
      </w:pPr>
      <w:r>
        <w:t xml:space="preserve">Отправить проверочный запрос: ⚠️</w:t>
      </w:r>
    </w:p>
    <w:p>
      <w:pPr>
        <w:numPr>
          <w:ilvl w:val="0"/>
          <w:numId w:val="1000"/>
        </w:numPr>
        <w:pStyle w:val="BlockText"/>
      </w:pPr>
      <w:r>
        <w:t xml:space="preserve">Проверь подключение к Битрикс24 через вебхук из переменной</w:t>
      </w:r>
      <w:r>
        <w:t xml:space="preserve"> </w:t>
      </w:r>
      <w:r>
        <w:rPr>
          <w:rStyle w:val="VerbatimChar"/>
        </w:rPr>
        <w:t xml:space="preserve">B24_WEBHOOK_URL</w:t>
      </w:r>
      <w:r>
        <w:t xml:space="preserve">: вызови методы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user.current</w:t>
      </w:r>
      <w:r>
        <w:t xml:space="preserve">. Покажи только список прав и мой ID. Адрес вебхука не выводи. Ничего не изменяй.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Признак успешной работы:</w:t>
      </w:r>
      <w:r>
        <w:t xml:space="preserve"> </w:t>
      </w:r>
      <w:r>
        <w:t xml:space="preserve">в ответе есть список прав (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) и ваш ID пользователя, ошибок нет; затем Claude читает название и срок вашей задачи по запросу из п. 5.1.</w:t>
      </w:r>
    </w:p>
    <w:bookmarkEnd w:id="22"/>
    <w:bookmarkStart w:id="23" w:name="затруднения-и-проверенные-решения"/>
    <w:p>
      <w:pPr>
        <w:pStyle w:val="Heading2"/>
      </w:pPr>
      <w:r>
        <w:t xml:space="preserve">4. Затруднения и проверенные решения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Симптом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Что делать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Официальный коннектор: «Доступ через MCP-сервер закрыт»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на портале выключена работа из внешних AI-систем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включать; работать через вебхук (решение ГД)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✅ наблюдали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curl: CONNECT tunnel failed, response 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домен портала не разрешён в сетевой политике окружения Claude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п. 2.2: добавить домен в Allowed domains, открыть новую сессию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✅ ошибка наблюдалась; ⚠️ решение не проверено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Нет пункта «Входящий вебхук»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нет разрешения на создание вебхуков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написать ГД (см. табл.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insufficient_scope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у вебхука нет нужного права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открыть свой вебхук, добавить право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ACCESS_DENIED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или пустой ответ по задаче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вы не участник этой задачи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работать только со своими задачами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Invalid request credentials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ключ неверный, вебхук удалён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создать новый вебхук, обновить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B24_WEBHOOK_URL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Claude не видит комментарии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 новой карточке задачи обсуждение идёт в «Чате задачи», метод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task.commentitem.getlist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его может не вернуть; для чата нужно право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указать ограничение в отчёте; право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добавлять только по согласованию с ГД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⚠️</w:t>
            </w:r>
          </w:p>
        </w:tc>
      </w:tr>
    </w:tbl>
    <w:p>
      <w:pPr>
        <w:pStyle w:val="BodyText"/>
      </w:pPr>
      <w:r>
        <w:rPr>
          <w:bCs/>
          <w:b/>
        </w:rPr>
        <w:t xml:space="preserve">Если адрес вебхука попал в чат, задачу или на скриншот:</w:t>
      </w:r>
      <w:r>
        <w:t xml:space="preserve"> </w:t>
      </w:r>
      <w:r>
        <w:t xml:space="preserve">удалить этот вебхук в Битрикс24, создать новый и обновить секрет в окружении.</w:t>
      </w:r>
    </w:p>
    <w:bookmarkEnd w:id="23"/>
    <w:bookmarkStart w:id="24" w:name="Xfb3f25d6cdf80545eb8559b6e6b762f4d7d664e"/>
    <w:p>
      <w:pPr>
        <w:pStyle w:val="Heading2"/>
      </w:pPr>
      <w:r>
        <w:t xml:space="preserve">5. Примеры запросов (только чтение, на своей задаче)</w:t>
      </w:r>
    </w:p>
    <w:p>
      <w:pPr>
        <w:pStyle w:val="FirstParagraph"/>
      </w:pPr>
      <w:r>
        <w:rPr>
          <w:bCs/>
          <w:b/>
        </w:rPr>
        <w:t xml:space="preserve">5.1. Понять постановку</w:t>
      </w:r>
      <w:r>
        <w:t xml:space="preserve"> </w:t>
      </w:r>
      <w:r>
        <w:t xml:space="preserve">⚠️</w:t>
      </w:r>
    </w:p>
    <w:p>
      <w:pPr>
        <w:pStyle w:val="BlockText"/>
      </w:pPr>
      <w:r>
        <w:t xml:space="preserve">Прочитай задачу</w:t>
      </w:r>
      <w:r>
        <w:t xml:space="preserve"> </w:t>
      </w:r>
      <w:r>
        <w:rPr>
          <w:rStyle w:val="VerbatimChar"/>
        </w:rPr>
        <w:t xml:space="preserve">&lt;ID задачи&gt;</w:t>
      </w:r>
      <w:r>
        <w:t xml:space="preserve"> </w:t>
      </w:r>
      <w:r>
        <w:t xml:space="preserve">в Битрикс24 (метод</w:t>
      </w:r>
      <w:r>
        <w:t xml:space="preserve"> </w:t>
      </w:r>
      <w:r>
        <w:rPr>
          <w:rStyle w:val="VerbatimChar"/>
        </w:rPr>
        <w:t xml:space="preserve">tasks.task.get</w:t>
      </w:r>
      <w:r>
        <w:t xml:space="preserve">) и комментарии к ней, если они доступны. Ничего не изменяй. Кратко изложи: цель, ожидаемый результат и критерии приёмки, срок, ограничения, что уже сделано по комментариям, и какие вопросы стоит задать постановщику. Если комментарии недоступны — так и напиши.</w:t>
      </w:r>
    </w:p>
    <w:p>
      <w:pPr>
        <w:pStyle w:val="FirstParagraph"/>
      </w:pPr>
      <w:r>
        <w:rPr>
          <w:bCs/>
          <w:b/>
        </w:rPr>
        <w:t xml:space="preserve">5.2. Составить план выполнения</w:t>
      </w:r>
      <w:r>
        <w:t xml:space="preserve"> </w:t>
      </w:r>
      <w:r>
        <w:t xml:space="preserve">⚠️</w:t>
      </w:r>
    </w:p>
    <w:p>
      <w:pPr>
        <w:pStyle w:val="BlockText"/>
      </w:pPr>
      <w:r>
        <w:t xml:space="preserve">По задаче</w:t>
      </w:r>
      <w:r>
        <w:t xml:space="preserve"> </w:t>
      </w:r>
      <w:r>
        <w:rPr>
          <w:rStyle w:val="VerbatimChar"/>
        </w:rPr>
        <w:t xml:space="preserve">&lt;ID задачи&gt;</w:t>
      </w:r>
      <w:r>
        <w:t xml:space="preserve"> </w:t>
      </w:r>
      <w:r>
        <w:t xml:space="preserve">составь план выполнения: шаги с оценкой времени, что нужно от других людей, риски и точки проверки, чтобы успеть к сроку. В Битрикс24 ничего не записывай.</w:t>
      </w:r>
    </w:p>
    <w:p>
      <w:pPr>
        <w:pStyle w:val="FirstParagraph"/>
      </w:pPr>
      <w:r>
        <w:rPr>
          <w:bCs/>
          <w:b/>
        </w:rPr>
        <w:t xml:space="preserve">5.3. Подготовить отчёт о результате</w:t>
      </w:r>
      <w:r>
        <w:t xml:space="preserve"> </w:t>
      </w:r>
      <w:r>
        <w:t xml:space="preserve">⚠️</w:t>
      </w:r>
    </w:p>
    <w:p>
      <w:pPr>
        <w:pStyle w:val="BlockText"/>
      </w:pPr>
      <w:r>
        <w:t xml:space="preserve">Подготовь черновик итогового комментария к задаче</w:t>
      </w:r>
      <w:r>
        <w:t xml:space="preserve"> </w:t>
      </w:r>
      <w:r>
        <w:rPr>
          <w:rStyle w:val="VerbatimChar"/>
        </w:rPr>
        <w:t xml:space="preserve">&lt;ID задачи&gt;</w:t>
      </w:r>
      <w:r>
        <w:t xml:space="preserve"> </w:t>
      </w:r>
      <w:r>
        <w:t xml:space="preserve">в формате: сделано / проверено самостоятельно / не проверено / нужно решение (не больше трёх вопросов, к каждому — мой вариант решения). Не публикуй — покажи текст мне.</w:t>
      </w:r>
    </w:p>
    <w:bookmarkEnd w:id="24"/>
    <w:bookmarkStart w:id="25" w:name="ограничения-доступа-и-правила"/>
    <w:p>
      <w:pPr>
        <w:pStyle w:val="Heading2"/>
      </w:pPr>
      <w:r>
        <w:t xml:space="preserve">6. Ограничения доступа и правила</w:t>
      </w:r>
    </w:p>
    <w:p>
      <w:pPr>
        <w:numPr>
          <w:ilvl w:val="0"/>
          <w:numId w:val="1002"/>
        </w:numPr>
        <w:pStyle w:val="Compact"/>
      </w:pPr>
      <w:r>
        <w:t xml:space="preserve">Вебхук действует</w:t>
      </w:r>
      <w:r>
        <w:t xml:space="preserve"> </w:t>
      </w:r>
      <w:r>
        <w:rPr>
          <w:bCs/>
          <w:b/>
        </w:rPr>
        <w:t xml:space="preserve">с правами владельца</w:t>
      </w:r>
      <w:r>
        <w:t xml:space="preserve">: Claude видит только те задачи, к которым у вас есть доступ, и только методы из выбранных прав вебхука.</w:t>
      </w:r>
    </w:p>
    <w:p>
      <w:pPr>
        <w:numPr>
          <w:ilvl w:val="0"/>
          <w:numId w:val="1002"/>
        </w:numPr>
        <w:pStyle w:val="Compact"/>
      </w:pPr>
      <w:r>
        <w:t xml:space="preserve">Запросы на запись (комментарий, смена статуса, файлы) — только по явной просьбе и только в своих задачах. Чужие задачи не менять.</w:t>
      </w:r>
    </w:p>
    <w:p>
      <w:pPr>
        <w:numPr>
          <w:ilvl w:val="0"/>
          <w:numId w:val="1002"/>
        </w:numPr>
        <w:pStyle w:val="Compact"/>
      </w:pPr>
      <w:r>
        <w:t xml:space="preserve">Пароли, ключи, адреса вебхуков и персональные данные — не в тексте, не в примерах, не на скриншотах.</w:t>
      </w:r>
    </w:p>
    <w:p>
      <w:pPr>
        <w:numPr>
          <w:ilvl w:val="0"/>
          <w:numId w:val="1002"/>
        </w:numPr>
        <w:pStyle w:val="Compact"/>
      </w:pPr>
      <w:r>
        <w:t xml:space="preserve">Памятку не публиковать в общей ленте без согласования с ГД.</w:t>
      </w:r>
    </w:p>
    <w:bookmarkEnd w:id="25"/>
    <w:bookmarkEnd w:id="26"/>
    <w:sectPr>
      <w:pgMar w:top="850" w:bottom="850"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60"/>
    </w:pPr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60" w:before="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before="0" w:after="60"/>
    </w:pPr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60" w:before="0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60" w:before="0"/>
      <w:jc w:val="center"/>
    </w:pPr>
    <w:rPr>
      <w:rFonts w:asciiTheme="majorHAnsi" w:cstheme="majorBidi" w:eastAsiaTheme="majorEastAsia" w:hAnsiTheme="majorHAnsi" w:ascii="Arial" w:hAnsi="Arial"/>
      <w:b/>
      <w:bCs/>
      <w:color w:themeColor="accent1" w:themeShade="B5" w:val="345A8A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60" w:before="0"/>
      <w:jc w:val="center"/>
    </w:pPr>
    <w:rPr>
      <w:rFonts w:ascii="Arial" w:hAnsi="Arial"/>
      <w:sz w:val="20"/>
      <w:szCs w:val="30"/>
    </w:rPr>
  </w:style>
  <w:style w:customStyle="1" w:styleId="Author" w:type="paragraph">
    <w:name w:val="Author"/>
    <w:next w:val="BodyText"/>
    <w:qFormat/>
    <w:pPr>
      <w:keepNext/>
      <w:keepLines/>
      <w:spacing w:before="0" w:after="60"/>
      <w:jc w:val="center"/>
    </w:pPr>
    <w:rPr>
      <w:rFonts w:ascii="Arial" w:hAnsi="Arial"/>
      <w:sz w:val="20"/>
    </w:rPr>
  </w:style>
  <w:style w:styleId="Date" w:type="paragraph">
    <w:name w:val="Date"/>
    <w:next w:val="BodyText"/>
    <w:qFormat/>
    <w:pPr>
      <w:keepNext/>
      <w:keepLines/>
      <w:spacing w:before="0" w:after="60"/>
      <w:jc w:val="center"/>
    </w:pPr>
    <w:rPr>
      <w:rFonts w:ascii="Arial" w:hAnsi="Arial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60" w:before="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60" w:before="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before="0" w:after="60"/>
    </w:pPr>
    <w:rPr>
      <w:rFonts w:ascii="Arial" w:hAnsi="Arial"/>
      <w:sz w:val="2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60"/>
      <w:outlineLvl w:val="0"/>
    </w:pPr>
    <w:rPr>
      <w:rFonts w:asciiTheme="majorHAnsi" w:cstheme="majorBidi" w:eastAsiaTheme="majorEastAsia" w:hAnsiTheme="majorHAnsi" w:ascii="Arial" w:hAnsi="Arial"/>
      <w:b/>
      <w:bCs/>
      <w:color w:themeColor="accent1" w:val="4F81BD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60"/>
      <w:outlineLvl w:val="1"/>
    </w:pPr>
    <w:rPr>
      <w:rFonts w:asciiTheme="majorHAnsi" w:cstheme="majorBidi" w:eastAsiaTheme="majorEastAsia" w:hAnsiTheme="majorHAnsi" w:ascii="Arial" w:hAnsi="Arial"/>
      <w:b/>
      <w:bCs/>
      <w:color w:themeColor="accent1" w:val="4F81BD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60"/>
      <w:outlineLvl w:val="2"/>
    </w:pPr>
    <w:rPr>
      <w:rFonts w:asciiTheme="majorHAnsi" w:cstheme="majorBidi" w:eastAsiaTheme="majorEastAsia" w:hAnsiTheme="majorHAnsi" w:ascii="Arial" w:hAnsi="Arial"/>
      <w:b/>
      <w:bCs/>
      <w:color w:themeColor="accent1" w:val="4F81B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60"/>
      <w:outlineLvl w:val="3"/>
    </w:pPr>
    <w:rPr>
      <w:rFonts w:asciiTheme="majorHAnsi" w:cstheme="majorBidi" w:eastAsiaTheme="majorEastAsia" w:hAnsiTheme="majorHAnsi" w:ascii="Arial" w:hAnsi="Arial"/>
      <w:i/>
      <w:bCs/>
      <w:color w:themeColor="accent1" w:val="4F81BD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60"/>
      <w:outlineLvl w:val="4"/>
    </w:pPr>
    <w:rPr>
      <w:rFonts w:asciiTheme="majorHAnsi" w:cstheme="majorBidi" w:eastAsiaTheme="majorEastAsia" w:hAnsiTheme="majorHAnsi" w:ascii="Arial" w:hAnsi="Arial"/>
      <w:iCs/>
      <w:color w:themeColor="accent1" w:val="4F81BD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60"/>
      <w:outlineLvl w:val="5"/>
    </w:pPr>
    <w:rPr>
      <w:rFonts w:asciiTheme="majorHAnsi" w:cstheme="majorBidi" w:eastAsiaTheme="majorEastAsia" w:hAnsiTheme="majorHAnsi" w:ascii="Arial" w:hAnsi="Arial"/>
      <w:color w:themeColor="accent1" w:val="4F81BD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60" w:before="60"/>
      <w:outlineLvl w:val="6"/>
    </w:pPr>
    <w:rPr>
      <w:rFonts w:asciiTheme="majorHAnsi" w:cstheme="majorBidi" w:eastAsiaTheme="majorEastAsia" w:hAnsiTheme="majorHAnsi" w:ascii="Arial" w:hAnsi="Arial"/>
      <w:color w:themeColor="accent1" w:val="4F81BD"/>
      <w:sz w:val="22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60" w:before="60"/>
      <w:outlineLvl w:val="7"/>
    </w:pPr>
    <w:rPr>
      <w:rFonts w:asciiTheme="majorHAnsi" w:cstheme="majorBidi" w:eastAsiaTheme="majorEastAsia" w:hAnsiTheme="majorHAnsi" w:ascii="Arial" w:hAnsi="Arial"/>
      <w:color w:themeColor="accent1" w:val="4F81BD"/>
      <w:sz w:val="22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60" w:before="60"/>
      <w:outlineLvl w:val="8"/>
    </w:pPr>
    <w:rPr>
      <w:rFonts w:asciiTheme="majorHAnsi" w:cstheme="majorBidi" w:eastAsiaTheme="majorEastAsia" w:hAnsiTheme="majorHAnsi" w:ascii="Arial" w:hAnsi="Arial"/>
      <w:color w:themeColor="accent1" w:val="4F81BD"/>
      <w:sz w:val="22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0"/>
      <w:ind w:firstLine="0" w:left="480" w:right="480"/>
    </w:pPr>
    <w:rPr>
      <w:rFonts w:ascii="Arial" w:hAnsi="Arial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60"/>
    </w:pPr>
    <w:rPr>
      <w:rFonts w:ascii="Arial" w:hAnsi="Arial"/>
      <w:sz w:val="20"/>
    </w:rPr>
  </w:style>
  <w:style w:default="1" w:styleId="DefaultParagraphFont" w:type="character">
    <w:name w:val="Default Paragraph Font"/>
    <w:semiHidden/>
    <w:unhideWhenUsed/>
    <w:rPr>
      <w:rFonts w:ascii="Arial" w:hAnsi="Arial"/>
      <w:sz w:val="20"/>
    </w:rPr>
  </w:style>
  <w:style w:default="1" w:styleId="Table" w:type="table">
    <w:name w:val="Table"/>
    <w:basedOn w:val="TableNormal"/>
    <w:semiHidden/>
    <w:unhideWhenUsed/>
    <w:qFormat/>
    <w:pPr>
      <w:spacing w:before="0" w:after="60"/>
    </w:pPr>
    <w:rPr>
      <w:rFonts w:ascii="Arial" w:hAnsi="Arial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60" w:before="0"/>
    </w:pPr>
    <w:rPr>
      <w:rFonts w:ascii="Arial" w:hAnsi="Arial"/>
      <w:b/>
      <w:sz w:val="20"/>
    </w:rPr>
  </w:style>
  <w:style w:customStyle="1" w:styleId="Definition" w:type="paragraph">
    <w:name w:val="Definition"/>
    <w:basedOn w:val="Normal"/>
    <w:pPr>
      <w:spacing w:before="0" w:after="60"/>
    </w:pPr>
    <w:rPr>
      <w:rFonts w:ascii="Arial" w:hAnsi="Arial"/>
      <w:sz w:val="20"/>
    </w:rPr>
  </w:style>
  <w:style w:styleId="Caption" w:type="paragraph">
    <w:name w:val="Caption"/>
    <w:basedOn w:val="Normal"/>
    <w:link w:val="BodyTextChar"/>
    <w:pPr>
      <w:spacing w:after="60" w:before="0"/>
    </w:pPr>
    <w:rPr>
      <w:rFonts w:ascii="Arial" w:hAnsi="Arial"/>
      <w:i/>
      <w:sz w:val="20"/>
    </w:rPr>
  </w:style>
  <w:style w:customStyle="1" w:styleId="TableCaption" w:type="paragraph">
    <w:name w:val="Table Caption"/>
    <w:basedOn w:val="Caption"/>
    <w:pPr>
      <w:keepNext/>
      <w:spacing w:before="0" w:after="60"/>
    </w:pPr>
    <w:rPr>
      <w:rFonts w:ascii="Arial" w:hAnsi="Arial"/>
      <w:sz w:val="20"/>
    </w:rPr>
  </w:style>
  <w:style w:customStyle="1" w:styleId="ImageCaption" w:type="paragraph">
    <w:name w:val="Image Caption"/>
    <w:basedOn w:val="Caption"/>
    <w:pPr>
      <w:spacing w:before="0" w:after="60"/>
    </w:pPr>
    <w:rPr>
      <w:rFonts w:ascii="Arial" w:hAnsi="Arial"/>
      <w:sz w:val="20"/>
    </w:rPr>
  </w:style>
  <w:style w:customStyle="1" w:styleId="Figure" w:type="paragraph">
    <w:name w:val="Figure"/>
    <w:basedOn w:val="Normal"/>
    <w:pPr>
      <w:spacing w:before="0" w:after="60"/>
    </w:pPr>
    <w:rPr>
      <w:rFonts w:ascii="Arial" w:hAnsi="Arial"/>
      <w:sz w:val="20"/>
    </w:rPr>
  </w:style>
  <w:style w:customStyle="1" w:styleId="CaptionedFigure" w:type="paragraph">
    <w:name w:val="Captioned Figure"/>
    <w:basedOn w:val="Figure"/>
    <w:pPr>
      <w:keepNext/>
      <w:spacing w:before="0" w:after="60"/>
    </w:pPr>
    <w:rPr>
      <w:rFonts w:ascii="Arial" w:hAnsi="Arial"/>
      <w:sz w:val="20"/>
    </w:rPr>
  </w:style>
  <w:style w:customStyle="1" w:styleId="BodyTextChar" w:type="character">
    <w:name w:val="Body Text Char"/>
    <w:basedOn w:val="DefaultParagraphFont"/>
    <w:link w:val="BodyText"/>
    <w:rPr>
      <w:rFonts w:ascii="Arial" w:hAnsi="Arial"/>
      <w:sz w:val="20"/>
    </w:rPr>
  </w:style>
  <w:style w:customStyle="1" w:styleId="VerbatimChar" w:type="character">
    <w:name w:val="Verbatim Char"/>
    <w:basedOn w:val="BodyTextChar"/>
    <w:rPr>
      <w:rFonts w:ascii="Arial" w:hAnsi="Arial"/>
      <w:sz w:val="20"/>
    </w:rPr>
  </w:style>
  <w:style w:customStyle="1" w:styleId="SectionNumber" w:type="character">
    <w:name w:val="Section Number"/>
    <w:basedOn w:val="BodyTextChar"/>
    <w:rPr>
      <w:rFonts w:ascii="Arial" w:hAnsi="Arial"/>
      <w:sz w:val="20"/>
    </w:rPr>
  </w:style>
  <w:style w:styleId="FootnoteReference" w:type="character">
    <w:name w:val="Footnote Reference"/>
    <w:basedOn w:val="BodyTextChar"/>
    <w:rPr>
      <w:rFonts w:ascii="Arial" w:hAnsi="Arial"/>
      <w:sz w:val="20"/>
      <w:vertAlign w:val="superscript"/>
    </w:rPr>
  </w:style>
  <w:style w:styleId="Hyperlink" w:type="character">
    <w:name w:val="Hyperlink"/>
    <w:basedOn w:val="BodyTextChar"/>
    <w:rPr>
      <w:rFonts w:ascii="Arial" w:hAnsi="Arial"/>
      <w:color w:themeColor="accent1" w:val="4F81BD"/>
      <w:sz w:val="2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 w:after="60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  <w:sz w:val="20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60"/>
    </w:pPr>
    <w:rPr>
      <w:rFonts w:ascii="Arial" w:hAnsi="Arial"/>
      <w:sz w:val="20"/>
    </w:rPr>
  </w:style>
  <w:style w:type="character" w:customStyle="1" w:styleId="KeywordTok">
    <w:name w:val="KeywordTok"/>
    <w:basedOn w:val="VerbatimChar"/>
    <w:rPr>
      <w:color w:val="007020"/>
      <w:rFonts w:ascii="Arial" w:hAnsi="Arial"/>
      <w:b/>
      <w:sz w:val="20"/>
    </w:rPr>
  </w:style>
  <w:style w:type="character" w:customStyle="1" w:styleId="DataTypeTok">
    <w:name w:val="DataTypeTok"/>
    <w:basedOn w:val="VerbatimChar"/>
    <w:rPr>
      <w:rFonts w:ascii="Arial" w:hAnsi="Arial"/>
      <w:color w:val="902000"/>
      <w:sz w:val="20"/>
    </w:rPr>
  </w:style>
  <w:style w:type="character" w:customStyle="1" w:styleId="DecValTok">
    <w:name w:val="DecValTok"/>
    <w:basedOn w:val="VerbatimChar"/>
    <w:rPr>
      <w:rFonts w:ascii="Arial" w:hAnsi="Arial"/>
      <w:color w:val="40a070"/>
      <w:sz w:val="20"/>
    </w:rPr>
  </w:style>
  <w:style w:type="character" w:customStyle="1" w:styleId="BaseNTok">
    <w:name w:val="BaseNTok"/>
    <w:basedOn w:val="VerbatimChar"/>
    <w:rPr>
      <w:rFonts w:ascii="Arial" w:hAnsi="Arial"/>
      <w:color w:val="40a070"/>
      <w:sz w:val="20"/>
    </w:rPr>
  </w:style>
  <w:style w:type="character" w:customStyle="1" w:styleId="FloatTok">
    <w:name w:val="FloatTok"/>
    <w:basedOn w:val="VerbatimChar"/>
    <w:rPr>
      <w:rFonts w:ascii="Arial" w:hAnsi="Arial"/>
      <w:color w:val="40a070"/>
      <w:sz w:val="20"/>
    </w:rPr>
  </w:style>
  <w:style w:type="character" w:customStyle="1" w:styleId="ConstantTok">
    <w:name w:val="ConstantTok"/>
    <w:basedOn w:val="VerbatimChar"/>
    <w:rPr>
      <w:rFonts w:ascii="Arial" w:hAnsi="Arial"/>
      <w:color w:val="880000"/>
      <w:sz w:val="20"/>
    </w:rPr>
  </w:style>
  <w:style w:type="character" w:customStyle="1" w:styleId="CharTok">
    <w:name w:val="CharTok"/>
    <w:basedOn w:val="VerbatimChar"/>
    <w:rPr>
      <w:rFonts w:ascii="Arial" w:hAnsi="Arial"/>
      <w:color w:val="4070a0"/>
      <w:sz w:val="20"/>
    </w:rPr>
  </w:style>
  <w:style w:type="character" w:customStyle="1" w:styleId="SpecialCharTok">
    <w:name w:val="SpecialCharTok"/>
    <w:basedOn w:val="VerbatimChar"/>
    <w:rPr>
      <w:rFonts w:ascii="Arial" w:hAnsi="Arial"/>
      <w:color w:val="4070a0"/>
      <w:sz w:val="20"/>
    </w:rPr>
  </w:style>
  <w:style w:type="character" w:customStyle="1" w:styleId="StringTok">
    <w:name w:val="StringTok"/>
    <w:basedOn w:val="VerbatimChar"/>
    <w:rPr>
      <w:rFonts w:ascii="Arial" w:hAnsi="Arial"/>
      <w:color w:val="4070a0"/>
      <w:sz w:val="20"/>
    </w:rPr>
  </w:style>
  <w:style w:type="character" w:customStyle="1" w:styleId="VerbatimStringTok">
    <w:name w:val="VerbatimStringTok"/>
    <w:basedOn w:val="VerbatimChar"/>
    <w:rPr>
      <w:rFonts w:ascii="Arial" w:hAnsi="Arial"/>
      <w:color w:val="4070a0"/>
      <w:sz w:val="20"/>
    </w:rPr>
  </w:style>
  <w:style w:type="character" w:customStyle="1" w:styleId="SpecialStringTok">
    <w:name w:val="SpecialStringTok"/>
    <w:basedOn w:val="VerbatimChar"/>
    <w:rPr>
      <w:rFonts w:ascii="Arial" w:hAnsi="Arial"/>
      <w:color w:val="bb6688"/>
      <w:sz w:val="20"/>
    </w:rPr>
  </w:style>
  <w:style w:type="character" w:customStyle="1" w:styleId="ImportTok">
    <w:name w:val="ImportTok"/>
    <w:basedOn w:val="VerbatimChar"/>
    <w:rPr>
      <w:color w:val="008000"/>
      <w:rFonts w:ascii="Arial" w:hAnsi="Arial"/>
      <w:b/>
      <w:sz w:val="20"/>
    </w:rPr>
  </w:style>
  <w:style w:type="character" w:customStyle="1" w:styleId="CommentTok">
    <w:name w:val="CommentTok"/>
    <w:basedOn w:val="VerbatimChar"/>
    <w:rPr>
      <w:color w:val="60a0b0"/>
      <w:rFonts w:ascii="Arial" w:hAnsi="Arial"/>
      <w:i/>
      <w:sz w:val="20"/>
    </w:rPr>
  </w:style>
  <w:style w:type="character" w:customStyle="1" w:styleId="DocumentationTok">
    <w:name w:val="DocumentationTok"/>
    <w:basedOn w:val="VerbatimChar"/>
    <w:rPr>
      <w:color w:val="ba2121"/>
      <w:rFonts w:ascii="Arial" w:hAnsi="Arial"/>
      <w:i/>
      <w:sz w:val="20"/>
    </w:rPr>
  </w:style>
  <w:style w:type="character" w:customStyle="1" w:styleId="AnnotationTok">
    <w:name w:val="AnnotationTok"/>
    <w:basedOn w:val="VerbatimChar"/>
    <w:rPr>
      <w:color w:val="60a0b0"/>
      <w:rFonts w:ascii="Arial" w:hAnsi="Arial"/>
      <w:b/>
      <w:i/>
      <w:sz w:val="20"/>
    </w:rPr>
  </w:style>
  <w:style w:type="character" w:customStyle="1" w:styleId="CommentVarTok">
    <w:name w:val="CommentVarTok"/>
    <w:basedOn w:val="VerbatimChar"/>
    <w:rPr>
      <w:color w:val="60a0b0"/>
      <w:rFonts w:ascii="Arial" w:hAnsi="Arial"/>
      <w:b/>
      <w:i/>
      <w:sz w:val="20"/>
    </w:rPr>
  </w:style>
  <w:style w:type="character" w:customStyle="1" w:styleId="OtherTok">
    <w:name w:val="OtherTok"/>
    <w:basedOn w:val="VerbatimChar"/>
    <w:rPr>
      <w:rFonts w:ascii="Arial" w:hAnsi="Arial"/>
      <w:color w:val="007020"/>
      <w:sz w:val="20"/>
    </w:rPr>
  </w:style>
  <w:style w:type="character" w:customStyle="1" w:styleId="FunctionTok">
    <w:name w:val="FunctionTok"/>
    <w:basedOn w:val="VerbatimChar"/>
    <w:rPr>
      <w:rFonts w:ascii="Arial" w:hAnsi="Arial"/>
      <w:color w:val="06287e"/>
      <w:sz w:val="20"/>
    </w:rPr>
  </w:style>
  <w:style w:type="character" w:customStyle="1" w:styleId="VariableTok">
    <w:name w:val="VariableTok"/>
    <w:basedOn w:val="VerbatimChar"/>
    <w:rPr>
      <w:rFonts w:ascii="Arial" w:hAnsi="Arial"/>
      <w:color w:val="19177c"/>
      <w:sz w:val="20"/>
    </w:rPr>
  </w:style>
  <w:style w:type="character" w:customStyle="1" w:styleId="ControlFlowTok">
    <w:name w:val="ControlFlowTok"/>
    <w:basedOn w:val="VerbatimChar"/>
    <w:rPr>
      <w:color w:val="007020"/>
      <w:rFonts w:ascii="Arial" w:hAnsi="Arial"/>
      <w:b/>
      <w:sz w:val="20"/>
    </w:rPr>
  </w:style>
  <w:style w:type="character" w:customStyle="1" w:styleId="OperatorTok">
    <w:name w:val="OperatorTok"/>
    <w:basedOn w:val="VerbatimChar"/>
    <w:rPr>
      <w:rFonts w:ascii="Arial" w:hAnsi="Arial"/>
      <w:color w:val="666666"/>
      <w:sz w:val="20"/>
    </w:rPr>
  </w:style>
  <w:style w:type="character" w:customStyle="1" w:styleId="BuiltInTok">
    <w:name w:val="BuiltInTok"/>
    <w:basedOn w:val="VerbatimChar"/>
    <w:rPr>
      <w:rFonts w:ascii="Arial" w:hAnsi="Arial"/>
      <w:color w:val="008000"/>
      <w:sz w:val="20"/>
    </w:rPr>
  </w:style>
  <w:style w:type="character" w:customStyle="1" w:styleId="ExtensionTok">
    <w:name w:val="ExtensionTok"/>
    <w:basedOn w:val="VerbatimChar"/>
    <w:rPr>
      <w:rFonts w:ascii="Arial" w:hAnsi="Arial"/>
      <w:sz w:val="20"/>
    </w:rPr>
  </w:style>
  <w:style w:type="character" w:customStyle="1" w:styleId="PreprocessorTok">
    <w:name w:val="PreprocessorTok"/>
    <w:basedOn w:val="VerbatimChar"/>
    <w:rPr>
      <w:rFonts w:ascii="Arial" w:hAnsi="Arial"/>
      <w:color w:val="bc7a00"/>
      <w:sz w:val="20"/>
    </w:rPr>
  </w:style>
  <w:style w:type="character" w:customStyle="1" w:styleId="AttributeTok">
    <w:name w:val="AttributeTok"/>
    <w:basedOn w:val="VerbatimChar"/>
    <w:rPr>
      <w:rFonts w:ascii="Arial" w:hAnsi="Arial"/>
      <w:color w:val="7d9029"/>
      <w:sz w:val="20"/>
    </w:rPr>
  </w:style>
  <w:style w:type="character" w:customStyle="1" w:styleId="RegionMarkerTok">
    <w:name w:val="RegionMarkerTok"/>
    <w:basedOn w:val="VerbatimChar"/>
    <w:rPr>
      <w:rFonts w:ascii="Arial" w:hAnsi="Arial"/>
      <w:sz w:val="20"/>
    </w:rPr>
  </w:style>
  <w:style w:type="character" w:customStyle="1" w:styleId="InformationTok">
    <w:name w:val="InformationTok"/>
    <w:basedOn w:val="VerbatimChar"/>
    <w:rPr>
      <w:color w:val="60a0b0"/>
      <w:rFonts w:ascii="Arial" w:hAnsi="Arial"/>
      <w:b/>
      <w:i/>
      <w:sz w:val="20"/>
    </w:rPr>
  </w:style>
  <w:style w:type="character" w:customStyle="1" w:styleId="WarningTok">
    <w:name w:val="WarningTok"/>
    <w:basedOn w:val="VerbatimChar"/>
    <w:rPr>
      <w:color w:val="60a0b0"/>
      <w:rFonts w:ascii="Arial" w:hAnsi="Arial"/>
      <w:b/>
      <w:i/>
      <w:sz w:val="20"/>
    </w:rPr>
  </w:style>
  <w:style w:type="character" w:customStyle="1" w:styleId="AlertTok">
    <w:name w:val="AlertTok"/>
    <w:basedOn w:val="VerbatimChar"/>
    <w:rPr>
      <w:color w:val="ff0000"/>
      <w:rFonts w:ascii="Arial" w:hAnsi="Arial"/>
      <w:b/>
      <w:sz w:val="20"/>
    </w:rPr>
  </w:style>
  <w:style w:type="character" w:customStyle="1" w:styleId="ErrorTok">
    <w:name w:val="ErrorTok"/>
    <w:basedOn w:val="VerbatimChar"/>
    <w:rPr>
      <w:color w:val="ff0000"/>
      <w:rFonts w:ascii="Arial" w:hAnsi="Arial"/>
      <w:b/>
      <w:sz w:val="20"/>
    </w:rPr>
  </w:style>
  <w:style w:type="character" w:customStyle="1" w:styleId="NormalTok">
    <w:name w:val="NormalTok"/>
    <w:basedOn w:val="VerbatimChar"/>
    <w:rPr>
      <w:rFonts w:ascii="Arial" w:hAnsi="Arial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2026-10-14T14:11:10Z</dcterms:created>
  <dcterms:modified xsi:type="dcterms:W3CDTF">2026-10-14T14:11:10Z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