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63a9a3022ba1dfc5b07914d2f1ecc1872815f6"/>
    <w:p>
      <w:pPr>
        <w:pStyle w:val="Heading1"/>
      </w:pPr>
      <w:r>
        <w:t xml:space="preserve">Памятка: подключение Claude к Битрикс24 через входящий вебхук</w:t>
      </w:r>
    </w:p>
    <w:p>
      <w:pPr>
        <w:pStyle w:val="FirstParagraph"/>
      </w:pPr>
      <w:r>
        <w:rPr>
          <w:bCs/>
          <w:b/>
        </w:rPr>
        <w:t xml:space="preserve">Вариант Claude:</w:t>
      </w:r>
      <w:r>
        <w:t xml:space="preserve"> </w:t>
      </w:r>
      <w:r>
        <w:t xml:space="preserve">Claude Code в облачной сессии (claude.ai/code). Claude вызывает REST API Битрикс24 командами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через</w:t>
      </w:r>
      <w:r>
        <w:t xml:space="preserve"> </w:t>
      </w:r>
      <w:r>
        <w:rPr>
          <w:bCs/>
          <w:b/>
        </w:rPr>
        <w:t xml:space="preserve">свой</w:t>
      </w:r>
      <w:r>
        <w:t xml:space="preserve"> </w:t>
      </w:r>
      <w:r>
        <w:t xml:space="preserve">входящий вебхук сотрудника.</w:t>
      </w:r>
      <w:r>
        <w:t xml:space="preserve"> </w:t>
      </w:r>
      <w:r>
        <w:t xml:space="preserve">Официальный MCP-коннектор Битрикс24 и настройка портала «Работа с Битрикс24 из внешних AI-систем»</w:t>
      </w:r>
      <w:r>
        <w:t xml:space="preserve"> </w:t>
      </w:r>
      <w:r>
        <w:rPr>
          <w:bCs/>
          <w:b/>
        </w:rPr>
        <w:t xml:space="preserve">не нужны</w:t>
      </w:r>
      <w:r>
        <w:t xml:space="preserve">.</w:t>
      </w:r>
    </w:p>
    <w:p>
      <w:pPr>
        <w:pStyle w:val="BodyText"/>
      </w:pPr>
      <w:r>
        <w:t xml:space="preserve">Обозначения: ✅ — шаг выполнен и проверен лично; ⚠️ — шаг не проверен, описан по документации.</w:t>
      </w:r>
      <w:r>
        <w:t xml:space="preserve"> </w:t>
      </w:r>
      <w:r>
        <w:t xml:space="preserve">Все значения в угловых скобках (</w:t>
      </w:r>
      <w:r>
        <w:rPr>
          <w:rStyle w:val="VerbatimChar"/>
        </w:rPr>
        <w:t xml:space="preserve">&lt;портал&gt;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) — заглушки. Настоящие адреса и ключи в памятку, задачи, чаты и скриншоты не вставлять.</w:t>
      </w:r>
    </w:p>
    <w:bookmarkStart w:id="20" w:name="какие-нужны-доступы"/>
    <w:p>
      <w:pPr>
        <w:pStyle w:val="Heading2"/>
      </w:pPr>
      <w:r>
        <w:t xml:space="preserve">1. Какие нужны доступы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Где взять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Учётная запись на портале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&lt;портал&gt;.bitrix24.ru</w:t>
            </w:r>
            <w:r>
              <w:rPr>
                <w:sz w:val="18"/>
              </w:rPr>
              <w:t xml:space="preserve">, свои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 / отдел кадров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Разрешение создавать входящие вебхуки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если пункта «Входящий вебхук» нет — просить ГД проверить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это разрешение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(права администратора не нужны)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Аккаунт claude.ai с доступом к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Облачное окружение Claude Code, где разрешён домен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настраивает сам сотрудник (п. 2.2)</w:t>
            </w:r>
          </w:p>
        </w:tc>
      </w:tr>
    </w:tbl>
    <w:bookmarkEnd w:id="20"/>
    <w:bookmarkStart w:id="21" w:name="подготовка"/>
    <w:p>
      <w:pPr>
        <w:pStyle w:val="Heading2"/>
      </w:pPr>
      <w:r>
        <w:t xml:space="preserve">2. Подготовка</w:t>
      </w:r>
    </w:p>
    <w:p>
      <w:pPr>
        <w:pStyle w:val="FirstParagraph"/>
      </w:pPr>
      <w:r>
        <w:rPr>
          <w:bCs/>
          <w:b/>
        </w:rPr>
        <w:t xml:space="preserve">2.1. Создать свой входящий вебхук</w:t>
      </w:r>
      <w:r>
        <w:t xml:space="preserve"> </w:t>
      </w:r>
      <w:r>
        <w:t xml:space="preserve">✅</w:t>
      </w:r>
      <w:r>
        <w:t xml:space="preserve"> </w:t>
      </w:r>
      <w:r>
        <w:t xml:space="preserve">Битрикс24 → «Разработчикам» → «Другое» → «Входящий вебхук». В блоке</w:t>
      </w:r>
      <w:r>
        <w:t xml:space="preserve"> </w:t>
      </w:r>
      <w:r>
        <w:rPr>
          <w:bCs/>
          <w:b/>
        </w:rPr>
        <w:t xml:space="preserve">«Настройка прав»</w:t>
      </w:r>
      <w:r>
        <w:t xml:space="preserve"> </w:t>
      </w:r>
      <w:r>
        <w:t xml:space="preserve">выбрать только</w:t>
      </w:r>
      <w:r>
        <w:t xml:space="preserve"> </w:t>
      </w:r>
      <w:r>
        <w:rPr>
          <w:bCs/>
          <w:b/>
        </w:rPr>
        <w:t xml:space="preserve">«Задачи (task)»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«Пользователи (user)»</w:t>
      </w:r>
      <w:r>
        <w:t xml:space="preserve"> </w:t>
      </w:r>
      <w:r>
        <w:t xml:space="preserve">и обязательно нажать</w:t>
      </w:r>
      <w:r>
        <w:t xml:space="preserve"> </w:t>
      </w:r>
      <w:r>
        <w:rPr>
          <w:bCs/>
          <w:b/>
        </w:rPr>
        <w:t xml:space="preserve">«Создать»</w:t>
      </w:r>
      <w:r>
        <w:t xml:space="preserve"> </w:t>
      </w:r>
      <w:r>
        <w:t xml:space="preserve">внизу окна (при изменении — «Сохранить»). Пока кнопка не нажата, вебхук работает без прав.</w:t>
      </w:r>
      <w:r>
        <w:t xml:space="preserve"> </w:t>
      </w:r>
      <w:r>
        <w:t xml:space="preserve">Адрес вида</w:t>
      </w:r>
      <w:r>
        <w:t xml:space="preserve"> </w:t>
      </w:r>
      <w:r>
        <w:rPr>
          <w:rStyle w:val="VerbatimChar"/>
        </w:rPr>
        <w:t xml:space="preserve">https://&lt;портал&gt;.bitrix24.ru/rest/&lt;ID пользователя&gt;/&lt;секретный ключ&gt;/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секрет, равный паролю</w:t>
      </w:r>
      <w:r>
        <w:t xml:space="preserve">: по нему можно действовать от вашего имени и с вашими правами. Чужие вебхуки не использовать.</w:t>
      </w:r>
    </w:p>
    <w:p>
      <w:pPr>
        <w:pStyle w:val="BodyText"/>
      </w:pPr>
      <w:r>
        <w:rPr>
          <w:bCs/>
          <w:b/>
        </w:rPr>
        <w:t xml:space="preserve">2.2. Настроить окружение Claude Code</w:t>
      </w:r>
      <w:r>
        <w:t xml:space="preserve"> </w:t>
      </w:r>
      <w:r>
        <w:t xml:space="preserve">claude.ai/code,</w:t>
      </w:r>
      <w:r>
        <w:t xml:space="preserve"> </w:t>
      </w:r>
      <w:r>
        <w:rPr>
          <w:bCs/>
          <w:b/>
        </w:rPr>
        <w:t xml:space="preserve">стартовый экран</w:t>
      </w:r>
      <w:r>
        <w:t xml:space="preserve"> </w:t>
      </w:r>
      <w:r>
        <w:t xml:space="preserve">(где начинают новую сессию) → над полем ввода кнопка с облаком и названием окружения (например,</w:t>
      </w:r>
      <w:r>
        <w:t xml:space="preserve"> </w:t>
      </w:r>
      <w:r>
        <w:rPr>
          <w:iCs/>
          <w:i/>
        </w:rPr>
        <w:t xml:space="preserve">Default</w:t>
      </w:r>
      <w:r>
        <w:t xml:space="preserve">) →</w:t>
      </w:r>
      <w:r>
        <w:t xml:space="preserve"> </w:t>
      </w:r>
      <w:r>
        <w:rPr>
          <w:bCs/>
          <w:b/>
        </w:rPr>
        <w:t xml:space="preserve">Облако</w:t>
      </w:r>
      <w:r>
        <w:t xml:space="preserve"> </w:t>
      </w:r>
      <w:r>
        <w:t xml:space="preserve">→ навести на окружение → значок шестерёнки справа. Значок облака в заголовке уже открытой сессии только показывает окружение, изменить там нельзя. ✅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Network access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Custom</w:t>
      </w:r>
      <w:r>
        <w:t xml:space="preserve"> </w:t>
      </w:r>
      <w:r>
        <w:t xml:space="preserve">→ в поле</w:t>
      </w:r>
      <w:r>
        <w:t xml:space="preserve"> </w:t>
      </w:r>
      <w:r>
        <w:rPr>
          <w:bCs/>
          <w:b/>
        </w:rPr>
        <w:t xml:space="preserve">Allowed domains</w:t>
      </w:r>
      <w:r>
        <w:t xml:space="preserve"> </w:t>
      </w:r>
      <w:r>
        <w:t xml:space="preserve">написать</w:t>
      </w:r>
      <w:r>
        <w:t xml:space="preserve"> </w:t>
      </w:r>
      <w:r>
        <w:rPr>
          <w:rStyle w:val="VerbatimChar"/>
        </w:rPr>
        <w:t xml:space="preserve">&lt;портал&gt;.bitrix24.ru</w:t>
      </w:r>
      <w:r>
        <w:t xml:space="preserve">; отметить</w:t>
      </w:r>
      <w:r>
        <w:t xml:space="preserve"> </w:t>
      </w:r>
      <w:r>
        <w:rPr>
          <w:iCs/>
          <w:i/>
        </w:rPr>
        <w:t xml:space="preserve">Also include default list of common package managers</w:t>
      </w:r>
      <w:r>
        <w:t xml:space="preserve"> </w:t>
      </w:r>
      <w:r>
        <w:t xml:space="preserve">→ сохранить. Начинает действовать и в открытой сессии через 1–2 минуты. ✅</w:t>
      </w:r>
      <w:r>
        <w:t xml:space="preserve"> </w:t>
      </w:r>
      <w:r>
        <w:t xml:space="preserve">- Адрес вебхука не вставлять в чат, а сохранить в окружении: раздел</w:t>
      </w:r>
      <w:r>
        <w:t xml:space="preserve"> </w:t>
      </w:r>
      <w:r>
        <w:rPr>
          <w:iCs/>
          <w:i/>
        </w:rPr>
        <w:t xml:space="preserve">Network secrets</w:t>
      </w:r>
      <w:r>
        <w:t xml:space="preserve"> </w:t>
      </w:r>
      <w:r>
        <w:t xml:space="preserve">(тарифы Pro/Max) или поле</w:t>
      </w:r>
      <w:r>
        <w:t xml:space="preserve"> </w:t>
      </w:r>
      <w:r>
        <w:rPr>
          <w:iCs/>
          <w:i/>
        </w:rPr>
        <w:t xml:space="preserve">Environment variables</w:t>
      </w:r>
      <w:r>
        <w:t xml:space="preserve"> </w:t>
      </w:r>
      <w:r>
        <w:t xml:space="preserve">строкой</w:t>
      </w:r>
      <w:r>
        <w:t xml:space="preserve"> </w:t>
      </w:r>
      <w:r>
        <w:rPr>
          <w:rStyle w:val="VerbatimChar"/>
        </w:rPr>
        <w:t xml:space="preserve">B24_WEBHOOK_URL=&lt;адрес вебхука&gt;</w:t>
      </w:r>
      <w:r>
        <w:t xml:space="preserve"> </w:t>
      </w:r>
      <w:r>
        <w:t xml:space="preserve">(адрес заканчивается на</w:t>
      </w:r>
      <w:r>
        <w:t xml:space="preserve"> </w:t>
      </w:r>
      <w:r>
        <w:rPr>
          <w:rStyle w:val="VerbatimChar"/>
        </w:rPr>
        <w:t xml:space="preserve">/</w:t>
      </w:r>
      <w:r>
        <w:t xml:space="preserve">). Переменная видна всем, кто пользуется окружением, поэтому окружение должно быть личным; сессия подхватывает её при</w:t>
      </w:r>
      <w:r>
        <w:t xml:space="preserve"> </w:t>
      </w:r>
      <w:r>
        <w:rPr>
          <w:bCs/>
          <w:b/>
        </w:rPr>
        <w:t xml:space="preserve">новом</w:t>
      </w:r>
      <w:r>
        <w:t xml:space="preserve"> </w:t>
      </w:r>
      <w:r>
        <w:t xml:space="preserve">запуске. ⚠️</w:t>
      </w:r>
      <w:r>
        <w:t xml:space="preserve"> </w:t>
      </w:r>
      <w:r>
        <w:t xml:space="preserve">- Если окружение в разделе</w:t>
      </w:r>
      <w:r>
        <w:t xml:space="preserve"> </w:t>
      </w:r>
      <w:r>
        <w:rPr>
          <w:iCs/>
          <w:i/>
        </w:rPr>
        <w:t xml:space="preserve">Organization</w:t>
      </w:r>
      <w:r>
        <w:t xml:space="preserve"> </w:t>
      </w:r>
      <w:r>
        <w:t xml:space="preserve">— оно общее и только для чтения: менять его должен владелец, писать ГД. ⚠️</w:t>
      </w:r>
    </w:p>
    <w:bookmarkEnd w:id="21"/>
    <w:bookmarkStart w:id="22" w:name="подключение-и-проверка"/>
    <w:p>
      <w:pPr>
        <w:pStyle w:val="Heading2"/>
      </w:pPr>
      <w:r>
        <w:t xml:space="preserve">3. Подключение и проверка ✅</w:t>
      </w:r>
    </w:p>
    <w:p>
      <w:pPr>
        <w:numPr>
          <w:ilvl w:val="0"/>
          <w:numId w:val="1001"/>
        </w:numPr>
      </w:pPr>
      <w:r>
        <w:t xml:space="preserve">Открыть сессию Claude Code в настроенном окружении.</w:t>
      </w:r>
    </w:p>
    <w:p>
      <w:pPr>
        <w:numPr>
          <w:ilvl w:val="0"/>
          <w:numId w:val="1001"/>
        </w:numPr>
      </w:pPr>
      <w:r>
        <w:t xml:space="preserve">Отправить проверочный запрос:</w:t>
      </w:r>
    </w:p>
    <w:p>
      <w:pPr>
        <w:numPr>
          <w:ilvl w:val="0"/>
          <w:numId w:val="1000"/>
        </w:numPr>
        <w:pStyle w:val="BlockText"/>
      </w:pPr>
      <w:r>
        <w:t xml:space="preserve">Проверь подключение к Битрикс24 через мой вебхук: вызови методы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 </w:t>
      </w:r>
      <w:r>
        <w:t xml:space="preserve">для задачи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. Покажи список прав, мой ID, название и срок задачи. Адрес вебхука не выводи. Ничего не изменяй.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Признак успешной работы: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task, user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 </w:t>
      </w:r>
      <w:r>
        <w:t xml:space="preserve">— ваш ID; по своей задаче видны название, статус, срок и описание. Ошибок нет.</w:t>
      </w:r>
    </w:p>
    <w:bookmarkEnd w:id="22"/>
    <w:bookmarkStart w:id="23" w:name="затруднения-и-проверенные-решения"/>
    <w:p>
      <w:pPr>
        <w:pStyle w:val="Heading2"/>
      </w:pPr>
      <w:r>
        <w:t xml:space="preserve">4. Затруднения и проверенные решения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 делать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Официальный коннектор: «Доступ через MCP-сервер закрыт»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 портале выключена работа из внешних AI-систем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 включать; работать через вебхук (решение ГД)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curl: CONNECT tunnel failed, response 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домен портала не разрешён в окружении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п. 2.2: добавить домен в Allowed domains, подождать 1–2 минуты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insufficient_scope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на любой запрос,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scope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возвращает пустой 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вебхук не сохранён или у него не выбраны права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 форме вебхука выбрать «Задачи (task)» и «Пользователи (user)», нажать «Создать»/«Сохранить»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Комментарии не читаются: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task.commentitem.getlist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возвращает 0, чтение чата 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обсуждение идёт в «Чате задачи», для него нужно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указать ограничение в отчёте;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только по согласованию с 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ограничение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пункта «Входящий вебхук»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разрешения на создание вебхуков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написать ГД (см. табл.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ACCESS_DENIED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или пустой ответ по задаче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 не участник этой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работать только со своими задачами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Invalid request credentials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ключ неверный или перегенерирован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взять актуальный адрес в форме вебхука, обновить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B24_WEBHOOK_URL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адрес вебхука попал в чат, задачу или на скриншот:</w:t>
      </w:r>
      <w:r>
        <w:t xml:space="preserve"> </w:t>
      </w:r>
      <w:r>
        <w:t xml:space="preserve">в форме вебхука нажать</w:t>
      </w:r>
      <w:r>
        <w:t xml:space="preserve"> </w:t>
      </w:r>
      <w:r>
        <w:rPr>
          <w:bCs/>
          <w:b/>
        </w:rPr>
        <w:t xml:space="preserve">«Перегенерировать»</w:t>
      </w:r>
      <w:r>
        <w:t xml:space="preserve"> </w:t>
      </w:r>
      <w:r>
        <w:t xml:space="preserve">— старый адрес перестанет работать; новый сохранить в окружении.</w:t>
      </w:r>
    </w:p>
    <w:bookmarkEnd w:id="23"/>
    <w:bookmarkStart w:id="24" w:name="Xfb3f25d6cdf80545eb8559b6e6b762f4d7d664e"/>
    <w:p>
      <w:pPr>
        <w:pStyle w:val="Heading2"/>
      </w:pPr>
      <w:r>
        <w:t xml:space="preserve">5. Примеры запросов (только чтение, на своей задаче) ✅</w:t>
      </w:r>
    </w:p>
    <w:p>
      <w:pPr>
        <w:pStyle w:val="FirstParagraph"/>
      </w:pPr>
      <w:r>
        <w:rPr>
          <w:bCs/>
          <w:b/>
        </w:rPr>
        <w:t xml:space="preserve">5.1. Понять постановку</w:t>
      </w:r>
    </w:p>
    <w:p>
      <w:pPr>
        <w:pStyle w:val="BlockText"/>
      </w:pPr>
      <w:r>
        <w:t xml:space="preserve">Прочитай задачу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Битрикс24 (метод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) и комментарии к ней, если они доступны. Ничего не изменяй. Кратко изложи: цель, ожидаемый результат и критерии приёмки, срок, ограничения, что уже сделано, и какие вопросы стоит задать постановщику. Если комментарии недоступны — так и напиши.</w:t>
      </w:r>
    </w:p>
    <w:p>
      <w:pPr>
        <w:pStyle w:val="FirstParagraph"/>
      </w:pPr>
      <w:r>
        <w:rPr>
          <w:bCs/>
          <w:b/>
        </w:rPr>
        <w:t xml:space="preserve">5.2. Составить план выполнения</w:t>
      </w:r>
    </w:p>
    <w:p>
      <w:pPr>
        <w:pStyle w:val="BlockText"/>
      </w:pPr>
      <w:r>
        <w:t xml:space="preserve">По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составь план выполнения: шаги с оценкой времени, что нужно от других людей, риски и точки проверки, чтобы успеть к сроку. В Битрикс24 ничего не записывай.</w:t>
      </w:r>
    </w:p>
    <w:p>
      <w:pPr>
        <w:pStyle w:val="FirstParagraph"/>
      </w:pPr>
      <w:r>
        <w:rPr>
          <w:bCs/>
          <w:b/>
        </w:rPr>
        <w:t xml:space="preserve">5.3. Подготовить отчёт о результате</w:t>
      </w:r>
    </w:p>
    <w:p>
      <w:pPr>
        <w:pStyle w:val="BlockText"/>
      </w:pPr>
      <w:r>
        <w:t xml:space="preserve">Подготовь черновик итогового комментария к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формате: сделано / проверено самостоятельно / не проверено / нужно решение (не больше трёх вопросов, к каждому — мой вариант решения). Не публикуй — покажи текст мне.</w:t>
      </w:r>
    </w:p>
    <w:p>
      <w:pPr>
        <w:pStyle w:val="FirstParagraph"/>
      </w:pPr>
      <w:r>
        <w:t xml:space="preserve">Комментарии из «Чата задачи» Claude через этот вебхук не видит — важные договорённости из чата вставляйте в запрос сами (без секретов).</w:t>
      </w:r>
    </w:p>
    <w:bookmarkEnd w:id="24"/>
    <w:bookmarkStart w:id="25" w:name="ограничения-доступа-и-правила"/>
    <w:p>
      <w:pPr>
        <w:pStyle w:val="Heading2"/>
      </w:pPr>
      <w:r>
        <w:t xml:space="preserve">6. Ограничения доступа и правила</w:t>
      </w:r>
    </w:p>
    <w:p>
      <w:pPr>
        <w:numPr>
          <w:ilvl w:val="0"/>
          <w:numId w:val="1002"/>
        </w:numPr>
        <w:pStyle w:val="Compact"/>
      </w:pPr>
      <w:r>
        <w:t xml:space="preserve">Вебхук действует</w:t>
      </w:r>
      <w:r>
        <w:t xml:space="preserve"> </w:t>
      </w:r>
      <w:r>
        <w:rPr>
          <w:bCs/>
          <w:b/>
        </w:rPr>
        <w:t xml:space="preserve">с правами владельца</w:t>
      </w:r>
      <w:r>
        <w:t xml:space="preserve">: Claude видит только те задачи, к которым у вас есть доступ, и только методы из выбранных прав вебхука.</w:t>
      </w:r>
    </w:p>
    <w:p>
      <w:pPr>
        <w:numPr>
          <w:ilvl w:val="0"/>
          <w:numId w:val="1002"/>
        </w:numPr>
        <w:pStyle w:val="Compact"/>
      </w:pPr>
      <w:r>
        <w:t xml:space="preserve">Запросы на запись (комментарий, смена статуса, файлы) — только по явной просьбе и только в своих задачах. Чужие задачи не менять.</w:t>
      </w:r>
    </w:p>
    <w:p>
      <w:pPr>
        <w:numPr>
          <w:ilvl w:val="0"/>
          <w:numId w:val="1002"/>
        </w:numPr>
        <w:pStyle w:val="Compact"/>
      </w:pPr>
      <w:r>
        <w:t xml:space="preserve">Пароли, ключи, адреса вебхуков и персональные данные — не в тексте, не в примерах, не на скриншотах.</w:t>
      </w:r>
    </w:p>
    <w:p>
      <w:pPr>
        <w:numPr>
          <w:ilvl w:val="0"/>
          <w:numId w:val="1002"/>
        </w:numPr>
        <w:pStyle w:val="Compact"/>
      </w:pPr>
      <w:r>
        <w:t xml:space="preserve">Памятку не публиковать в общей ленте без согласования с ГД.</w:t>
      </w:r>
    </w:p>
    <w:bookmarkEnd w:id="25"/>
    <w:bookmarkEnd w:id="26"/>
    <w:sect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60"/>
    </w:pPr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60" w:before="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60"/>
    </w:pPr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0"/>
      <w:jc w:val="center"/>
    </w:pPr>
    <w:rPr>
      <w:rFonts w:ascii="Arial" w:hAnsi="Arial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styleId="Date" w:type="paragraph">
    <w:name w:val="Date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60"/>
    </w:pPr>
    <w:rPr>
      <w:rFonts w:ascii="Arial" w:hAnsi="Arial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6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6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6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6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6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6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60" w:before="6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60" w:before="6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60" w:before="6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/>
      <w:ind w:firstLine="0" w:left="480" w:right="480"/>
    </w:pPr>
    <w:rPr>
      <w:rFonts w:ascii="Arial" w:hAnsi="Arial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60"/>
    </w:pPr>
    <w:rPr>
      <w:rFonts w:ascii="Arial" w:hAnsi="Arial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  <w:sz w:val="20"/>
    </w:rPr>
  </w:style>
  <w:style w:default="1" w:styleId="Table" w:type="table">
    <w:name w:val="Table"/>
    <w:basedOn w:val="TableNormal"/>
    <w:semiHidden/>
    <w:unhideWhenUsed/>
    <w:qFormat/>
    <w:pPr>
      <w:spacing w:before="0" w:after="60"/>
    </w:pPr>
    <w:rPr>
      <w:rFonts w:ascii="Arial" w:hAnsi="Arial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60" w:before="0"/>
    </w:pPr>
    <w:rPr>
      <w:rFonts w:ascii="Arial" w:hAnsi="Arial"/>
      <w:b/>
      <w:sz w:val="20"/>
    </w:rPr>
  </w:style>
  <w:style w:customStyle="1" w:styleId="Definition" w:type="paragraph">
    <w:name w:val="Definition"/>
    <w:basedOn w:val="Normal"/>
    <w:pPr>
      <w:spacing w:before="0" w:after="60"/>
    </w:pPr>
    <w:rPr>
      <w:rFonts w:ascii="Arial" w:hAnsi="Arial"/>
      <w:sz w:val="20"/>
    </w:rPr>
  </w:style>
  <w:style w:styleId="Caption" w:type="paragraph">
    <w:name w:val="Caption"/>
    <w:basedOn w:val="Normal"/>
    <w:link w:val="BodyTextChar"/>
    <w:pPr>
      <w:spacing w:after="60" w:before="0"/>
    </w:pPr>
    <w:rPr>
      <w:rFonts w:ascii="Arial" w:hAnsi="Arial"/>
      <w:i/>
      <w:sz w:val="20"/>
    </w:rPr>
  </w:style>
  <w:style w:customStyle="1" w:styleId="TableCaption" w:type="paragraph">
    <w:name w:val="Table Caption"/>
    <w:basedOn w:val="Caption"/>
    <w:pPr>
      <w:keepNext/>
      <w:spacing w:before="0" w:after="60"/>
    </w:pPr>
    <w:rPr>
      <w:rFonts w:ascii="Arial" w:hAnsi="Arial"/>
      <w:sz w:val="20"/>
    </w:rPr>
  </w:style>
  <w:style w:customStyle="1" w:styleId="ImageCaption" w:type="paragraph">
    <w:name w:val="Image Caption"/>
    <w:basedOn w:val="Caption"/>
    <w:pPr>
      <w:spacing w:before="0" w:after="60"/>
    </w:pPr>
    <w:rPr>
      <w:rFonts w:ascii="Arial" w:hAnsi="Arial"/>
      <w:sz w:val="20"/>
    </w:rPr>
  </w:style>
  <w:style w:customStyle="1" w:styleId="Figure" w:type="paragraph">
    <w:name w:val="Figure"/>
    <w:basedOn w:val="Normal"/>
    <w:pPr>
      <w:spacing w:before="0" w:after="60"/>
    </w:pPr>
    <w:rPr>
      <w:rFonts w:ascii="Arial" w:hAnsi="Arial"/>
      <w:sz w:val="20"/>
    </w:rPr>
  </w:style>
  <w:style w:customStyle="1" w:styleId="CaptionedFigure" w:type="paragraph">
    <w:name w:val="Captioned Figure"/>
    <w:basedOn w:val="Figure"/>
    <w:pPr>
      <w:keepNext/>
      <w:spacing w:before="0" w:after="60"/>
    </w:pPr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  <w:sz w:val="20"/>
    </w:rPr>
  </w:style>
  <w:style w:customStyle="1" w:styleId="VerbatimChar" w:type="character">
    <w:name w:val="Verbatim Char"/>
    <w:basedOn w:val="BodyTextChar"/>
    <w:rPr>
      <w:rFonts w:ascii="Arial" w:hAnsi="Arial"/>
      <w:sz w:val="20"/>
    </w:rPr>
  </w:style>
  <w:style w:customStyle="1" w:styleId="SectionNumber" w:type="character">
    <w:name w:val="Section Number"/>
    <w:basedOn w:val="BodyTextChar"/>
    <w:rPr>
      <w:rFonts w:ascii="Arial" w:hAnsi="Arial"/>
      <w:sz w:val="20"/>
    </w:rPr>
  </w:style>
  <w:style w:styleId="FootnoteReference" w:type="character">
    <w:name w:val="Footnote Reference"/>
    <w:basedOn w:val="BodyTextChar"/>
    <w:rPr>
      <w:rFonts w:ascii="Arial" w:hAnsi="Arial"/>
      <w:sz w:val="20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  <w:sz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60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60"/>
    </w:pPr>
    <w:rPr>
      <w:rFonts w:ascii="Arial" w:hAnsi="Arial"/>
      <w:sz w:val="20"/>
    </w:rPr>
  </w:style>
  <w:style w:type="character" w:customStyle="1" w:styleId="KeywordTok">
    <w:name w:val="KeywordTok"/>
    <w:basedOn w:val="VerbatimChar"/>
    <w:rPr>
      <w:color w:val="007020"/>
      <w:rFonts w:ascii="Arial" w:hAnsi="Arial"/>
      <w:b/>
      <w:sz w:val="20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0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0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0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0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0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0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0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0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0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0"/>
    </w:rPr>
  </w:style>
  <w:style w:type="character" w:customStyle="1" w:styleId="ImportTok">
    <w:name w:val="ImportTok"/>
    <w:basedOn w:val="VerbatimChar"/>
    <w:rPr>
      <w:color w:val="008000"/>
      <w:rFonts w:ascii="Arial" w:hAnsi="Arial"/>
      <w:b/>
      <w:sz w:val="20"/>
    </w:rPr>
  </w:style>
  <w:style w:type="character" w:customStyle="1" w:styleId="CommentTok">
    <w:name w:val="CommentTok"/>
    <w:basedOn w:val="VerbatimChar"/>
    <w:rPr>
      <w:color w:val="60a0b0"/>
      <w:rFonts w:ascii="Arial" w:hAnsi="Arial"/>
      <w:i/>
      <w:sz w:val="20"/>
    </w:rPr>
  </w:style>
  <w:style w:type="character" w:customStyle="1" w:styleId="DocumentationTok">
    <w:name w:val="DocumentationTok"/>
    <w:basedOn w:val="VerbatimChar"/>
    <w:rPr>
      <w:color w:val="ba2121"/>
      <w:rFonts w:ascii="Arial" w:hAnsi="Arial"/>
      <w:i/>
      <w:sz w:val="20"/>
    </w:rPr>
  </w:style>
  <w:style w:type="character" w:customStyle="1" w:styleId="AnnotationTok">
    <w:name w:val="Annot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CommentVarTok">
    <w:name w:val="CommentVarTok"/>
    <w:basedOn w:val="VerbatimChar"/>
    <w:rPr>
      <w:color w:val="60a0b0"/>
      <w:rFonts w:ascii="Arial" w:hAnsi="Arial"/>
      <w:b/>
      <w:i/>
      <w:sz w:val="20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0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0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0"/>
    </w:rPr>
  </w:style>
  <w:style w:type="character" w:customStyle="1" w:styleId="ControlFlowTok">
    <w:name w:val="ControlFlowTok"/>
    <w:basedOn w:val="VerbatimChar"/>
    <w:rPr>
      <w:color w:val="007020"/>
      <w:rFonts w:ascii="Arial" w:hAnsi="Arial"/>
      <w:b/>
      <w:sz w:val="20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0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0"/>
    </w:rPr>
  </w:style>
  <w:style w:type="character" w:customStyle="1" w:styleId="ExtensionTok">
    <w:name w:val="ExtensionTok"/>
    <w:basedOn w:val="VerbatimChar"/>
    <w:rPr>
      <w:rFonts w:ascii="Arial" w:hAnsi="Arial"/>
      <w:sz w:val="20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0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0"/>
    </w:rPr>
  </w:style>
  <w:style w:type="character" w:customStyle="1" w:styleId="RegionMarkerTok">
    <w:name w:val="RegionMarkerTok"/>
    <w:basedOn w:val="VerbatimChar"/>
    <w:rPr>
      <w:rFonts w:ascii="Arial" w:hAnsi="Arial"/>
      <w:sz w:val="20"/>
    </w:rPr>
  </w:style>
  <w:style w:type="character" w:customStyle="1" w:styleId="InformationTok">
    <w:name w:val="Inform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WarningTok">
    <w:name w:val="WarningTok"/>
    <w:basedOn w:val="VerbatimChar"/>
    <w:rPr>
      <w:color w:val="60a0b0"/>
      <w:rFonts w:ascii="Arial" w:hAnsi="Arial"/>
      <w:b/>
      <w:i/>
      <w:sz w:val="20"/>
    </w:rPr>
  </w:style>
  <w:style w:type="character" w:customStyle="1" w:styleId="AlertTok">
    <w:name w:val="AlertTok"/>
    <w:basedOn w:val="VerbatimChar"/>
    <w:rPr>
      <w:color w:val="ff0000"/>
      <w:rFonts w:ascii="Arial" w:hAnsi="Arial"/>
      <w:b/>
      <w:sz w:val="20"/>
    </w:rPr>
  </w:style>
  <w:style w:type="character" w:customStyle="1" w:styleId="ErrorTok">
    <w:name w:val="ErrorTok"/>
    <w:basedOn w:val="VerbatimChar"/>
    <w:rPr>
      <w:color w:val="ff0000"/>
      <w:rFonts w:ascii="Arial" w:hAnsi="Arial"/>
      <w:b/>
      <w:sz w:val="20"/>
    </w:rPr>
  </w:style>
  <w:style w:type="character" w:customStyle="1" w:styleId="NormalTok">
    <w:name w:val="NormalTok"/>
    <w:basedOn w:val="VerbatimChar"/>
    <w:rPr>
      <w:rFonts w:ascii="Arial" w:hAnsi="Arial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2026-10-14T14:27:36Z</dcterms:created>
  <dcterms:modified xsi:type="dcterms:W3CDTF">2026-10-14T14:27:36Z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