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Архитектурен дизајн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bookmarkStart w:colFirst="0" w:colLast="0" w:name="_6q379kdub3j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Концептуална архитектура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Концептуалната архитектура ја организира и дефинира распределбата на одговорностите на доменско ниво, поставувајќи ја основата за понатамошен dархитектонски дизајн. Таа ја претставува иницијалната слика за тоа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како функционира системот</w:t>
      </w:r>
      <w:r w:rsidDel="00000000" w:rsidR="00000000" w:rsidRPr="00000000">
        <w:rPr>
          <w:sz w:val="24"/>
          <w:szCs w:val="24"/>
          <w:rtl w:val="0"/>
        </w:rPr>
        <w:t xml:space="preserve"> и ги дефинира клучните компоненти, нивните меѓусебни односи и интеракцијата со корисниците и надворешните сервиси.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на овој дел е да се обезбеди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јасна визија</w:t>
      </w:r>
      <w:r w:rsidDel="00000000" w:rsidR="00000000" w:rsidRPr="00000000">
        <w:rPr>
          <w:sz w:val="24"/>
          <w:szCs w:val="24"/>
          <w:rtl w:val="0"/>
        </w:rPr>
        <w:t xml:space="preserve"> за тоа како апликацијата треба да одговори на функционалните и нефункционалните барања, како и да се воспостави стратегиска насока за развој, скалабилност и идни надградби на системот.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Концептуалната архитектура на нашата апликација за следење и анализа на криптовалутни податоци е изработена така што прво ги издвојуваме клучните концепти од доменот, ги поврзуваме со сценарија на употреба и потоа ги категоризираме во следните групи: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Data, Function, Stakeholder, System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 Concept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Табела: Клучни концепти и категории</w:t>
      </w:r>
    </w:p>
    <w:tbl>
      <w:tblPr>
        <w:tblStyle w:val="Table1"/>
        <w:tblW w:w="11490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3390"/>
        <w:gridCol w:w="1725"/>
        <w:gridCol w:w="1860"/>
        <w:gridCol w:w="1995"/>
        <w:tblGridChange w:id="0">
          <w:tblGrid>
            <w:gridCol w:w="2520"/>
            <w:gridCol w:w="3390"/>
            <w:gridCol w:w="1725"/>
            <w:gridCol w:w="186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Abstract Concept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CoinGecko листа на топ монети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Преземање податоци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Аналитичар / студент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Ingestion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Пазарна капитализација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Binance симболи и OHLCV податоци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Валидација и мапирање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Symbol Mapping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тргување и ликвидност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Историски податоци за криптовалути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Складирање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Backend API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 Storage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временски серии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Барања од веб интерфејс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Филтрирање и пребарување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Краен корисник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Analytics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анализа на податоци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Податоци за 24h статистика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Испраќање резултати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 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Notification/Output Handler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тековни состојби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y0wxb9472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Опис на концептуалната архитектура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qmxrwn79jxr8" w:id="2"/>
      <w:bookmarkEnd w:id="2"/>
      <w:r w:rsidDel="00000000" w:rsidR="00000000" w:rsidRPr="00000000">
        <w:rPr>
          <w:sz w:val="24"/>
          <w:szCs w:val="24"/>
          <w:rtl w:val="0"/>
        </w:rPr>
        <w:t xml:space="preserve">На сликата е прикажан концептуалниот поглед на нашата апликација. Корисникот комуницира со системот преку графичкиот веб-интерфејс (AppUI), каде се иницираат барања за анализа или преглед на криптовалутни податоци. AppUI ги проследува сите барања до Backend API-то, кое ја има централната улога во оркестрацијата на системските услуги и управувањето со пристапот до податоците.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Ingestion Service е задолжен за автоматско преземање на податоци од надворешните API-и (CoinGecko и Binance). Преку своите под-компоненти ги добива топ монетите, го проверува последниот зачуван датум и ги презема недостигачките OHLCV записи. Обработените податоци се запишуваат во Storage Service, кој претставува централен складишен домен.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API овозможува пристап до складираните податоци, извршува опции за пребарување и ги комбинира податоците со тековните статистики од Binance. Analytics Service работи со веќе зачуваните податоци, генерира графици, табели и анализи, и ги испраќа назад до AppUI како визуелни резултати. На овој начин е воспоставен јасен логички тек на податоци меѓу корисникот, backend-слојот, аналитиката и ingestion-модулот.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18175" cy="248337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48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Слика 1 - Концептуална архитектура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gjo9feec9lr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Извршна архитектура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Извршната архитектура ја опишува оперативната поставеност на целиот систем за време на неговото извршување, вклучувајќи ги клиентските компоненти, backend серверот, процесот за автоматско преземање податоци и пристапот до базата. Овој архитектонски слој е фокусиран на перформанси, стабилност, безбедност и скалабилност, со цел да обезбеди непречено функционирање на апликацијата и сигурна комуникација со надворешните крипто сервиси.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основната извршна архитектура, корисникот комуницира со системот преку веб прелистувач, каде што е прикажана фронтенд апликацијата развиена со HTML, CSS и JavaScript (или React). Интерфејсот иницира HTTP барања до Backend API серверот (FastAPI), кој ја извршува бизнис логиката – ги валидара параметрите, пристапува до базата и по потреба прави надворешни повици кон Binance API за дополнителни информации (како 24h статистика). По обработката, API ја враќа финалната JSON-структура што фронтендот ја визуелизира во форма на табели, графици или статистички панели.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2.1 Едноставна верзија на извршната архитектура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Во едноставната варијанта, текот на податоците е линеарен:</w:t>
        <w:br w:type="textWrapping"/>
        <w:t xml:space="preserve"> корисникот преку веб прелистувач испраќа барање, Backend API ги обработува податоците и резултатот се враќа назад до фронтендот. Сите историски OHLCV податоци се земаат од SQLite   </w:t>
      </w:r>
      <w:r w:rsidDel="00000000" w:rsidR="00000000" w:rsidRPr="00000000">
        <w:rPr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2310557</wp:posOffset>
            </wp:positionH>
            <wp:positionV relativeFrom="page">
              <wp:posOffset>5579745</wp:posOffset>
            </wp:positionV>
            <wp:extent cx="2781200" cy="304038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200" cy="3040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0"/>
          <w:szCs w:val="20"/>
          <w:rtl w:val="0"/>
        </w:rPr>
        <w:t xml:space="preserve">базата, која претставува централен складишен систем.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Слика 2.1: Едноставна верзија на извршна архитектура</w:t>
      </w:r>
      <w:r w:rsidDel="00000000" w:rsidR="00000000" w:rsidRPr="00000000">
        <w:rPr>
          <w:sz w:val="26"/>
          <w:szCs w:val="26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2.2 Детална верзија на извршната архитектура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Деталната извршна архитектура ја прикажува целосната динамика на системот, вклучувајќи го и процесот на автоматско ingest-ирање криптовалутни податоци. Во позадина работи независен Ingestion Service, кој периодично: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ја презема листата на топ монети од CoinGecko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 мапирање со Binance симболи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ја проверува последната зачувана дата во базата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 презема недостигачките дневни OHLCV записи од Binance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 валидара и ги запишува во SQLite базата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Ingestion процесот работи паралелно со Backend API, но независно од него. Додека ingestion го ажурира складиштето, Backend API истовремено ги опслужува корисничките барања и чита само веќе валидирани и складирани податоци.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Ова separation-of-concerns овозможува: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побрзо одговарање на API барањата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минимално оптоварување врз front-facing серверот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стабилен ingest без прекин на услугите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можност за идно раздвојување на услугите на различни сервери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65095" cy="381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Слика 2.2: Детална верзија на извршна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32"/>
          <w:szCs w:val="32"/>
        </w:rPr>
      </w:pPr>
      <w:bookmarkStart w:colFirst="0" w:colLast="0" w:name="_ne56144h16gx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Имплементациска архитектура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Имплементациската архитектура се фокусира на тоа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како технички е конструирана целата веб-апликација</w:t>
      </w:r>
      <w:r w:rsidDel="00000000" w:rsidR="00000000" w:rsidRPr="00000000">
        <w:rPr>
          <w:sz w:val="24"/>
          <w:szCs w:val="24"/>
          <w:rtl w:val="0"/>
        </w:rPr>
        <w:t xml:space="preserve">, опфаќајќи ги сите компоненти што ја реализираат системската логика: фронтендот, бекендот, модулот за ingest, сервисите за обработка и пристапот до базата на податоци.</w:t>
        <w:br w:type="textWrapping"/>
        <w:t xml:space="preserve"> Главниот фокус е насочен кон обезбедување на стабилност, одржливост и јасно одделени слоеви кои овозможуваат лесно одржување, модуларност и проширливост.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Корисничкиот интерфејс е развиен како веб-апликација. Визуелниот дизајн е подготвен во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</w:t>
      </w:r>
      <w:r w:rsidDel="00000000" w:rsidR="00000000" w:rsidRPr="00000000">
        <w:rPr>
          <w:sz w:val="24"/>
          <w:szCs w:val="24"/>
          <w:rtl w:val="0"/>
        </w:rPr>
        <w:t xml:space="preserve">, а финалната имплементација е направена со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HTML, CSS и JavaScript (или React.js во финална фаза)</w:t>
      </w:r>
      <w:r w:rsidDel="00000000" w:rsidR="00000000" w:rsidRPr="00000000">
        <w:rPr>
          <w:sz w:val="24"/>
          <w:szCs w:val="24"/>
          <w:rtl w:val="0"/>
        </w:rPr>
        <w:t xml:space="preserve">. UI слојот дозволува избор на криптовалута, филтри по датуми, иницирање анализи, како и преглед на табели и графички визуелизации. Секое корисничко дејство резултира со HTTP барање кон бекендот.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Апликативниот сервер е развиен со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FastAPI</w:t>
      </w:r>
      <w:r w:rsidDel="00000000" w:rsidR="00000000" w:rsidRPr="00000000">
        <w:rPr>
          <w:sz w:val="24"/>
          <w:szCs w:val="24"/>
          <w:rtl w:val="0"/>
        </w:rPr>
        <w:t xml:space="preserve">, кој го реализира API слојот на системот. FastAPI ги прима барањата, ги валидира параметрите преку Pydantic шеми и пристапува до податочниот слој. Логиката е организирана во рути, сервисни класи и data-access модул, што обезбедува чисто разделување на одговорностите.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позадина функционира независниот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Ingestion модул</w:t>
      </w:r>
      <w:r w:rsidDel="00000000" w:rsidR="00000000" w:rsidRPr="00000000">
        <w:rPr>
          <w:sz w:val="24"/>
          <w:szCs w:val="24"/>
          <w:rtl w:val="0"/>
        </w:rPr>
        <w:t xml:space="preserve">, развиен исто така во Python. Овој модул е задолжен за автоматско преземање на крипто податоци од надворешните API-и (CoinGecko и Binance). Ингест логиката е поделена во три филтри: Filter 1 (топ монети), Filter 2 (последен датум), Filter 3 (преземање недостигачки OHLCV записи). Модулот користи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ThreadPoolExecutor</w:t>
      </w:r>
      <w:r w:rsidDel="00000000" w:rsidR="00000000" w:rsidRPr="00000000">
        <w:rPr>
          <w:sz w:val="24"/>
          <w:szCs w:val="24"/>
          <w:rtl w:val="0"/>
        </w:rPr>
        <w:t xml:space="preserve"> за паралелна обработка и периодично го ажурира складиштето со нови податоци.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Податочниот слој е реализиран со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SQLite база</w:t>
      </w:r>
      <w:r w:rsidDel="00000000" w:rsidR="00000000" w:rsidRPr="00000000">
        <w:rPr>
          <w:sz w:val="24"/>
          <w:szCs w:val="24"/>
          <w:rtl w:val="0"/>
        </w:rPr>
        <w:t xml:space="preserve">, при што пристапот е имплементиран со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SQLAlchemy ORM</w:t>
      </w:r>
      <w:r w:rsidDel="00000000" w:rsidR="00000000" w:rsidRPr="00000000">
        <w:rPr>
          <w:sz w:val="24"/>
          <w:szCs w:val="24"/>
          <w:rtl w:val="0"/>
        </w:rPr>
        <w:t xml:space="preserve">. Моделите (на пример Candle) ги дефинираат дневните OHLCV записи, индексите, релациите и ограничувањата. Базата служи како заеднички извор на податоци за бекендот и ingestion процесот.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овој начин, имплементацијата овозможува јасно разделени компоненти:</w:t>
        <w:br w:type="textWrapping"/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 слој</w:t>
      </w:r>
      <w:r w:rsidDel="00000000" w:rsidR="00000000" w:rsidRPr="00000000">
        <w:rPr>
          <w:sz w:val="24"/>
          <w:szCs w:val="24"/>
          <w:rtl w:val="0"/>
        </w:rPr>
        <w:t xml:space="preserve"> за интеракција со корисниците</w:t>
        <w:br w:type="textWrapping"/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API</w:t>
      </w:r>
      <w:r w:rsidDel="00000000" w:rsidR="00000000" w:rsidRPr="00000000">
        <w:rPr>
          <w:sz w:val="24"/>
          <w:szCs w:val="24"/>
          <w:rtl w:val="0"/>
        </w:rPr>
        <w:t xml:space="preserve"> за обработка на барања</w:t>
        <w:br w:type="textWrapping"/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Ingestion процес</w:t>
      </w:r>
      <w:r w:rsidDel="00000000" w:rsidR="00000000" w:rsidRPr="00000000">
        <w:rPr>
          <w:sz w:val="24"/>
          <w:szCs w:val="24"/>
          <w:rtl w:val="0"/>
        </w:rPr>
        <w:t xml:space="preserve"> што работи независно и асинхроно</w:t>
        <w:br w:type="textWrapping"/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ORM + база</w:t>
      </w:r>
      <w:r w:rsidDel="00000000" w:rsidR="00000000" w:rsidRPr="00000000">
        <w:rPr>
          <w:sz w:val="24"/>
          <w:szCs w:val="24"/>
          <w:rtl w:val="0"/>
        </w:rPr>
        <w:t xml:space="preserve"> како централен податочен слој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Овој пристап овозможува стабилност, поедноставено одржување и можност за лесно додавање нови функционалности, како напредни анализи, дополнителни визуелизации или препораки базирани на историски податоци.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188234" cy="239993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234" cy="239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Слика 3.2 –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Едноставна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 верзија на имплементациската архитектура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07055" cy="50190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5019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Слика 3.2: Детална верзија на имплементациска архитектура</w:t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