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DA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="0" w:leftChars="0" w:firstLine="0" w:firstLineChars="0"/>
        <w:jc w:val="both"/>
        <w:textAlignment w:val="auto"/>
        <w:outlineLvl w:val="1"/>
        <w:rPr>
          <w:rFonts w:hint="default" w:ascii="Times New Roman" w:hAnsi="Times New Roman" w:eastAsia="Aptos" w:cs="Times New Roman"/>
          <w:b w:val="0"/>
          <w:bCs w:val="0"/>
          <w:color w:val="000000"/>
          <w:kern w:val="0"/>
          <w:sz w:val="28"/>
          <w:szCs w:val="22"/>
          <w:lang w:val="ru-RU" w:eastAsia="en-US" w:bidi="ar-SA"/>
          <w14:ligatures w14:val="standardContextual"/>
        </w:rPr>
      </w:pPr>
      <w:r>
        <w:rPr>
          <w:rFonts w:hint="default" w:ascii="Times New Roman" w:hAnsi="Times New Roman" w:eastAsia="Aptos" w:cs="Times New Roman"/>
          <w:b w:val="0"/>
          <w:bCs w:val="0"/>
          <w:color w:val="000000"/>
          <w:kern w:val="0"/>
          <w:sz w:val="28"/>
          <w:szCs w:val="22"/>
          <w:lang w:val="ru-RU" w:eastAsia="en-US" w:bidi="ar-SA"/>
          <w14:ligatures w14:val="standardContextual"/>
        </w:rPr>
        <w:t>Таблица 1 - Тест-кейс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672"/>
        <w:gridCol w:w="3095"/>
        <w:gridCol w:w="2131"/>
      </w:tblGrid>
      <w:tr w14:paraId="0264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624" w:type="dxa"/>
          </w:tcPr>
          <w:p w14:paraId="06D1DF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240" w:lineRule="auto"/>
              <w:jc w:val="center"/>
              <w:textAlignment w:val="auto"/>
              <w:outlineLvl w:val="1"/>
              <w:rPr>
                <w:rFonts w:hint="default" w:ascii="Times New Roman" w:hAnsi="Times New Roman" w:eastAsia="Aptos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20"/>
                <w:spacing w:val="0"/>
                <w:sz w:val="24"/>
                <w:szCs w:val="24"/>
                <w:shd w:val="clear" w:fill="F7F8FC"/>
              </w:rPr>
              <w:t>№</w:t>
            </w:r>
          </w:p>
        </w:tc>
        <w:tc>
          <w:tcPr>
            <w:tcW w:w="2672" w:type="dxa"/>
          </w:tcPr>
          <w:p w14:paraId="3828F8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240" w:lineRule="auto"/>
              <w:jc w:val="center"/>
              <w:textAlignment w:val="auto"/>
              <w:outlineLvl w:val="1"/>
              <w:rPr>
                <w:rFonts w:hint="default" w:ascii="Times New Roman" w:hAnsi="Times New Roman" w:eastAsia="Aptos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ru-R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ru-RU" w:eastAsia="en-US" w:bidi="ar-SA"/>
                <w14:ligatures w14:val="standardContextual"/>
              </w:rPr>
              <w:t>Действие</w:t>
            </w:r>
          </w:p>
        </w:tc>
        <w:tc>
          <w:tcPr>
            <w:tcW w:w="3095" w:type="dxa"/>
          </w:tcPr>
          <w:p w14:paraId="08ACBC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240" w:lineRule="auto"/>
              <w:jc w:val="center"/>
              <w:textAlignment w:val="auto"/>
              <w:outlineLvl w:val="1"/>
              <w:rPr>
                <w:rFonts w:hint="default" w:ascii="Times New Roman" w:hAnsi="Times New Roman" w:eastAsia="Aptos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ru-R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ru-RU" w:eastAsia="en-US" w:bidi="ar-SA"/>
                <w14:ligatures w14:val="standardContextual"/>
              </w:rPr>
              <w:t>Желаемый результат</w:t>
            </w:r>
          </w:p>
        </w:tc>
        <w:tc>
          <w:tcPr>
            <w:tcW w:w="2131" w:type="dxa"/>
          </w:tcPr>
          <w:p w14:paraId="56FD8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240" w:lineRule="auto"/>
              <w:jc w:val="center"/>
              <w:textAlignment w:val="auto"/>
              <w:outlineLvl w:val="1"/>
              <w:rPr>
                <w:rFonts w:hint="default" w:ascii="Times New Roman" w:hAnsi="Times New Roman" w:eastAsia="Aptos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ru-R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ru-RU" w:eastAsia="en-US" w:bidi="ar-SA"/>
                <w14:ligatures w14:val="standardContextual"/>
              </w:rPr>
              <w:t>Действительный результат</w:t>
            </w:r>
          </w:p>
        </w:tc>
      </w:tr>
      <w:tr w14:paraId="11D9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Align w:val="center"/>
          </w:tcPr>
          <w:p w14:paraId="1B062B0F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672" w:type="dxa"/>
            <w:vAlign w:val="center"/>
          </w:tcPr>
          <w:p w14:paraId="3E188C17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Запустить игру, пройти регистрацию, распределить характеристики, пройти испытание двери и открыть сундук</w:t>
            </w: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— открыть форму инвентаря</w:t>
            </w:r>
          </w:p>
        </w:tc>
        <w:tc>
          <w:tcPr>
            <w:tcW w:w="3095" w:type="dxa"/>
            <w:vAlign w:val="center"/>
          </w:tcPr>
          <w:p w14:paraId="0D20E7BA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 xml:space="preserve">Отображается форма </w:t>
            </w:r>
            <w:r>
              <w:rPr>
                <w:rFonts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InventoryForm</w:t>
            </w: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 xml:space="preserve"> с заголовком "Инвентарь героя", списком неопознанных предметов (например: «Неопознанный перстень», «Ржавый кинжал» и т.д.), кошелёк = 0, кнопки "Анализировать" и "Продать хлам" активны</w:t>
            </w:r>
          </w:p>
        </w:tc>
        <w:tc>
          <w:tcPr>
            <w:tcW w:w="2131" w:type="dxa"/>
            <w:vAlign w:val="center"/>
          </w:tcPr>
          <w:p w14:paraId="3610AA70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Форма открывается корректно, все элементы отображаются, предметы неопознанные, кошелёк = 0</w:t>
            </w:r>
          </w:p>
        </w:tc>
      </w:tr>
      <w:tr w14:paraId="449C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Align w:val="center"/>
          </w:tcPr>
          <w:p w14:paraId="433DB093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72" w:type="dxa"/>
            <w:vAlign w:val="center"/>
          </w:tcPr>
          <w:p w14:paraId="34B77BF7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Нажать кнопку «Анализировать»</w:t>
            </w:r>
          </w:p>
        </w:tc>
        <w:tc>
          <w:tcPr>
            <w:tcW w:w="3095" w:type="dxa"/>
            <w:vAlign w:val="center"/>
          </w:tcPr>
          <w:p w14:paraId="1D0C1E55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Все предметы становятся опознанными (например: «Кольцо ловкости», «Кинжал вора»), обновляются метки: «Всего предметов: 7», «Общая стоимость: [сумма]»</w:t>
            </w:r>
          </w:p>
        </w:tc>
        <w:tc>
          <w:tcPr>
            <w:tcW w:w="2131" w:type="dxa"/>
            <w:vAlign w:val="center"/>
          </w:tcPr>
          <w:p w14:paraId="029BC8DD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Все предметы опознаны, список обновлён, статистика корректна</w:t>
            </w:r>
          </w:p>
        </w:tc>
      </w:tr>
      <w:tr w14:paraId="73B6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Align w:val="center"/>
          </w:tcPr>
          <w:p w14:paraId="3D0F2A4E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72" w:type="dxa"/>
            <w:vAlign w:val="center"/>
          </w:tcPr>
          <w:p w14:paraId="32A92FD0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Нажать кнопку «Продать хлам»</w:t>
            </w:r>
          </w:p>
        </w:tc>
        <w:tc>
          <w:tcPr>
            <w:tcW w:w="3095" w:type="dxa"/>
            <w:vAlign w:val="center"/>
          </w:tcPr>
          <w:p w14:paraId="0BE8A1B3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Продаются только предметы с ценой &lt; 50 монет (например: «Кинжал вора» за 45 монет, «Зелье маны» за 30 монет).</w:t>
            </w: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Эти предметы удаляются из ListBox. Кошелёк увеличивается на сумму продажи. Статистика обновляется.</w:t>
            </w:r>
          </w:p>
        </w:tc>
        <w:tc>
          <w:tcPr>
            <w:tcW w:w="2131" w:type="dxa"/>
            <w:vAlign w:val="center"/>
          </w:tcPr>
          <w:p w14:paraId="7349FBA0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Дешёвые предметы удалены, кошелёк пополнен, список и метки обновлены</w:t>
            </w:r>
          </w:p>
        </w:tc>
      </w:tr>
      <w:tr w14:paraId="219EE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Align w:val="center"/>
          </w:tcPr>
          <w:p w14:paraId="20F7C027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72" w:type="dxa"/>
            <w:vAlign w:val="center"/>
          </w:tcPr>
          <w:p w14:paraId="6A28A9BD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В ComboBox выбрать товар «Зелье лечения (50)», нажать «Купить» (при кошельке ≥ 50)</w:t>
            </w:r>
          </w:p>
        </w:tc>
        <w:tc>
          <w:tcPr>
            <w:tcW w:w="3095" w:type="dxa"/>
            <w:vAlign w:val="center"/>
          </w:tcPr>
          <w:p w14:paraId="666086FA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Из кошелька вычитается 50 монет. В список инвентаря добавляется «Зелье лечения».</w:t>
            </w: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Статистика обновляется (всего предметов +1, общая стоимость +50).</w:t>
            </w:r>
          </w:p>
        </w:tc>
        <w:tc>
          <w:tcPr>
            <w:tcW w:w="2131" w:type="dxa"/>
            <w:vAlign w:val="center"/>
          </w:tcPr>
          <w:p w14:paraId="34E3BDF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Покупка успешна, инвентарь и кошелёк обновлены</w:t>
            </w:r>
          </w:p>
        </w:tc>
      </w:tr>
      <w:tr w14:paraId="5EE0C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Align w:val="center"/>
          </w:tcPr>
          <w:p w14:paraId="4CC8DA9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72" w:type="dxa"/>
            <w:vAlign w:val="center"/>
          </w:tcPr>
          <w:p w14:paraId="4ED74E78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В ComboBox выбрать «Меч (1000)», нажать «Купить» (при кошельке = 75)</w:t>
            </w:r>
          </w:p>
        </w:tc>
        <w:tc>
          <w:tcPr>
            <w:tcW w:w="3095" w:type="dxa"/>
            <w:vAlign w:val="center"/>
          </w:tcPr>
          <w:p w14:paraId="1EAE0A94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Появляется сообщение: «Не хватает золота!», предмет не добавляется, кошелёк не меняется</w:t>
            </w:r>
          </w:p>
        </w:tc>
        <w:tc>
          <w:tcPr>
            <w:tcW w:w="2131" w:type="dxa"/>
            <w:vAlign w:val="center"/>
          </w:tcPr>
          <w:p w14:paraId="10310EF6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Сообщение показано, состояние инвентаря не изменилось</w:t>
            </w:r>
          </w:p>
        </w:tc>
      </w:tr>
      <w:tr w14:paraId="2CB89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Align w:val="center"/>
          </w:tcPr>
          <w:p w14:paraId="5E93CD4B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72" w:type="dxa"/>
            <w:vAlign w:val="center"/>
          </w:tcPr>
          <w:p w14:paraId="3DE8B495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Повторно нажать «Продать хлам» после того, как весь хлам уже продан</w:t>
            </w:r>
          </w:p>
        </w:tc>
        <w:tc>
          <w:tcPr>
            <w:tcW w:w="3095" w:type="dxa"/>
            <w:vAlign w:val="center"/>
          </w:tcPr>
          <w:p w14:paraId="001A9321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Появляется сообщение: «Нет предметов дешевле 50 монет!», инвентарь и кошелёк не меняются</w:t>
            </w:r>
          </w:p>
        </w:tc>
        <w:tc>
          <w:tcPr>
            <w:tcW w:w="2131" w:type="dxa"/>
            <w:vAlign w:val="center"/>
          </w:tcPr>
          <w:p w14:paraId="748636E4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/>
              </w:rPr>
              <w:t>Корректная обработка — ничего не продаётся, выводится уведомление</w:t>
            </w:r>
          </w:p>
        </w:tc>
      </w:tr>
    </w:tbl>
    <w:p w14:paraId="5787B84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56BBC"/>
    <w:rsid w:val="3EB5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2025-11-30T14:20:00Z</dcterms:created>
  <dc:creator>krist</dc:creator>
  <cp:lastModifiedBy>krist</cp:lastModifiedBy>
  <dcterms:modified xsi:type="dcterms:W3CDTF">2025-11-30T14:21:03Z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90E9A475051D4A52B3778DAB05973F8C_11</vt:lpwstr>
  </property>
</Properties>
</file>