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bookmarkStart w:id="20" w:name="abstract"/>
    <w:p>
      <w:pPr>
        <w:pStyle w:val="Heading2"/>
      </w:pPr>
      <w:r>
        <w:t xml:space="preserve">Abstract</w:t>
      </w:r>
    </w:p>
    <w:p>
      <w:pPr>
        <w:pStyle w:val="FirstParagraph"/>
      </w:pPr>
      <w:r>
        <w:t xml:space="preserve">This article contributes to international Chinese language education by extending localisation from content adaptation to delivery-context fit. Emergency remote teaching is the empirical context, not the theoretical centre. When Chinese-university language courses moved online, many Pakistani students continued them from households structured by unstable networks, power cuts, and campus applications that often did not open. A questionnaire completed by 38 students in February 2022 (mainly Pakistani; nine responses labelled mainland China) is treated as exploratory. Eleven of 14 students who said the home affected study</w:t>
      </w:r>
      <w:r>
        <w:t xml:space="preserve"> </w:t>
      </w:r>
      <w:r>
        <w:t xml:space="preserve">“</w:t>
      </w:r>
      <w:r>
        <w:t xml:space="preserve">very much</w:t>
      </w:r>
      <w:r>
        <w:t xml:space="preserve">”</w:t>
      </w:r>
      <w:r>
        <w:t xml:space="preserve"> </w:t>
      </w:r>
      <w:r>
        <w:t xml:space="preserve">also reported very high stress, against 3 of 24 others; worse internet speed tracked worse learning appraisal (ρ = .65). In this sample, localising a travelling Chinese course meant fitting the live hour to the house and to the application that opened, not only adapting textbook content.</w:t>
      </w:r>
    </w:p>
    <w:p>
      <w:pPr>
        <w:pStyle w:val="BodyText"/>
      </w:pPr>
      <w:r>
        <w:rPr>
          <w:bCs/>
          <w:b/>
        </w:rPr>
        <w:t xml:space="preserve">Keywords:</w:t>
      </w:r>
      <w:r>
        <w:t xml:space="preserve"> </w:t>
      </w:r>
      <w:r>
        <w:t xml:space="preserve">localisation; Chinese as an additional language; digital inequality; curriculum implementation; Pakistan; household</w:t>
      </w:r>
    </w:p>
    <w:bookmarkEnd w:id="20"/>
    <w:bookmarkStart w:id="21" w:name="introduction"/>
    <w:p>
      <w:pPr>
        <w:pStyle w:val="Heading2"/>
      </w:pPr>
      <w:r>
        <w:t xml:space="preserve">1. Introduction</w:t>
      </w:r>
    </w:p>
    <w:p>
      <w:pPr>
        <w:pStyle w:val="FirstParagraph"/>
      </w:pPr>
      <w:r>
        <w:t xml:space="preserve">Localisation in international Chinese language education (ICLE) has usually meant making a travelling course</w:t>
      </w:r>
      <w:r>
        <w:t xml:space="preserve"> </w:t>
      </w:r>
      <w:r>
        <w:rPr>
          <w:iCs/>
          <w:i/>
        </w:rPr>
        <w:t xml:space="preserve">learnable in a place</w:t>
      </w:r>
      <w:r>
        <w:t xml:space="preserve">: local names and practices in the textbook, Urdu annotation, festival content mediated for a Muslim-majority classroom, or a school activity such as chess used to build Chinese (Zhao, 2020; Lu et al., 2024). This article contributes to that literature by extending localisation from content adaptation to delivery-context fit. The claim is modest. A Chinese course is localised not only when its materials speak to local life, but when the live hour, the login, and the oral task can actually be used in that life.</w:t>
      </w:r>
    </w:p>
    <w:p>
      <w:pPr>
        <w:pStyle w:val="BodyText"/>
      </w:pPr>
      <w:r>
        <w:t xml:space="preserve">Emergency remote teaching (Hodges et al., 2020) is the empirical context in which that second kind of localisation became visible. When Chinese universities moved instruction online in 2020, many Pakistani students were already in Pakistan or soon returned there. They remained enrolled in Chinese-university language courses, yet the classroom they entered was a family home, a hostel, or a room shared with siblings, prepaid mobile data, and load-shedding. A Chinese-university language course is a planned sequence of live hours, oral tasks, and campus platforms that assume a dormitory, a timetable, and a login that works. The emergency kept those elements and changed the place (Gacs et al., 2020). Learners met the old course plan in households rather than in a redesigned distance-education programme.</w:t>
      </w:r>
    </w:p>
    <w:p>
      <w:pPr>
        <w:pStyle w:val="BodyText"/>
      </w:pPr>
      <w:r>
        <w:t xml:space="preserve">The article is therefore about one thing. Localisation of</w:t>
      </w:r>
      <w:r>
        <w:t xml:space="preserve"> </w:t>
      </w:r>
      <w:r>
        <w:rPr>
          <w:iCs/>
          <w:i/>
        </w:rPr>
        <w:t xml:space="preserve">delivery</w:t>
      </w:r>
      <w:r>
        <w:t xml:space="preserve"> </w:t>
      </w:r>
      <w:r>
        <w:t xml:space="preserve">is the contribution to ICLE. Digital inequality and platform access are the mechanism that made delivery fail or hold. Emergency remote teaching is the occasion, not the theoretical centre. The paper is not a general study of COVID-19 pedagogy, not a theory of digital inclusion, and not a textbook-adaptation study.</w:t>
      </w:r>
    </w:p>
    <w:p>
      <w:pPr>
        <w:pStyle w:val="BodyText"/>
      </w:pPr>
      <w:r>
        <w:rPr>
          <w:iCs/>
          <w:i/>
        </w:rPr>
        <w:t xml:space="preserve">Curriculum</w:t>
      </w:r>
      <w:r>
        <w:t xml:space="preserve"> </w:t>
      </w:r>
      <w:r>
        <w:t xml:space="preserve">here means the campus delivery plan (the live hour, the oral task, the campus login) when that plan is used away from campus (Shan &amp; Xu, 2024).</w:t>
      </w:r>
      <w:r>
        <w:t xml:space="preserve"> </w:t>
      </w:r>
      <w:r>
        <w:rPr>
          <w:iCs/>
          <w:i/>
        </w:rPr>
        <w:t xml:space="preserve">Culture</w:t>
      </w:r>
      <w:r>
        <w:t xml:space="preserve"> </w:t>
      </w:r>
      <w:r>
        <w:t xml:space="preserve">is used in a narrower sense than textbook representation of Chinese festivals or national images. Work in this journal already treats international students’ experience of Chinese education as a language-and-culture problem (Gao &amp; Hua, 2021; Gong, Gao, Li, &amp; Lai, 2020). Ecological and materials-in-use research locates that problem in the social setting of the class, not only in the page of the book (van Lier, 2004; Guerrettaz et al., 2021). When the class moves into a Pakistani household, the relevant cultural arrangement is who may speak, who owns the phone, whose paid or care work is interrupted, and what a</w:t>
      </w:r>
      <w:r>
        <w:t xml:space="preserve"> </w:t>
      </w:r>
      <w:r>
        <w:t xml:space="preserve">“</w:t>
      </w:r>
      <w:r>
        <w:t xml:space="preserve">Chinese class</w:t>
      </w:r>
      <w:r>
        <w:t xml:space="preserve">”</w:t>
      </w:r>
      <w:r>
        <w:t xml:space="preserve"> </w:t>
      </w:r>
      <w:r>
        <w:t xml:space="preserve">is allowed to mean in family space (Raza &amp; Hennessy, 2025). That is culture as the social world of additional-language practice. It is not an ethnography of Pakistani values.</w:t>
      </w:r>
    </w:p>
    <w:p>
      <w:pPr>
        <w:pStyle w:val="BodyText"/>
      </w:pPr>
      <w:r>
        <w:t xml:space="preserve">Pakistani enrolment in Chinese universities is a case of South–South academic mobility: movement between two countries of the Global South, structured by scholarships and the China–Pakistan Economic Corridor, rather than the more familiar North–South route or the</w:t>
      </w:r>
      <w:r>
        <w:t xml:space="preserve"> </w:t>
      </w:r>
      <w:r>
        <w:t xml:space="preserve">“</w:t>
      </w:r>
      <w:r>
        <w:t xml:space="preserve">international student already on a Chinese campus</w:t>
      </w:r>
      <w:r>
        <w:t xml:space="preserve">”</w:t>
      </w:r>
      <w:r>
        <w:t xml:space="preserve"> </w:t>
      </w:r>
      <w:r>
        <w:t xml:space="preserve">story (Iftikhar et al., 2024; Tu, 2026; Gao &amp; Hua, 2021). Far less is known about what happens to the language course when that mobility is interrupted and the student remains a Chinese-university learner from a household outside the campus network.</w:t>
      </w:r>
    </w:p>
    <w:p>
      <w:pPr>
        <w:pStyle w:val="BodyText"/>
      </w:pPr>
      <w:r>
        <w:t xml:space="preserve">This article reports an exploratory questionnaire completed by 38 students between 5 and 8 February 2022. The analysis describes associations in this network. It does not test a confirmatory model. Three questions guide the account:</w:t>
      </w:r>
    </w:p>
    <w:p>
      <w:pPr>
        <w:numPr>
          <w:ilvl w:val="0"/>
          <w:numId w:val="1001"/>
        </w:numPr>
        <w:pStyle w:val="Compact"/>
      </w:pPr>
      <w:r>
        <w:t xml:space="preserve">Which material, domestic, and platform conditions characterised emergency remote Chinese classes in this sample?</w:t>
      </w:r>
    </w:p>
    <w:p>
      <w:pPr>
        <w:numPr>
          <w:ilvl w:val="0"/>
          <w:numId w:val="1001"/>
        </w:numPr>
        <w:pStyle w:val="Compact"/>
      </w:pPr>
      <w:r>
        <w:t xml:space="preserve">How were those conditions related to stress, teacher interaction, and perceived learning?</w:t>
      </w:r>
    </w:p>
    <w:p>
      <w:pPr>
        <w:numPr>
          <w:ilvl w:val="0"/>
          <w:numId w:val="1001"/>
        </w:numPr>
        <w:pStyle w:val="Compact"/>
      </w:pPr>
      <w:r>
        <w:t xml:space="preserve">Did learners treat online Chinese as a legitimate substitute for campus study, and did that judgement differ by gender or by how much they thought they had learned?</w:t>
      </w:r>
    </w:p>
    <w:p>
      <w:pPr>
        <w:pStyle w:val="FirstParagraph"/>
      </w:pPr>
      <w:r>
        <w:t xml:space="preserve">The contribution is to ICLE localisation. The study describes household infrastructure, platform access, and participation among Pakistani (and one neighbouring) students of Chinese-university language courses. Sequential digital inequality (van Dijk, 2020) and home ecology are used to read those conditions. Language investment is not part of the framework; a short optional reading appears in the discussion. Design comments later in the paper are considerations suggested by this sample, not established solutions.</w:t>
      </w:r>
    </w:p>
    <w:bookmarkEnd w:id="21"/>
    <w:bookmarkStart w:id="26" w:name="literature-review"/>
    <w:p>
      <w:pPr>
        <w:pStyle w:val="Heading2"/>
      </w:pPr>
      <w:r>
        <w:t xml:space="preserve">2. Literature review</w:t>
      </w:r>
    </w:p>
    <w:bookmarkStart w:id="22" w:name="X68dd8ebeb22cc7a16b333349dc5f722ace7abd5"/>
    <w:p>
      <w:pPr>
        <w:pStyle w:val="Heading3"/>
      </w:pPr>
      <w:r>
        <w:t xml:space="preserve">2.1 Emergency remote teaching and the copy of the campus hour</w:t>
      </w:r>
    </w:p>
    <w:p>
      <w:pPr>
        <w:pStyle w:val="FirstParagraph"/>
      </w:pPr>
      <w:r>
        <w:t xml:space="preserve">Hodges et al. (2020) distinguished emergency remote teaching from planned online or blended courses. The former is a temporary shift under crisis and does not follow a full instructional design cycle. Gacs, Goertler and Spasova (2020) applied that distinction to languages and warned against judging crisis teaching by the standards of mature online programmes. Reviews of 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the distinction. Moorhouse, Wong and Li (2023) describe technological normalisation: tools becoming ordinary in everyday teaching. Moorhouse (2023) found that, in a well-resourced setting, many teachers kept digital tools after they returned to the physical classroom. Stockwell and Wang (2023) note a narrower pattern. Much emergency teaching used videoconferencing to copy face-to-face teaching, and that copy still shapes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later review of online ICLE still lists technical issues, weak interaction, and time-zone problems among the limits of blended teaching (Li &amp; Li, 2024). Much of that work assumes a Chinese campus system at one end of the link and a fairly stable connection at the other. That assumption does not travel automatically to Pakistan.</w:t>
      </w:r>
    </w:p>
    <w:bookmarkEnd w:id="22"/>
    <w:bookmarkStart w:id="23" w:name="digital-inequality-beyond-the-device"/>
    <w:p>
      <w:pPr>
        <w:pStyle w:val="Heading3"/>
      </w:pPr>
      <w:r>
        <w:t xml:space="preserve">2.2 Digital inequality beyond the device</w:t>
      </w:r>
    </w:p>
    <w:p>
      <w:pPr>
        <w:pStyle w:val="FirstParagraph"/>
      </w:pPr>
      <w:r>
        <w:t xml:space="preserve">Early digital-divide 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a live class and a PDF textbook. Warschauer (2003) argued that language learning on screens is stratified by these layers. Emergency remote teaching compressed them into one domestic scene.</w:t>
      </w:r>
    </w:p>
    <w:p>
      <w:pPr>
        <w:pStyle w:val="BodyText"/>
      </w:pPr>
      <w:r>
        <w:t xml:space="preserve">Owning a device is not the same as taking part. Rural-urban and household inequalities continue to shape who can sit in a live class (Ali, 2020). In Pakistan the household is also structured by gender. Raza and Hennessy (2025) show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application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why-call-this-localisation"/>
    <w:p>
      <w:pPr>
        <w:pStyle w:val="Heading3"/>
      </w:pPr>
      <w:r>
        <w:t xml:space="preserve">2.3 Why call this localisation?</w:t>
      </w:r>
    </w:p>
    <w:p>
      <w:pPr>
        <w:pStyle w:val="FirstParagraph"/>
      </w:pPr>
      <w:r>
        <w:t xml:space="preserve">Reviewers of ICLE work may reasonably ask why household power and platform access should be called localisation rather than adaptation, accessibility, online pedagogy, or digital inclusion. Those neighbouring terms name parts of the mechanism. Localisation names the ICLE task: fitting a course that travels from a Chinese university to the place where it is used.</w:t>
      </w:r>
    </w:p>
    <w:p>
      <w:pPr>
        <w:pStyle w:val="BodyText"/>
      </w:pPr>
      <w:r>
        <w:t xml:space="preserve">In language materials work, localisation has long meant more than translation. McDonough and Shaw (2003) treat</w:t>
      </w:r>
      <w:r>
        <w:t xml:space="preserve"> </w:t>
      </w:r>
      <w:r>
        <w:t xml:space="preserve">“</w:t>
      </w:r>
      <w:r>
        <w:t xml:space="preserve">personalising and localising</w:t>
      </w:r>
      <w:r>
        <w:t xml:space="preserve">”</w:t>
      </w:r>
      <w:r>
        <w:t xml:space="preserve"> </w:t>
      </w:r>
      <w:r>
        <w:t xml:space="preserve">as a principle of adapting materials so that they speak to a particular group of learners. Tomlinson (2011) locates that work in principled materials development. Canagarajah (2005) argued that the local is not a residue of the global but the site at which language policy and practice are reclaimed. Kumaravadivelu (2001) called the same demand particularity: pedagogy has to fit a specific group in a specific context. Guerrettaz et al. (2021) push the argument from the page of the book to materials in use. If the material is a live class, the</w:t>
      </w:r>
      <w:r>
        <w:t xml:space="preserve"> </w:t>
      </w:r>
      <w:r>
        <w:t xml:space="preserve">“</w:t>
      </w:r>
      <w:r>
        <w:t xml:space="preserve">use</w:t>
      </w:r>
      <w:r>
        <w:t xml:space="preserve">”</w:t>
      </w:r>
      <w:r>
        <w:t xml:space="preserve"> </w:t>
      </w:r>
      <w:r>
        <w:t xml:space="preserve">includes whether the class can be entered.</w:t>
      </w:r>
    </w:p>
    <w:p>
      <w:pPr>
        <w:pStyle w:val="BodyText"/>
      </w:pPr>
      <w:r>
        <w:t xml:space="preserve">ICLE has applied localisation mainly to content and curriculum construction. Zhao (2020) localises a Chinese curriculum in an Australian primary school by building lessons from students’ everyday practices. Lu et al. (2024) document localisation of</w:t>
      </w:r>
      <w:r>
        <w:t xml:space="preserve"> </w:t>
      </w:r>
      <w:r>
        <w:rPr>
          <w:iCs/>
          <w:i/>
        </w:rPr>
        <w:t xml:space="preserve">HSK Standard Course</w:t>
      </w:r>
      <w:r>
        <w:t xml:space="preserve"> </w:t>
      </w:r>
      <w:r>
        <w:t xml:space="preserve">in Pakistani universities, including Urdu annotation and cultural comparison. Lam (2024), in this journal, treats glocalisation as the fitting of a travelling literacy to a local university classroom. Those studies localise</w:t>
      </w:r>
      <w:r>
        <w:t xml:space="preserve"> </w:t>
      </w:r>
      <w:r>
        <w:rPr>
          <w:iCs/>
          <w:i/>
        </w:rPr>
        <w:t xml:space="preserve">what</w:t>
      </w:r>
      <w:r>
        <w:t xml:space="preserve"> </w:t>
      </w:r>
      <w:r>
        <w:t xml:space="preserve">is taught and</w:t>
      </w:r>
      <w:r>
        <w:t xml:space="preserve"> </w:t>
      </w:r>
      <w:r>
        <w:rPr>
          <w:iCs/>
          <w:i/>
        </w:rPr>
        <w:t xml:space="preserve">how</w:t>
      </w:r>
      <w:r>
        <w:t xml:space="preserve"> </w:t>
      </w:r>
      <w:r>
        <w:t xml:space="preserve">it is framed. They rarely ask whether the delivery infrastructure (power, bandwidth, the campus login) can hold the lesson.</w:t>
      </w:r>
    </w:p>
    <w:p>
      <w:pPr>
        <w:pStyle w:val="BodyText"/>
      </w:pPr>
      <w:r>
        <w:t xml:space="preserve">Four layers can be distinguished, so that the present claim is not stretched across all of them:</w:t>
      </w:r>
    </w:p>
    <w:p>
      <w:pPr>
        <w:numPr>
          <w:ilvl w:val="0"/>
          <w:numId w:val="1002"/>
        </w:numPr>
        <w:pStyle w:val="Compact"/>
      </w:pPr>
      <w:r>
        <w:t xml:space="preserve">Localisation of</w:t>
      </w:r>
      <w:r>
        <w:t xml:space="preserve"> </w:t>
      </w:r>
      <w:r>
        <w:rPr>
          <w:iCs/>
          <w:i/>
        </w:rPr>
        <w:t xml:space="preserve">content</w:t>
      </w:r>
      <w:r>
        <w:t xml:space="preserve">: names, festivals, examples,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the redesign of the textbook page.</w:t>
      </w:r>
    </w:p>
    <w:p>
      <w:pPr>
        <w:numPr>
          <w:ilvl w:val="0"/>
          <w:numId w:val="1002"/>
        </w:numPr>
        <w:pStyle w:val="Compact"/>
      </w:pPr>
      <w:r>
        <w:t xml:space="preserve">Localisation of</w:t>
      </w:r>
      <w:r>
        <w:t xml:space="preserve"> </w:t>
      </w:r>
      <w:r>
        <w:rPr>
          <w:iCs/>
          <w:i/>
        </w:rPr>
        <w:t xml:space="preserve">curriculum</w:t>
      </w:r>
      <w:r>
        <w:t xml:space="preserve">: the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whether the live hour, the oral task, and the login can be used in this household, on this phone, in this electricity regime.</w:t>
      </w:r>
    </w:p>
    <w:p>
      <w:pPr>
        <w:pStyle w:val="FirstParagraph"/>
      </w:pPr>
      <w:r>
        <w:t xml:space="preserve">This article addresses only the fourth layer. Accessibility and digital inclusion describe why that layer fails. They do not replace the ICLE question, which is how a Chinese-university course is made usable when it leaves the campus.</w:t>
      </w:r>
    </w:p>
    <w:bookmarkEnd w:id="24"/>
    <w:bookmarkStart w:id="25" w:name="Xcd330498a6dd3210785781d416be0b973d8f43a"/>
    <w:p>
      <w:pPr>
        <w:pStyle w:val="Heading3"/>
      </w:pPr>
      <w:r>
        <w:t xml:space="preserve">2.4 The Pakistan corridor and the travelling campus course</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scholarships, and employment (Iftikhar et al., 2024). Attitude studies rarely capture the course that was supposed to produce the proficiency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for Irish learners. That is planned online teaching, not emergency remote teaching. Gong, Gao, Li and Lai (2020) document New Zealand students’ cultural adaptation while they were physically in China; Gao and Hua (2021) collected that campus-in-China agenda in this journal. Lu et al. (2024) concern programmes</w:t>
      </w:r>
      <w:r>
        <w:t xml:space="preserve"> </w:t>
      </w:r>
      <w:r>
        <w:rPr>
          <w:iCs/>
          <w:i/>
        </w:rPr>
        <w:t xml:space="preserve">in</w:t>
      </w:r>
      <w:r>
        <w:t xml:space="preserve"> </w:t>
      </w:r>
      <w:r>
        <w:t xml:space="preserve">Pakistan. The present students were enrolled in Chinese universities. The two groups share a language, a test culture, and often a textbook family. They do not share a campus. Adapting a book for a Pakistani institute is not the same task as keeping a Chinese-university language course alive in a Karachi or Lahore household after a power cut.</w:t>
      </w:r>
    </w:p>
    <w:p>
      <w:pPr>
        <w:pStyle w:val="BodyText"/>
      </w:pPr>
      <w:r>
        <w:t xml:space="preserve">A live Chinese class on an unfamiliar platform is also a language-access problem (Piller, Zhang, &amp; Li, 2020). Post-pandemic CALL has moved toward normalisation and AI, often in classrooms with working campus Wi-Fi (Moorhouse et al., 2023; Darvin, 2025). ICLE localisation research still under-represents the home as a site of delivery, and under-represents which Chinese-campus applications open from phones outside China. That is the gap this study can address.</w:t>
      </w:r>
    </w:p>
    <w:bookmarkEnd w:id="25"/>
    <w:bookmarkEnd w:id="26"/>
    <w:bookmarkStart w:id="27" w:name="theoretical-framework"/>
    <w:p>
      <w:pPr>
        <w:pStyle w:val="Heading2"/>
      </w:pPr>
      <w:r>
        <w:t xml:space="preserve">3. Theoretical framework</w:t>
      </w:r>
    </w:p>
    <w:p>
      <w:pPr>
        <w:pStyle w:val="FirstParagraph"/>
      </w:pPr>
      <w:r>
        <w:t xml:space="preserve">The conceptual contribution is localisation of delivery: the claim that a travelling Chinese-university course is not localised if its live hour cannot be used in the receiving household. Two analytic layers, both matched to the questionnaire, make that claim testable as description. Language investment is not part of the model.</w:t>
      </w:r>
    </w:p>
    <w:p>
      <w:pPr>
        <w:pStyle w:val="BodyText"/>
      </w:pPr>
      <w:r>
        <w:t xml:space="preserve">The first layer is sequential digital inequality, including platform geography (van Dijk, 2020). Electricity, devices, bandwidth, and time are ordered resources. Which application opens is part of that sequence. Absence at an earlier layer blocks later ones. Without power there is no live class. Without a usable login there is little interaction even if the class is on.</w:t>
      </w:r>
    </w:p>
    <w:p>
      <w:pPr>
        <w:pStyle w:val="BodyText"/>
      </w:pPr>
      <w:r>
        <w:t xml:space="preserve">The second layer is home ecology (van Lier, 2004; Guerrettaz et al., 2021). The unit of analysis is the household rather than</w:t>
      </w:r>
      <w:r>
        <w:t xml:space="preserve"> </w:t>
      </w:r>
      <w:r>
        <w:t xml:space="preserve">“</w:t>
      </w:r>
      <w:r>
        <w:t xml:space="preserve">the student plus the application</w:t>
      </w:r>
      <w:r>
        <w:t xml:space="preserve">”</w:t>
      </w:r>
      <w:r>
        <w:t xml:space="preserve">: shared rooms, family labour, gendered domestic space, and the China–Pakistan time difference. Emergency remote teaching relocated the Chinese classroom into this ecology without redesigning the lesson or the house.</w:t>
      </w:r>
    </w:p>
    <w:p>
      <w:pPr>
        <w:pStyle w:val="BodyText"/>
      </w:pPr>
      <w:r>
        <w:t xml:space="preserve">The outcomes recorded on the form are stress, teacher interaction, perceived learning, and whether online study was judged a substitute for campus classes. Figure 1 is a reading model, not a tested path.</w:t>
      </w:r>
    </w:p>
    <w:p>
      <w:pPr>
        <w:pStyle w:val="BodyText"/>
      </w:pPr>
      <w:r>
        <w:t xml:space="preserve">Figure 1. Localisation of delivery as delivery-context fit. Sequential digital inequality (power, signal, speed, and which application opens) and home ecology (space, family, paid work) are concurrent conditions of a travelling Chinese-university course. They are read as shaping participation and the self-reported outcomes of stress, interaction, learning appraisal, and the replacement judgement. Investment is not shown.</w:t>
      </w:r>
    </w:p>
    <w:bookmarkEnd w:id="27"/>
    <w:bookmarkStart w:id="33" w:name="the-study"/>
    <w:p>
      <w:pPr>
        <w:pStyle w:val="Heading2"/>
      </w:pPr>
      <w:r>
        <w:t xml:space="preserve">4. The study</w:t>
      </w:r>
    </w:p>
    <w:bookmarkStart w:id="28" w:name="context-and-design"/>
    <w:p>
      <w:pPr>
        <w:pStyle w:val="Heading3"/>
      </w:pPr>
      <w:r>
        <w:t xml:space="preserve">4.1 Context and design</w:t>
      </w:r>
    </w:p>
    <w:p>
      <w:pPr>
        <w:pStyle w:val="FirstParagraph"/>
      </w:pPr>
      <w:r>
        <w:t xml:space="preserve">Respondents were enrolled in Chinese-university language courses that had moved online. In early February 2022 many Pakistani students were at home rather than in a Chinese dormitory; nine responses were still labelled mainland China. The course they were expected to attend assumed a campus timetable, a live oral hour, and a login on a Chinese-campus platform. The household, the power supply, and the applications that opened from a Pakistani mobile network were not part of that plan. The questionnaire does not name the host university, the textbook, or an HSK target. Curriculum here means that campus delivery plan as lived.</w:t>
      </w:r>
    </w:p>
    <w:p>
      <w:pPr>
        <w:pStyle w:val="BodyText"/>
      </w:pPr>
      <w:r>
        <w:t xml:space="preserve">The study is an exploratory, cross-sectional questionnaire of how that course was experienced from wherever the student sat that week. It does not test a pre-registered confirmatory model. Data come from a Chinese-medium Wenjuan questionnaire on influencing factors in international students’ online Chinese learning during COVID-19 (38 complete cases, 5 to 8 February 2022).</w:t>
      </w:r>
    </w:p>
    <w:bookmarkEnd w:id="28"/>
    <w:bookmarkStart w:id="29"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All submissions used a phone (iPhone 24, 63.2%; Android 14). Device ownership was therefore not the main gap. IP geolocation placed nine responses in mainland China and 29 elsewhere. The main analysis keeps all 38 cases. The form did not ask whether the student held a China Scholarship Council award, so the sample is described as Chinese-university language students.</w:t>
      </w:r>
    </w:p>
    <w:p>
      <w:pPr>
        <w:pStyle w:val="BodyText"/>
      </w:pPr>
      <w:r>
        <w:t xml:space="preserve">The sample is a network-recruited convenience sample, not a draw from all Pakistani students in Chinese universities. Scholarship routes from Pakistan have long been male-heavy in some tracks, and a questionnaire link passed through student networks will reproduce that skew. Eleven women are too few to describe Pakistani women’s home classrooms. Percentages for the whole sample therefore combine men’s experience with a small female minority. Gender is tested where the instrument allows (research question 3). Non-significant gender tests are treated as inconclusive.</w:t>
      </w:r>
    </w:p>
    <w:bookmarkEnd w:id="29"/>
    <w:bookmarkStart w:id="30" w:name="instrument"/>
    <w:p>
      <w:pPr>
        <w:pStyle w:val="Heading3"/>
      </w:pPr>
      <w:r>
        <w:t xml:space="preserve">4.3 Instrument</w:t>
      </w:r>
    </w:p>
    <w:p>
      <w:pPr>
        <w:pStyle w:val="FirstParagraph"/>
      </w:pPr>
      <w:r>
        <w:t xml:space="preserve">The questionnaire comprised about 30 items: demographics, single-choice ordinals, and multiple-response lists of courses, problems, platforms, and forms of interaction. Stems are in Chinese, with some non-native wording (for example 您尝尝用什么平台). We translate for reporting and analysed the coded values.</w:t>
      </w:r>
    </w:p>
    <w:p>
      <w:pPr>
        <w:pStyle w:val="BodyText"/>
      </w:pPr>
      <w:r>
        <w:t xml:space="preserve">A learning-appraisal composite was formed from three same-direction ordinals that ask, in different wording, whether the student thought online study produced learning: learned much; improves Chinese; sparks interest. The three items were treated as one face-valid cluster of perceived learning, not as a validated psychological scale. Cronbach’s α = .84, which supports using their mean as a convenience summary in this file. Exploratory factor analysis was not used: with N = 38 the sample is too small for a stable factor solution, and the analysis is not confirmatory. Individual items are also reported. Higher scores on the composites used below indicate a worse condition or a thinner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0"/>
    <w:bookmarkStart w:id="31" w:name="analysis"/>
    <w:p>
      <w:pPr>
        <w:pStyle w:val="Heading3"/>
      </w:pPr>
      <w:r>
        <w:t xml:space="preserve">4.4 Analysis</w:t>
      </w:r>
    </w:p>
    <w:p>
      <w:pPr>
        <w:pStyle w:val="FirstParagraph"/>
      </w:pPr>
      <w:r>
        <w:t xml:space="preserve">Frequencies are reported as n/38. Multiple-response items are the percentage of respondents who selected the option. The learning-appraisal score is the mean of learned, improve, and interest (higher = worse). With N = 38 the analysis is exploratory and descriptive. We report cell counts first. For 2×2 tables we add Fisher’s exact test, φ, and an odds ratio with a 95% confidence interval only as a compact summary of those counts. The intervals are too wide to support population inference, and they should not be read as precise effect sizes. For ordinal pairs we used Spearman’s ρ, likewise as a rank association in this sample. Gender differences on ordinals were checked with Mann-Whitney U (all</w:t>
      </w:r>
      <w:r>
        <w:t xml:space="preserve"> </w:t>
      </w:r>
      <w:r>
        <w:rPr>
          <w:iCs/>
          <w:i/>
        </w:rPr>
        <w:t xml:space="preserve">p</w:t>
      </w:r>
      <w:r>
        <w:t xml:space="preserve"> </w:t>
      </w:r>
      <w:r>
        <w:t xml:space="preserve">&gt; .10). Sensitivity analyses repeat the two focal patterns among Pakistani respondents only (n = 37) and among cases whose IP was not labelled mainland China (n = 29).</w:t>
      </w:r>
      <w:r>
        <w:t xml:space="preserve"> </w:t>
      </w:r>
      <w:r>
        <w:rPr>
          <w:iCs/>
          <w:i/>
        </w:rPr>
        <w:t xml:space="preserve">p</w:t>
      </w:r>
      <w:r>
        <w:t xml:space="preserve"> </w:t>
      </w:r>
      <w:r>
        <w:t xml:space="preserve">values are not Bonferroni-adjusted.</w:t>
      </w:r>
    </w:p>
    <w:bookmarkEnd w:id="31"/>
    <w:bookmarkStart w:id="32" w:name="ethics"/>
    <w:p>
      <w:pPr>
        <w:pStyle w:val="Heading3"/>
      </w:pPr>
      <w:r>
        <w:t xml:space="preserve">4.5 Ethics</w:t>
      </w:r>
    </w:p>
    <w:p>
      <w:pPr>
        <w:pStyle w:val="FirstParagraph"/>
      </w:pPr>
      <w:r>
        <w:t xml:space="preserve">The questionnaire was completed in February 2022 by adult students. The form presented the study as research on online Chinese learning and stated that answers would be used for research. Submission of the completed form was treated as consent. Names, IP addresses, and exact timestamps beyond the collection dates were removed before analysis and are not published. Gender is reported because it structured one finding.</w:t>
      </w:r>
    </w:p>
    <w:p>
      <w:pPr>
        <w:pStyle w:val="BodyText"/>
      </w:pPr>
      <w:r>
        <w:t xml:space="preserve">No institutional ethics-committee number was assigned to the 2022 collection. At the time the first author was an M.Phil. student collecting a small online questionnaire; a numbered approval was not obtained. We do not invent one. The present article reports an anonymised secondary analysis of that file. The gap is a limit of the historical collection, not a claim that ethics review is unnecessary. Journals that require a protocol number for all human-subjects work may ask for additional documentation from the authors’ current institutions.</w:t>
      </w:r>
    </w:p>
    <w:bookmarkEnd w:id="32"/>
    <w:bookmarkEnd w:id="33"/>
    <w:bookmarkStart w:id="40" w:name="results"/>
    <w:p>
      <w:pPr>
        <w:pStyle w:val="Heading2"/>
      </w:pPr>
      <w:r>
        <w:t xml:space="preserve">5. Results</w:t>
      </w:r>
    </w:p>
    <w:bookmarkStart w:id="34" w:name="who-sat-in-the-class"/>
    <w:p>
      <w:pPr>
        <w:pStyle w:val="Heading3"/>
      </w:pPr>
      <w:r>
        <w:t xml:space="preserve">5.1 Who sat in the class</w:t>
      </w:r>
    </w:p>
    <w:p>
      <w:pPr>
        <w:pStyle w:val="FirstParagraph"/>
      </w:pPr>
      <w:r>
        <w:t xml:space="preserve">Table 1 locates the sample. It is small, phone-based, and majority male. Most respondents (78.9%) said all of their Chinese classes were online. More than half (57.9%) were working alongside study. Nine IP addresses were labelled mainland China. The analysis therefore describes an interrupted Chinese-university cohort rather than a group in which everyone sat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w:t>
      </w:r>
    </w:p>
    <w:bookmarkEnd w:id="34"/>
    <w:bookmarkStart w:id="35" w:name="household-conditions-and-stress"/>
    <w:p>
      <w:pPr>
        <w:pStyle w:val="Heading3"/>
      </w:pPr>
      <w:r>
        <w:t xml:space="preserve">5.2 Household conditions and stress</w:t>
      </w:r>
    </w:p>
    <w:p>
      <w:pPr>
        <w:pStyle w:val="FirstParagraph"/>
      </w:pPr>
      <w:r>
        <w:t xml:space="preserve">Table 2 summarises the conditions of study. Unstable networks (76.3%), power cuts (42.1%), and no signal (31.6%) were common. Most respondents (89.5%) said their country</w:t>
      </w:r>
      <w:r>
        <w:t xml:space="preserve"> </w:t>
      </w:r>
      <w:r>
        <w:t xml:space="preserve">“</w:t>
      </w:r>
      <w:r>
        <w:t xml:space="preserve">has internet,</w:t>
      </w:r>
      <w:r>
        <w:t xml:space="preserve">”</w:t>
      </w:r>
      <w:r>
        <w:t xml:space="preserve"> </w:t>
      </w:r>
      <w:r>
        <w:t xml:space="preserve">but speed was split: 36.8% good or very good, 36.8% average, and 26.3% bad or very bad. Four people (10.5%) said there was no internet in their country, yet all 38 submitted an online form. That item is better read as no stable home broadband than as no network at all.</w:t>
      </w:r>
    </w:p>
    <w:p>
      <w:pPr>
        <w:pStyle w:val="BodyText"/>
      </w:pPr>
      <w:r>
        <w:t xml:space="preserve">Only 11 of 38 (28.9%) described the home as quiet; 71.1% chose noisy or lively. Fourteen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The clearest pattern in the sample is between the home and stress, and it is best read as a count, not as a population odds ratio. Among those who said the home affected study very much, 11 of 14 also reported very high psychological stress; among the others, 3 of 24 did (Fisher</w:t>
      </w:r>
      <w:r>
        <w:t xml:space="preserve"> </w:t>
      </w:r>
      <w:r>
        <w:rPr>
          <w:iCs/>
          <w:i/>
        </w:rPr>
        <w:t xml:space="preserve">p</w:t>
      </w:r>
      <w:r>
        <w:t xml:space="preserve"> </w:t>
      </w:r>
      <w:r>
        <w:t xml:space="preserve">&lt; .001, φ = .66). Spearman’s ρ between that home item and the stress ordinal (1 = very high) was −.66 (</w:t>
      </w:r>
      <w:r>
        <w:rPr>
          <w:iCs/>
          <w:i/>
        </w:rPr>
        <w:t xml:space="preserve">p</w:t>
      </w:r>
      <w:r>
        <w:t xml:space="preserve"> </w:t>
      </w:r>
      <w:r>
        <w:t xml:space="preserve">&lt; .001). Table 4 prints the corresponding odds ratio only as a compact summary of the same 2×2 table; its interval ([4.42, 149.00]) is too wide for inference beyond this sample. The figure that discriminates is the 36.8% who reported very high stress.</w:t>
      </w:r>
    </w:p>
    <w:bookmarkEnd w:id="35"/>
    <w:bookmarkStart w:id="36" w:name="Xcaed1ea785147ce2b7b7bc763c8cc14ebc51e4b"/>
    <w:p>
      <w:pPr>
        <w:pStyle w:val="Heading3"/>
      </w:pPr>
      <w:r>
        <w:t xml:space="preserve">5.3 Platforms that opened and platforms that did not</w:t>
      </w:r>
    </w:p>
    <w:p>
      <w:pPr>
        <w:pStyle w:val="FirstParagraph"/>
      </w:pPr>
      <w:r>
        <w:t xml:space="preserve">Students did not so much lack a platform as they lacked the platform the university was using (Table 3). The tools reported as used for class were Tencent Meeting (71.1%), Zoom (47.4%), and WeChat (31.6%). The tools marked unusable</w:t>
      </w:r>
      <w:r>
        <w:t xml:space="preserve"> </w:t>
      </w:r>
      <w:r>
        <w:t xml:space="preserve">“</w:t>
      </w:r>
      <w:r>
        <w:t xml:space="preserve">in my country</w:t>
      </w:r>
      <w:r>
        <w:t xml:space="preserve">”</w:t>
      </w:r>
      <w:r>
        <w:t xml:space="preserve"> </w:t>
      </w:r>
      <w:r>
        <w:t xml:space="preserve">were QQ (50.0%), Chaoxing (42.1%), DingTalk (28.9%), and Chinese MOOC (28.9%). The tools marked available were Zoom (71.1%), WhatsApp (68.4%), Tencent Meeting (57.9%), and WeChat (39.5%). WhatsApp appears only as available; the questionnaire, as retained here, did not record whether it was used for class. Tencent Meeting was the most used class tool, yet fewer respondents marked it available in their country, a discrepancy that may reflect use while in China or through a virtual private network.</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 Campus-side Chinese platforms are those students mark as unusable. Consumer tools often used in Pakistan (Zoom, WhatsApp) are those they mark as available.</w:t>
      </w:r>
      <w:r>
        <w:t xml:space="preserve"> </w:t>
      </w:r>
      <w:r>
        <w:t xml:space="preserve">“</w:t>
      </w:r>
      <w:r>
        <w:t xml:space="preserve">My country</w:t>
      </w:r>
      <w:r>
        <w:t xml:space="preserve">”</w:t>
      </w:r>
      <w:r>
        <w:t xml:space="preserve"> </w:t>
      </w:r>
      <w:r>
        <w:t xml:space="preserve">is the student’s wording; nine responses were labelled mainland China.</w:t>
      </w:r>
    </w:p>
    <w:p>
      <w:pPr>
        <w:pStyle w:val="BodyText"/>
      </w:pPr>
      <w:r>
        <w:t xml:space="preserve">When emergency remote teaching copies the campus system off campus, the official classroom may sit on an application the student cannot enter.</w:t>
      </w:r>
    </w:p>
    <w:bookmarkEnd w:id="36"/>
    <w:bookmarkStart w:id="37" w:name="interaction-learning-appraisal-and-speed"/>
    <w:p>
      <w:pPr>
        <w:pStyle w:val="Heading3"/>
      </w:pPr>
      <w:r>
        <w:t xml:space="preserve">5.4 Interaction, learning appraisal, and speed</w:t>
      </w:r>
    </w:p>
    <w:p>
      <w:pPr>
        <w:pStyle w:val="FirstParagraph"/>
      </w:pPr>
      <w:r>
        <w:t xml:space="preserve">Very high stress was reported by 14 of 38 (36.8%). Active interaction with the teacher</w:t>
      </w:r>
      <w:r>
        <w:t xml:space="preserve"> </w:t>
      </w:r>
      <w:r>
        <w:t xml:space="preserve">“</w:t>
      </w:r>
      <w:r>
        <w:t xml:space="preserve">very much</w:t>
      </w:r>
      <w:r>
        <w:t xml:space="preserve">”</w:t>
      </w:r>
      <w:r>
        <w:t xml:space="preserve"> </w:t>
      </w:r>
      <w:r>
        <w:t xml:space="preserve">was reported by only 6 of 38 (15.8%); 11 of 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w:t>
      </w:r>
    </w:p>
    <w:p>
      <w:pPr>
        <w:pStyle w:val="BodyText"/>
      </w:pPr>
      <w:r>
        <w:t xml:space="preserve">Worse internet speed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network, no power, no signal) did not track appraisal (ρ = .02,</w:t>
      </w:r>
      <w:r>
        <w:t xml:space="preserve"> </w:t>
      </w:r>
      <w:r>
        <w:rPr>
          <w:iCs/>
          <w:i/>
        </w:rPr>
        <w:t xml:space="preserve">p</w:t>
      </w:r>
      <w:r>
        <w:t xml:space="preserve"> </w:t>
      </w:r>
      <w:r>
        <w:t xml:space="preserve">= .91). In this sample, speed of use matters; the number of problems ticked does not.</w:t>
      </w:r>
    </w:p>
    <w:p>
      <w:pPr>
        <w:pStyle w:val="BodyText"/>
      </w:pPr>
      <w:r>
        <w:t xml:space="preserve">Preferred live length was shorter than a typical campus Chinese class: 50% wanted 45 minutes and 28.9% wanted 30 minutes. One open comment refused the mode altogether: even one minute online was</w:t>
      </w:r>
      <w:r>
        <w:t xml:space="preserve"> </w:t>
      </w:r>
      <w:r>
        <w:t xml:space="preserve">“</w:t>
      </w:r>
      <w:r>
        <w:t xml:space="preserve">not suitable,</w:t>
      </w:r>
      <w:r>
        <w:t xml:space="preserve">”</w:t>
      </w:r>
      <w:r>
        <w:t xml:space="preserve"> </w:t>
      </w:r>
      <w:r>
        <w:t xml:space="preserve">and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Cell counts / statistic</w:t>
            </w:r>
          </w:p>
        </w:tc>
      </w:tr>
      <w:tr>
        <w:tc>
          <w:tcPr/>
          <w:p>
            <w:pPr>
              <w:pStyle w:val="Compact"/>
              <w:jc w:val="left"/>
            </w:pPr>
            <w:r>
              <w:t xml:space="preserve">Home affects study very much × very high stress</w:t>
            </w:r>
          </w:p>
        </w:tc>
        <w:tc>
          <w:tcPr/>
          <w:p>
            <w:pPr>
              <w:pStyle w:val="Compact"/>
              <w:jc w:val="left"/>
            </w:pPr>
            <w:r>
              <w:t xml:space="preserve">11/14 vs 3/24; Fisher</w:t>
            </w:r>
            <w:r>
              <w:t xml:space="preserve"> </w:t>
            </w:r>
            <w:r>
              <w:rPr>
                <w:iCs/>
                <w:i/>
              </w:rPr>
              <w:t xml:space="preserve">p</w:t>
            </w:r>
            <w:r>
              <w:t xml:space="preserve"> </w:t>
            </w:r>
            <w:r>
              <w:t xml:space="preserve">&lt; .001, φ = .66; OR = 25.67, 95% CI [4.42, 149.00]</w:t>
            </w:r>
          </w:p>
        </w:tc>
      </w:tr>
      <w:tr>
        <w:tc>
          <w:tcPr/>
          <w:p>
            <w:pPr>
              <w:pStyle w:val="Compact"/>
              <w:jc w:val="left"/>
            </w:pPr>
            <w:r>
              <w:t xml:space="preserve">Female × online cannot replace campus</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Learned little/nothing × cannot replace</w:t>
            </w:r>
          </w:p>
        </w:tc>
        <w:tc>
          <w:tcPr/>
          <w:p>
            <w:pPr>
              <w:pStyle w:val="Compact"/>
              <w:jc w:val="left"/>
            </w:pPr>
            <w:r>
              <w:t xml:space="preserve">9/11 vs 10/27; Fisher</w:t>
            </w:r>
            <w:r>
              <w:t xml:space="preserve"> </w:t>
            </w:r>
            <w:r>
              <w:rPr>
                <w:iCs/>
                <w:i/>
              </w:rPr>
              <w:t xml:space="preserve">p</w:t>
            </w:r>
            <w:r>
              <w:t xml:space="preserve"> </w:t>
            </w:r>
            <w:r>
              <w:t xml:space="preserve">= .029, φ = .41; OR = 7.65, 95% CI [1.37, 42.71]</w:t>
            </w:r>
          </w:p>
        </w:tc>
      </w:tr>
      <w:tr>
        <w:tc>
          <w:tcPr/>
          <w:p>
            <w:pPr>
              <w:pStyle w:val="Compact"/>
              <w:jc w:val="left"/>
            </w:pPr>
            <w:r>
              <w:t xml:space="preserve">Poor internet × cannot replace</w:t>
            </w:r>
          </w:p>
        </w:tc>
        <w:tc>
          <w:tcPr/>
          <w:p>
            <w:pPr>
              <w:pStyle w:val="Compact"/>
              <w:jc w:val="left"/>
            </w:pPr>
            <w:r>
              <w:t xml:space="preserve">8/10 vs 11/28; Fisher</w:t>
            </w:r>
            <w:r>
              <w:t xml:space="preserve"> </w:t>
            </w:r>
            <w:r>
              <w:rPr>
                <w:iCs/>
                <w:i/>
              </w:rPr>
              <w:t xml:space="preserve">p</w:t>
            </w:r>
            <w:r>
              <w:t xml:space="preserve"> </w:t>
            </w:r>
            <w:r>
              <w:t xml:space="preserve">= .062, φ = .36; OR = 6.18, 95% CI [1.10, 34.70]</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 ratios summarise the 2×2 counts in this sample; the intervals are too wide for population inference. The female × cannot-replace row and the learned-little × cannot-replace row have the same OR by coincidence (both tables are 17/10 versus 2/9); they are not the same test.</w:t>
      </w:r>
    </w:p>
    <w:bookmarkEnd w:id="37"/>
    <w:bookmarkStart w:id="38" w:name="could-online-chinese-replace-the-campus"/>
    <w:p>
      <w:pPr>
        <w:pStyle w:val="Heading3"/>
      </w:pPr>
      <w:r>
        <w:t xml:space="preserve">5.5 Could online Chinese replace the campus?</w:t>
      </w:r>
    </w:p>
    <w:p>
      <w:pPr>
        <w:pStyle w:val="FirstParagraph"/>
      </w:pPr>
      <w:r>
        <w:t xml:space="preserve">Nineteen of 38 said online study could replace campus classes and 19 said it could not. Among women, 9 of 11 said it cannot; among men, 10 of 27 said so (Fisher</w:t>
      </w:r>
      <w:r>
        <w:t xml:space="preserve"> </w:t>
      </w:r>
      <w:r>
        <w:rPr>
          <w:iCs/>
          <w:i/>
        </w:rPr>
        <w:t xml:space="preserve">p</w:t>
      </w:r>
      <w:r>
        <w:t xml:space="preserve"> </w:t>
      </w:r>
      <w:r>
        <w:t xml:space="preserve">= .029, φ = .41). Those who learned little or nothing more often said it cannot replace campus. Among those with poor internet, 8 of 10 said it cannot, versus 11 of 28 of the rest (</w:t>
      </w:r>
      <w:r>
        <w:rPr>
          <w:iCs/>
          <w:i/>
        </w:rPr>
        <w:t xml:space="preserve">p</w:t>
      </w:r>
      <w:r>
        <w:t xml:space="preserve"> </w:t>
      </w:r>
      <w:r>
        <w:t xml:space="preserve">= .062). Table 4 again prints odds ratios only as a compact summary of those counts.</w:t>
      </w:r>
    </w:p>
    <w:p>
      <w:pPr>
        <w:pStyle w:val="BodyText"/>
      </w:pPr>
      <w:r>
        <w:t xml:space="preserve">Mann-Whitney tests on the ordinals by gender were non-significant. The observed difference is not that women scored as having learned less. In this sample, women more often refused to treat online Chinese as a campus substitute. With 11 women, that pattern may indicate different perceptions of online legitimacy here; it does not establish that women experienced online learning differently, and it requires investigation with larger and more balanced samples.</w:t>
      </w:r>
    </w:p>
    <w:p>
      <w:pPr>
        <w:pStyle w:val="BodyText"/>
      </w:pPr>
      <w:r>
        <w:t xml:space="preserve">A second pattern sits beside that refusal: 19 of 27 men (70.4%) were working while studying, against 3 of 11 women (27.3%) (Fisher</w:t>
      </w:r>
      <w:r>
        <w:t xml:space="preserve"> </w:t>
      </w:r>
      <w:r>
        <w:rPr>
          <w:iCs/>
          <w:i/>
        </w:rPr>
        <w:t xml:space="preserve">p</w:t>
      </w:r>
      <w:r>
        <w:t xml:space="preserve"> </w:t>
      </w:r>
      <w:r>
        <w:t xml:space="preserve">= .028). Both counts are signals in a male-majority convenience sample, not a gender analysis of Pakistani households.</w:t>
      </w:r>
    </w:p>
    <w:bookmarkEnd w:id="38"/>
    <w:bookmarkStart w:id="39" w:name="sensitivity"/>
    <w:p>
      <w:pPr>
        <w:pStyle w:val="Heading3"/>
      </w:pPr>
      <w:r>
        <w:t xml:space="preserve">5.6 Sensitivity</w:t>
      </w:r>
    </w:p>
    <w:p>
      <w:pPr>
        <w:pStyle w:val="FirstParagraph"/>
      </w:pPr>
      <w:r>
        <w:t xml:space="preserve">Table 5 repeats the two focal tests. Among Pakistani respondents only (n = 37), unstable networks remained 75.7% and power cuts 43.2%; the home-stress association remained</w:t>
      </w:r>
      <w:r>
        <w:t xml:space="preserve"> </w:t>
      </w:r>
      <w:r>
        <w:rPr>
          <w:iCs/>
          <w:i/>
        </w:rPr>
        <w:t xml:space="preserve">p</w:t>
      </w:r>
      <w:r>
        <w:t xml:space="preserve"> </w:t>
      </w:r>
      <w:r>
        <w:t xml:space="preserve">&lt; .001 and speed × appraisal was ρ = .67. Among responses whose IP was not labelled mainland China (n = 29), the same figures were 75.9%, 41.4%,</w:t>
      </w:r>
      <w:r>
        <w:t xml:space="preserve"> </w:t>
      </w:r>
      <w:r>
        <w:rPr>
          <w:iCs/>
          <w:i/>
        </w:rPr>
        <w:t xml:space="preserve">p</w:t>
      </w:r>
      <w:r>
        <w:t xml:space="preserve"> </w:t>
      </w:r>
      <w:r>
        <w:t xml:space="preserve">&lt; .001, and ρ = .70. Restricting the sample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bookmarkEnd w:id="39"/>
    <w:bookmarkEnd w:id="40"/>
    <w:bookmarkStart w:id="45" w:name="discussion"/>
    <w:p>
      <w:pPr>
        <w:pStyle w:val="Heading2"/>
      </w:pPr>
      <w:r>
        <w:t xml:space="preserve">6. Discussion</w:t>
      </w:r>
    </w:p>
    <w:bookmarkStart w:id="41" w:name="X5cbd96f703fc6484380751f917fe651016c4bb6"/>
    <w:p>
      <w:pPr>
        <w:pStyle w:val="Heading3"/>
      </w:pPr>
      <w:r>
        <w:t xml:space="preserve">6.1 Localising delivery when the campus course leaves campus</w:t>
      </w:r>
    </w:p>
    <w:p>
      <w:pPr>
        <w:pStyle w:val="FirstParagraph"/>
      </w:pPr>
      <w:r>
        <w:t xml:space="preserve">The primary contribution is to ICLE localisation. Chinese-university language programmes imagine a campus: a dormitory, a classroom, extra-curricular Chinese, and an HSK calendar. Emergency remote teaching kept the assessment plan and removed the campus for those who were offshore. In this sample, 11 of 14 students who said the home affected study very much also reported very high stress, against 3 of 24 others. Very high stress at 36.8% is not only pandemic psychology. It is also what happens when a travelling oral curriculum meets an unstable connection and a lively room (cf. MacIntyre et al., 2020). That count, not a population odds ratio, is the pattern we take forward.</w:t>
      </w:r>
    </w:p>
    <w:p>
      <w:pPr>
        <w:pStyle w:val="BodyText"/>
      </w:pPr>
      <w:r>
        <w:t xml:space="preserve">The finding does not show that hybrid ICLE after the pandemic has already failed. It suggests that hybrid models</w:t>
      </w:r>
      <w:r>
        <w:t xml:space="preserve"> </w:t>
      </w:r>
      <w:r>
        <w:rPr>
          <w:iCs/>
          <w:i/>
        </w:rPr>
        <w:t xml:space="preserve">may</w:t>
      </w:r>
      <w:r>
        <w:t xml:space="preserve"> </w:t>
      </w:r>
      <w:r>
        <w:t xml:space="preserve">reproduce a similar misalignment when they keep campus assumptions about login, hour, and room without asking whether those conditions hold (Moorhouse et al., 2023; Stockwell &amp; Wang, 2023). Before later digital practices such as generative AI become relevant for this corridor (Darvin, 2025), the class has to open, the current has to hold, and the house has to allow a voice.</w:t>
      </w:r>
    </w:p>
    <w:bookmarkEnd w:id="41"/>
    <w:bookmarkStart w:id="42" w:name="X3acea38e0eaa813d07faf5a60d129f027ed62fe"/>
    <w:p>
      <w:pPr>
        <w:pStyle w:val="Heading3"/>
      </w:pPr>
      <w:r>
        <w:t xml:space="preserve">6.2 Sequence, speed, and the geography of the login</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problems does not. Campus platforms sit in another country from the applications that actually open. Training teachers in Chaoxing breakout rooms addresses a layer many of these students could not enter. For this corridor the earlier layers are household electricity and whether the campus login opens on the phone the student has.</w:t>
      </w:r>
    </w:p>
    <w:bookmarkEnd w:id="42"/>
    <w:bookmarkStart w:id="43" w:name="Xfb4e9e4a4a0df2e0979990e8bb4ab49ea6f2118"/>
    <w:p>
      <w:pPr>
        <w:pStyle w:val="Heading3"/>
      </w:pPr>
      <w:r>
        <w:t xml:space="preserve">6.3 Thin participation, read without an investment scale</w:t>
      </w:r>
    </w:p>
    <w:p>
      <w:pPr>
        <w:pStyle w:val="FirstParagraph"/>
      </w:pPr>
      <w:r>
        <w:t xml:space="preserve">The two-layer model already accounts for most of the results: power and speed shaped appraisal; campus logins often failed; the home was associated with very high stress. Thin teacher interaction (only 15.8%</w:t>
      </w:r>
      <w:r>
        <w:t xml:space="preserve"> </w:t>
      </w:r>
      <w:r>
        <w:t xml:space="preserve">“</w:t>
      </w:r>
      <w:r>
        <w:t xml:space="preserve">very much</w:t>
      </w:r>
      <w:r>
        <w:t xml:space="preserve">”</w:t>
      </w:r>
      <w:r>
        <w:t xml:space="preserve">) and the even split over whether online study counted as class are participation outcomes, not scores on identity or imagined return. Norton (2013) and Darvin and Norton (2023) offer one optional language for that refusal: a learner may still want Chinese and yet not treat a given class as worth the daily cost. We do not measure investment and we do not need that language to report the counts. Readers may treat this paragraph as optional. The observed gender difference on replacement is a perception of legitimacy in this sample (9 of 11 women; 10 of 27 men). It does not explain why, and it does not generalise to Pakistani women.</w:t>
      </w:r>
    </w:p>
    <w:bookmarkEnd w:id="43"/>
    <w:bookmarkStart w:id="44" w:name="X3f41d7067da38714b0f13e8cb605b5ccc918580"/>
    <w:p>
      <w:pPr>
        <w:pStyle w:val="Heading3"/>
      </w:pPr>
      <w:r>
        <w:t xml:space="preserve">6.4 What the localisation claim does and does not say</w:t>
      </w:r>
    </w:p>
    <w:p>
      <w:pPr>
        <w:pStyle w:val="FirstParagraph"/>
      </w:pPr>
      <w:r>
        <w:t xml:space="preserve">Localisation of content, materials, and curriculum construction (Zhao, 2020; Lu et al., 2024; Lam, 2024) remains necessary. Those questions belong in work on</w:t>
      </w:r>
      <w:r>
        <w:t xml:space="preserve"> </w:t>
      </w:r>
      <w:r>
        <w:rPr>
          <w:iCs/>
          <w:i/>
        </w:rPr>
        <w:t xml:space="preserve">HSK Standard Course</w:t>
      </w:r>
      <w:r>
        <w:t xml:space="preserve"> </w:t>
      </w:r>
      <w:r>
        <w:t xml:space="preserve">in Pakistani universities. They are not this paper. The present claim is only the fourth layer distinguished in Section 2.3: a culturally adapted lesson still fails, in this sample, if it is a synchronous oral hour delivered into load-shedding or onto an application that does not open.</w:t>
      </w:r>
    </w:p>
    <w:p>
      <w:pPr>
        <w:pStyle w:val="BodyText"/>
      </w:pPr>
      <w:r>
        <w:t xml:space="preserve">Based on these findings, possible design considerations include asynchronous oral alternatives that survive low bandwidth; progression decisions that do not assume a campus oral hour; prepaid data treated as a language-learning resource; timetables that name Beijing time when students sit in Pakistan; and a usable classroom defined by the application that opens. WhatsApp was marked available here; it was not recorded as used for class. These are considerations suggested by 38 respondents in one emergency, not established solutions for ICLE. The findings suggest that hybrid models</w:t>
      </w:r>
      <w:r>
        <w:t xml:space="preserve"> </w:t>
      </w:r>
      <w:r>
        <w:rPr>
          <w:iCs/>
          <w:i/>
        </w:rPr>
        <w:t xml:space="preserve">may</w:t>
      </w:r>
      <w:r>
        <w:t xml:space="preserve"> </w:t>
      </w:r>
      <w:r>
        <w:t xml:space="preserve">reproduce similar misalignments when delivery assumptions are not examined. They do not show that hybrid ICLE after the pandemic has already repeated the misfit.</w:t>
      </w:r>
    </w:p>
    <w:p>
      <w:pPr>
        <w:pStyle w:val="BodyText"/>
      </w:pPr>
      <w:r>
        <w:t xml:space="preserve">The same households send students to Confucius Institutes and to Chinese universities. Future work, not this file, would need to test whether institute teaching that assumes uninterrupted Zoom meets the same delivery problem. Localisation for Pakistani Chinese teachers would then include checks of power, devices, and mediation language as well as textbook adaptation.</w:t>
      </w:r>
    </w:p>
    <w:p>
      <w:pPr>
        <w:pStyle w:val="BodyText"/>
      </w:pPr>
      <w:r>
        <w:t xml:space="preserve">The sample is 71% male. Digital inequality in Pakistani households is gendered (Raza &amp; Hennessy, 2025), and a network sample will under-represent that pattern. The data cannot show how women lived the noisy home, the power cut, or the blocked Chaoxing login. Future work should oversample Pakistani women, compare home learners enrolled in China with Confucius Institute learners in the same cities, and follow oral and written skill with tasks. How</w:t>
      </w:r>
      <w:r>
        <w:t xml:space="preserve"> </w:t>
      </w:r>
      <w:r>
        <w:rPr>
          <w:iCs/>
          <w:i/>
        </w:rPr>
        <w:t xml:space="preserve">HSK Standard Course</w:t>
      </w:r>
      <w:r>
        <w:t xml:space="preserve"> </w:t>
      </w:r>
      <w:r>
        <w:t xml:space="preserve">is used in Pakistani universities is a different paper.</w:t>
      </w:r>
    </w:p>
    <w:bookmarkEnd w:id="44"/>
    <w:bookmarkEnd w:id="45"/>
    <w:bookmarkStart w:id="46" w:name="limitations"/>
    <w:p>
      <w:pPr>
        <w:pStyle w:val="Heading2"/>
      </w:pPr>
      <w:r>
        <w:t xml:space="preserve">7. Limitations</w:t>
      </w:r>
    </w:p>
    <w:p>
      <w:pPr>
        <w:pStyle w:val="FirstParagraph"/>
      </w:pPr>
      <w:r>
        <w:t xml:space="preserve">The sample is small (N = 38). Associations are exploratory counts and exact tests in this network; they do not support population odds ratios or a confirmatory family of tests. It is a male-majority convenience sample of phone users, with nine responses labelled mainland China. Sensitivity analyses on n = 37 and n = 29 do not remove that limit. All outcomes are self-report; there are no HSK scores or oral tasks, and</w:t>
      </w:r>
      <w:r>
        <w:t xml:space="preserve"> </w:t>
      </w:r>
      <w:r>
        <w:t xml:space="preserve">“</w:t>
      </w:r>
      <w:r>
        <w:t xml:space="preserve">advanced</w:t>
      </w:r>
      <w:r>
        <w:t xml:space="preserve">”</w:t>
      </w:r>
      <w:r>
        <w:t xml:space="preserve"> </w:t>
      </w:r>
      <w:r>
        <w:t xml:space="preserve">is a self-rating. The three-item appraisal is a convenience composite, not a validated scale. Chinese-medium items with non-native wording may have been understood unevenly. The questionnaire does not name the host university, textbook, or award type. Investment was not measured. The 2022 collection has no institutional ethics number; that gap is explained in Section 4.5. The transferable claim is a suggestion about delivery-context fit in ICLE localisation, not a theory of the pandemic and not a programme of textbook localisation.</w:t>
      </w:r>
    </w:p>
    <w:bookmarkEnd w:id="46"/>
    <w:bookmarkStart w:id="47" w:name="conclusion"/>
    <w:p>
      <w:pPr>
        <w:pStyle w:val="Heading2"/>
      </w:pPr>
      <w:r>
        <w:t xml:space="preserve">8. Conclusion</w:t>
      </w:r>
    </w:p>
    <w:p>
      <w:pPr>
        <w:pStyle w:val="FirstParagraph"/>
      </w:pPr>
      <w:r>
        <w:t xml:space="preserve">This article has made one argument: ICLE localisation has to include delivery-context fit, not only content adaptation. Emergency remote teaching was the context in which that second layer became visible for Pakistani students of Chinese-university language courses. In this exploratory sample, many homes were asked to carry a campus oral hour without a quiet room, stable power, or a login that matched the campus system. Participation looked like thin interaction, mixed learning appraisal, and an even split over whether this counted as class. Women in the sample more often refused that count; that pattern needs a larger and more balanced study. If localisation is to mean more than textbook adaptation, these data suggest that it has, on this corridor, to include the house and the application that actually opens. That suggestion is bounded by N = 38. It is offered as a direction for ICLE, not as a finished theory.</w:t>
      </w:r>
    </w:p>
    <w:bookmarkEnd w:id="47"/>
    <w:bookmarkStart w:id="48"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(2005).</w:t>
      </w:r>
      <w:r>
        <w:t xml:space="preserve"> </w:t>
      </w:r>
      <w:r>
        <w:rPr>
          <w:iCs/>
          <w:i/>
        </w:rPr>
        <w:t xml:space="preserve">Reclaiming the local in language policy and practice</w:t>
      </w:r>
      <w:r>
        <w:t xml:space="preserve">. Lawrence Erlbaum.</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8"/>
    <w:bookmarkEnd w:id="4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2026-08-23T05:46:32Z</dcterms:created>
  <dcterms:modified xsi:type="dcterms:W3CDTF">2026-08-23T05:46:32Z</dcterms:modified>
</cp:coreProperties>
</file>

<file path=docProps/custom.xml><?xml version="1.0" encoding="utf-8"?>
<Properties xmlns="http://schemas.openxmlformats.org/officeDocument/2006/custom-properties" xmlns:vt="http://schemas.openxmlformats.org/officeDocument/2006/docPropsVTypes"/>
</file>