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The problem is this: when language teaching is moved online, the course often keeps the hours, platforms, and classroom tasks of the original class (Gacs et al., 2020; Hodges et al., 2020; Stockwell &amp; Wang, 2023). Research on online language teaching, and on online international Chinese teaching, has already shown that those arrangements can fail where networks are unstable, platforms are hard to use, interaction thins out, or learners are under strain (Li &amp; Li, 2024; Moser et al., 2021; Tao &amp; Gao, 2022). Studies of household and university e-learning in Pakistan have likewise documented uneven internet access, device sharing, and electricity interruptions (Jamil &amp; Muschert, 2023; Raza &amp; Hennessy, 2025). Owning a device is not the same as being able to take part (Ali, 2020; Warschauer, 2003). If household power, network speed, or platform access does not support the required class, the content may remain appropriate while the class is closed. That is a delivery problem, not a content problem. This article examines that problem.</w:t>
      </w:r>
    </w:p>
    <w:p>
      <w:pPr>
        <w:pStyle w:val="BodyText"/>
      </w:pPr>
      <w:r>
        <w:t xml:space="preserve">The field has already described how that problem appears: uneven network conditions, platforms that are hard to operate, thinner classroom interaction, and unstable learner affect (Li &amp; Li, 2024; Tao &amp; Gao, 2022; Zhang et al., 2020). The purpose of the article is to describe those learner-side conditions in this sample, and to examine how they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t xml:space="preserve">The questionnaire cannot show how institutions adapted time, platform, task, participation mode, or assessment. It can show the learner-side conditions of household infrastructure and platform access, and how those conditions sat alongside stress and appraisals of online learning.</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2026-08-23T10:37:23Z</dcterms:created>
  <dcterms:modified xsi:type="dcterms:W3CDTF">2026-08-23T10:37:23Z</dcterms:modified>
</cp:coreProperties>
</file>

<file path=docProps/custom.xml><?xml version="1.0" encoding="utf-8"?>
<Properties xmlns="http://schemas.openxmlformats.org/officeDocument/2006/custom-properties" xmlns:vt="http://schemas.openxmlformats.org/officeDocument/2006/docPropsVTypes"/>
</file>