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38 self-selected respondents reporting online Chinese-language courses experienced emergency remote teaching. Thirty-seven selected Pakistani nationality.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Adults completed a Chinese-language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international Chinese language education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A substantial body of research in international Chinese language education has examined learners and pedagogical practices associated with Chinese-speaking educational settings (Gong et al., 2020b; Ma et al., 2017). When a curriculum is transferred across settings, a prominent strand of localisation research has focused on the adaptation of teaching materials and cultural content (Lu et al., 2024; McDonough &amp; Shaw, 2003; Tomlinson, 2011; Zhao, 2020). Postmethod and localist scholarship argues that pedagogy should respond to a particular learner group and setting (Canagarajah, 2005; Kumaravadivelu, 2001). Recent articles in this journal frame curriculum as lived practice and examine how literacy practices are adapted to local classrooms (Lam, 2024; Shan &amp; Xu, 2024). These approaches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Emergency remote teaching during COVID-19 provides the historical setting in which that mismatch became visible, but it is not the theoretical centre of the argument (Hodges et al., 2020). Studies of language programmes shifted to videoconferencing reported thinner interaction, technical disruption, and the increased visibility of domestic conditions during lessons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 course originally designed for one institutional setting but delivered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learners taking online Chinese-language courses under different household and technological conditions.</w:t>
      </w:r>
    </w:p>
    <w:p>
      <w:pPr>
        <w:pStyle w:val="BodyText"/>
      </w:pPr>
      <w:r>
        <w:t xml:space="preserve">A prominent strand of research on international students of Chinese has examined learners already on a Chinese campus (Gao &amp; Hua, 2021; Gong et al., 2020a). The analysis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The study does not directly measure institutional localisation practices; instead, it identifies learner-side conditions and experiences that such practices would need to address.</w:t>
      </w:r>
    </w:p>
    <w:p>
      <w:pPr>
        <w:pStyle w:val="BodyText"/>
      </w:pPr>
      <w:r>
        <w:t xml:space="preserve">The questionnaire captured elements of respondents’ immediate learning ecologies, including domestic space, connectivity, and conditions for oral participation (van Lier, 2004; Warschauer, 2003). This study examines the relationships observed in the February 2022 convenience sample between household infrastructure, reported platform access, stress, respondents’ appraisals of online learning, and their judgements of whether online Chinese-language courses could replace campus-based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Data are summarised using counts, while associations are explored using Fisher’s exact tests and Spearman rank correlations. Given the exploratory convenience sample, the results are not interpreted as confirmatory tests of population-level relationships.</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those reported conditions are described as elements of respondents’ immediate learning ecologies: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examines how literacy practices are adapted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et al. (2020b) review ICLE in mainland China for 2014–2018 and are cited for that pre-pandemic field map, not as post-COVID evidence. Gao and Hua (2021) and Gong et al. (2020a)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Chinese-language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Chinese-language questionnaire about online Chinese learning. Completion of the questionnaire is not treated as proof of enrolment in a Chinese university. The questionnaire did not ask host university, city of residence that week, degree versus non-degree status, or scholarship type. Two items asked whether required courses and electives were online: 27 respondents (71.1%) reported taking required courses online, while 23 (60.5%) reported taking elective courses online. Those reports do not identify a named programme. The study therefore concerns a self-selected group of respondents reporting participation in online Chinese-language courses,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Thirty-seven of 38 selected Pakistani nationality. That item is the only Pakistan connection in the dataset.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respondents reporting online Chinese-language courses, reported household infrastructure and platform access co-occurred with very high stress and with more negative appraisals of online learning.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2026-08-23T09:50:19Z</dcterms:created>
  <dcterms:modified xsi:type="dcterms:W3CDTF">2026-08-23T09:50:19Z</dcterms:modified>
</cp:coreProperties>
</file>

<file path=docProps/custom.xml><?xml version="1.0" encoding="utf-8"?>
<Properties xmlns="http://schemas.openxmlformats.org/officeDocument/2006/custom-properties" xmlns:vt="http://schemas.openxmlformats.org/officeDocument/2006/docPropsVTypes"/>
</file>