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98bc7e0e5302306ce1fc1a297b6ba6e6c57c4e4"/>
    <w:p>
      <w:pPr>
        <w:pStyle w:val="Heading1"/>
      </w:pPr>
      <w:r>
        <w:t xml:space="preserve">Mainly Pakistani respondents reporting online Chinese coursework: household infrastructure and platform access during emergency remote teaching</w:t>
      </w:r>
    </w:p>
    <w:p>
      <w:pPr>
        <w:pStyle w:val="FirstParagraph"/>
      </w:pPr>
      <w:r>
        <w:rPr>
          <w:bCs/>
          <w:b/>
        </w:rPr>
        <w:t xml:space="preserve">Short title:</w:t>
      </w:r>
      <w:r>
        <w:t xml:space="preserve"> </w:t>
      </w:r>
      <w:r>
        <w:t xml:space="preserve">Remote Chinese: delivery-context fit</w:t>
      </w:r>
    </w:p>
    <w:bookmarkStart w:id="20" w:name="abstract"/>
    <w:p>
      <w:pPr>
        <w:pStyle w:val="Heading2"/>
      </w:pPr>
      <w:r>
        <w:t xml:space="preserve">Abstract</w:t>
      </w:r>
    </w:p>
    <w:p>
      <w:pPr>
        <w:pStyle w:val="FirstParagraph"/>
      </w:pPr>
      <w:r>
        <w:t xml:space="preserve">This exploratory questionnaire study examines how 38 self-selected respondents reporting online Chinese-language courses experienced emergency remote teaching. Thirty-seven selected Pakistani nationality. It proposes</w:t>
      </w:r>
      <w:r>
        <w:t xml:space="preserve"> </w:t>
      </w:r>
      <w:r>
        <w:rPr>
          <w:iCs/>
          <w:i/>
        </w:rPr>
        <w:t xml:space="preserve">localisation of delivery</w:t>
      </w:r>
      <w:r>
        <w:t xml:space="preserve">: institutional adaptation of time, platform, task, participation mode, and assessment to the receiving context. The study does not measure institutional localisation practices; it identifies learner-side conditions that such practices would need to address. Adults completed a Chinese-language Wenjuan questionnaire in February 2022. Unstable networks (76.3%) and power interruptions (42.1%) were commonly reported, while 36.8% reported very high stress. Respondents who reported that home conditions affected study</w:t>
      </w:r>
      <w:r>
        <w:t xml:space="preserve"> </w:t>
      </w:r>
      <w:r>
        <w:t xml:space="preserve">“</w:t>
      </w:r>
      <w:r>
        <w:t xml:space="preserve">very much</w:t>
      </w:r>
      <w:r>
        <w:t xml:space="preserve">”</w:t>
      </w:r>
      <w:r>
        <w:t xml:space="preserve"> </w:t>
      </w:r>
      <w:r>
        <w:t xml:space="preserve">more often reported very high stress (11/14 versus 3/24; Fisher’s exact (p = .00008)). Worse reported internet speed was associated with a more negative appraisal of online learning ((</w:t>
      </w:r>
      <w:r>
        <w:t xml:space="preserve">= .65), 95% bootstrap CI ([.36, .84])). Respondents also reported uneven platform access, with QQ and Chaoxing frequently marked unusable and Zoom and WhatsApp more often marked available. The findings suggest that international Chinese language education (ICLE) localisation may need to address delivery-context fit alongside content and materials adaptation. Given the small 2022 convenience sample, the findings are exploratory and do not represent current hybrid practice.</w:t>
      </w:r>
    </w:p>
    <w:p>
      <w:pPr>
        <w:pStyle w:val="BodyText"/>
      </w:pPr>
      <w:r>
        <w:rPr>
          <w:bCs/>
          <w:b/>
        </w:rPr>
        <w:t xml:space="preserve">Keywords:</w:t>
      </w:r>
      <w:r>
        <w:t xml:space="preserve"> </w:t>
      </w:r>
      <w:r>
        <w:t xml:space="preserve">localisation of delivery; Chinese as an additional language; digital inequality; emergency remote teaching; Pakistan; household infrastructure</w:t>
      </w:r>
    </w:p>
    <w:bookmarkEnd w:id="20"/>
    <w:bookmarkStart w:id="21" w:name="introduction"/>
    <w:p>
      <w:pPr>
        <w:pStyle w:val="Heading2"/>
      </w:pPr>
      <w:r>
        <w:t xml:space="preserve">1. Introduction</w:t>
      </w:r>
    </w:p>
    <w:p>
      <w:pPr>
        <w:pStyle w:val="FirstParagraph"/>
      </w:pPr>
      <w:r>
        <w:t xml:space="preserve">A substantial body of research in international Chinese language education has examined learners and pedagogical practices associated with Chinese-speaking educational settings (Gong et al., 2020b; Ma et al., 2017). When a curriculum is transferred across settings, a prominent strand of localisation research has focused on the adaptation of teaching materials and cultural content (Lu et al., 2024; McDonough &amp; Shaw, 2003; Tomlinson, 2011; Zhao, 2020). Postmethod and localist scholarship argues that pedagogy should respond to a particular learner group and setting (Canagarajah, 2005; Kumaravadivelu, 2001). Recent articles in this journal frame curriculum as lived practice and examine how literacy practices are adapted to local classrooms (Lam, 2024; Shan &amp; Xu, 2024). These approaches remain necessary. They do not settle what happens when the institutional arrangements of the course also move across settings: its timetable, required platforms, tasks, participation mode, and assessment.</w:t>
      </w:r>
    </w:p>
    <w:p>
      <w:pPr>
        <w:pStyle w:val="BodyText"/>
      </w:pPr>
      <w:r>
        <w:t xml:space="preserve">If the significance of materials lies in their situated use rather than solely in their printed content (Guerrettaz et al., 2021), localisation must extend beyond the page to the conditions under which teaching is delivered. This paper proposes</w:t>
      </w:r>
      <w:r>
        <w:t xml:space="preserve"> </w:t>
      </w:r>
      <w:r>
        <w:rPr>
          <w:iCs/>
          <w:i/>
        </w:rPr>
        <w:t xml:space="preserve">localisation of delivery</w:t>
      </w:r>
      <w:r>
        <w:t xml:space="preserve">: the institutional adaptation of time, platform, task, participation mode, and assessment to the receiving context. Localisation of delivery does not replace the concepts of accessibility or digital inclusion (Warschauer, 2003). It draws attention specifically to the institutional decisions through which access is enabled or constrained when a course moves across settings. A course may be locally relevant in content but inaccessible in delivery.</w:t>
      </w:r>
    </w:p>
    <w:p>
      <w:pPr>
        <w:pStyle w:val="BodyText"/>
      </w:pPr>
      <w:r>
        <w:t xml:space="preserve">Emergency remote teaching during COVID-19 provides the historical setting in which that mismatch became visible, but it is not the theoretical centre of the argument (Hodges et al., 2020). Studies of language programmes shifted to videoconferencing reported thinner interaction, technical disruption, and the increased visibility of domestic conditions during lessons (Gacs et al., 2020; MacIntyre et al., 2020; Moser et al., 2021; Tao &amp; Gao, 2022). Drawing on research concerning emergency remote language teaching (Gacs et al., 2020), this paper uses</w:t>
      </w:r>
      <w:r>
        <w:t xml:space="preserve"> </w:t>
      </w:r>
      <w:r>
        <w:rPr>
          <w:iCs/>
          <w:i/>
        </w:rPr>
        <w:t xml:space="preserve">travelling course</w:t>
      </w:r>
      <w:r>
        <w:t xml:space="preserve"> </w:t>
      </w:r>
      <w:r>
        <w:t xml:space="preserve">to describe a course originally designed for one institutional setting but delivered in another. The studies of Chinese-language emergency teaching reviewed here primarily concern pedagogical adaptation on the sending side, for example technology-based character instruction (Xu et al., 2022). Comparatively less attention has been given to whether delivery arrangements remained feasible for learners taking online Chinese-language courses under different household and technological conditions.</w:t>
      </w:r>
    </w:p>
    <w:p>
      <w:pPr>
        <w:pStyle w:val="BodyText"/>
      </w:pPr>
      <w:r>
        <w:t xml:space="preserve">A prominent strand of research on international students of Chinese has examined learners already on a Chinese campus (Gao &amp; Hua, 2021; Gong et al., 2020a). The analysis draws on a February 2022 convenience sample of 38 self-selected respondents to a Chinese-language questionnaire about online Chinese learning. Thirty-seven respondents selected Pakistani nationality, while one selected another nationality. Nationality is the only Pakistan connection established in the dataset; residence, recruitment pathway, institutional affiliation, programme status, and physical location were not verified. Literature on Pakistani educational mobility and university e-learning during COVID-19 is therefore used only as contextual background for the nationality reported by most respondents (Jamil &amp; Muschert, 2023; Tu, 2026). Twenty-seven respondents (71.1%) reported taking required courses online, while 23 (60.5%) reported taking elective courses online. The findings from this self-selected group are treated as exploratory rather than representative. The study does not directly measure institutional localisation practices; instead, it identifies learner-side conditions and experiences that such practices would need to address.</w:t>
      </w:r>
    </w:p>
    <w:p>
      <w:pPr>
        <w:pStyle w:val="BodyText"/>
      </w:pPr>
      <w:r>
        <w:t xml:space="preserve">The questionnaire captured elements of respondents’ immediate learning ecologies, including domestic space, connectivity, and conditions for oral participation (van Lier, 2004; Warschauer, 2003). This study examines the relationships observed in the February 2022 convenience sample between household infrastructure, reported platform access, stress, respondents’ appraisals of online learning, and their judgements of whether online Chinese-language courses could replace campus-based classes.</w:t>
      </w:r>
    </w:p>
    <w:p>
      <w:pPr>
        <w:pStyle w:val="BodyText"/>
      </w:pPr>
      <w:r>
        <w:t xml:space="preserve">Three questions guide the analysis:</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were reported household and connectivity conditions associated with selecting</w:t>
      </w:r>
      <w:r>
        <w:t xml:space="preserve"> </w:t>
      </w:r>
      <w:r>
        <w:t xml:space="preserve">“</w:t>
      </w:r>
      <w:r>
        <w:t xml:space="preserve">very high stress</w:t>
      </w:r>
      <w:r>
        <w:t xml:space="preserve">”</w:t>
      </w:r>
      <w:r>
        <w:t xml:space="preserve"> </w:t>
      </w:r>
      <w:r>
        <w:t xml:space="preserve">and with respondents’ appraisals of online learning?</w:t>
      </w:r>
    </w:p>
    <w:p>
      <w:pPr>
        <w:numPr>
          <w:ilvl w:val="0"/>
          <w:numId w:val="1001"/>
        </w:numPr>
        <w:pStyle w:val="Compact"/>
      </w:pPr>
      <w:r>
        <w:t xml:space="preserve">How did respondents judge whether online Chinese-language courses could replace campus-based classes?</w:t>
      </w:r>
    </w:p>
    <w:p>
      <w:pPr>
        <w:pStyle w:val="FirstParagraph"/>
      </w:pPr>
      <w:r>
        <w:t xml:space="preserve">Data are summarised using counts, while associations are explored using Fisher’s exact tests and Spearman rank correlations. Given the exploratory convenience sample, the results are not interpreted as confirmatory tests of population-level relationships.</w:t>
      </w:r>
    </w:p>
    <w:bookmarkEnd w:id="21"/>
    <w:bookmarkStart w:id="26" w:name="literature-and-framework"/>
    <w:p>
      <w:pPr>
        <w:pStyle w:val="Heading2"/>
      </w:pPr>
      <w:r>
        <w:t xml:space="preserve">2. Literature and framework</w:t>
      </w:r>
    </w:p>
    <w:bookmarkStart w:id="22" w:name="X466d9fa4ba9675c3d2d096fe48fd97f00c4a10c"/>
    <w:p>
      <w:pPr>
        <w:pStyle w:val="Heading3"/>
      </w:pPr>
      <w:r>
        <w:t xml:space="preserve">2.1 Emergency remote teaching as historical context</w:t>
      </w:r>
    </w:p>
    <w:p>
      <w:pPr>
        <w:pStyle w:val="FirstParagraph"/>
      </w:pPr>
      <w:r>
        <w:t xml:space="preserve">Hodges et al. (2020) distinguished emergency remote teaching from planned online or blended courses. Gacs, Goertler and Spasova (2020) applied that distinction to languages. Empirical surveys of language educators report increased workload, stress, and uneven preparedness when instruction moved online (MacIntyre et al., 2020; Moser et al., 2021). Tao and Gao (2022) synthesise the wider online-language literature as a problem of technical disruption, thinner engagement, and the need for language-specific support. Those studies are cited as emergency-teaching context, not as direct evidence of student stress in the present dataset.</w:t>
      </w:r>
    </w:p>
    <w:p>
      <w:pPr>
        <w:pStyle w:val="BodyText"/>
      </w:pPr>
      <w:r>
        <w:t xml:space="preserve">Later work described technological normalisation after the return to campus (Moorhouse, 2023; Moorhouse, Wong, &amp; Li, 2023) and warned that copying face-to-face teaching on videoconferencing was a limited lesson from the crisis (Stockwell &amp; Wang, 2023). For Chinese, contemporaneous papers documented</w:t>
      </w:r>
      <w:r>
        <w:t xml:space="preserve"> </w:t>
      </w:r>
      <w:r>
        <w:t xml:space="preserve">“</w:t>
      </w:r>
      <w:r>
        <w:t xml:space="preserve">suspending classes without stopping learning</w:t>
      </w:r>
      <w:r>
        <w:t xml:space="preserve">”</w:t>
      </w:r>
      <w:r>
        <w:t xml:space="preserve"> </w:t>
      </w:r>
      <w:r>
        <w:t xml:space="preserve">and platform trials (Zhang et al., 2020; Xia et al., 2022). Xu et al. (2022) show that Chinese-character teaching during emergency remote instruction was adapted on the sending side. A later review of online ICLE teaching models still lists technical issues, weak interaction, and time-zone problems (Li &amp; Li, 2024). Learner emotion in Chinese as an additional language is already studied in this journal (Wen &amp; Liu, 2025). Much of that literature assumes a relatively stable connection. This exploratory questionnaire cannot test whether that assumption holds for current hybrid ICLE. It can describe what 38 respondents reported in February 2022.</w:t>
      </w:r>
    </w:p>
    <w:bookmarkEnd w:id="22"/>
    <w:bookmarkStart w:id="23" w:name="X2a1706acb855f9b47e20bf43e0bff03a0be2114"/>
    <w:p>
      <w:pPr>
        <w:pStyle w:val="Heading3"/>
      </w:pPr>
      <w:r>
        <w:t xml:space="preserve">2.2 Digital inequality and home learning ecology</w:t>
      </w:r>
    </w:p>
    <w:p>
      <w:pPr>
        <w:pStyle w:val="FirstParagraph"/>
      </w:pPr>
      <w:r>
        <w:t xml:space="preserve">Later digital-divide models describe a sequence of motivational, material, skills, usage, and outcome access (van Dijk, 2020; Helsper, 2021; Warschauer, 2003). Device ownership is not the same as taking part (Ali, 2020). In Pakistani higher education during COVID-19, interview evidence shows that first-level access (internet, devices) and second-level skills were uneven, and that rural and less-resourced students were more exposed (Jamil &amp; Muschert, 2023). Household use of educational technology is also structured by device sharing, care work, and electricity (Raza &amp; Hennessy, 2025). The EdTech Hub report is grey literature. Neither source is treated as a finding about the present 38 respondents.</w:t>
      </w:r>
    </w:p>
    <w:p>
      <w:pPr>
        <w:pStyle w:val="BodyText"/>
      </w:pPr>
      <w:r>
        <w:t xml:space="preserve">Ecological views of language education take the setting of the class, not only the student plus the application, as the unit of analysis (van Lier, 2004; Guerrettaz et al., 2021). In this paper those reported conditions are described as elements of respondents’ immediate learning ecologies: domestic space, paid or care work, and the conditions of oral participation. Electricity interruptions, applications marked unusable, and weak bandwidth are treated as material and infrastructural conditions, not as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meant personalising content so that it speaks to a particular group (McDonough &amp; Shaw, 2003; Tomlinson, 2011). Canagarajah (2005) and Kumaravadivelu (2001) locate pedagogy in a specific group and place. China’s promotion of Chinese has long been tied to institutes, textbooks, and tests (Zhao &amp; Huang, 2010). ICLE studies have applied localisation to curriculum construction and textbook adaptation (Zhao, 2020; Lu et al., 2024). Lam (2024) examines how literacy practices are adapted to a local university classroom. Guerrettaz et al. (2021) extend materials from the page to use. If the significance of materials lies in situated use, localisation must also consider whether learners can access and participate in the class as delivered.</w:t>
      </w:r>
    </w:p>
    <w:p>
      <w:pPr>
        <w:pStyle w:val="BodyText"/>
      </w:pPr>
      <w:r>
        <w:t xml:space="preserve">Four layers can be distinguished:</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The analysis addresses only the fourth layer. Localisation of delivery does not replace the concepts of accessibility or digital inclusion. It draws attention specifically to the institutional decisions through which access is enabled or constrained when a course moves across settings: changing the synchronous class session, the required application, the oral task, or the assessment so that the travelling course can be used where learners participate. The questionnaire did not observe institutions adapting. It recorded learner-side conditions and reported experiences that such practices would need to address.</w:t>
      </w:r>
    </w:p>
    <w:p>
      <w:pPr>
        <w:pStyle w:val="BodyText"/>
      </w:pPr>
      <w:r>
        <w:rPr>
          <w:bCs/>
          <w:b/>
        </w:rPr>
        <w:t xml:space="preserve">Proposition.</w:t>
      </w:r>
      <w:r>
        <w:t xml:space="preserve"> </w:t>
      </w:r>
      <w:r>
        <w:t xml:space="preserve">A course may be locally relevant in content but inaccessible in delivery. It is localised in delivery only when its required time, platform, participation mode, task design, and assessment are feasible in the setting where learners participate.</w:t>
      </w:r>
    </w:p>
    <w:p>
      <w:pPr>
        <w:pStyle w:val="BodyText"/>
      </w:pPr>
      <w:r>
        <w:t xml:space="preserve">Gong et al. (2020b) review ICLE in mainland China for 2014–2018 and are cited for that pre-pandemic field map, not as post-COVID evidence. Gao and Hua (2021) and Gong et al. (2020a) document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present respondents completed a Chinese-language questionnaire about online Chinese classes. They were not a Confucius Institute classroom sample.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a reading model, not a tested path. Household infrastructure and reported platform access are concurrent conditions of a travelling course. They are described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3" w:name="the-study"/>
    <w:p>
      <w:pPr>
        <w:pStyle w:val="Heading2"/>
      </w:pPr>
      <w:r>
        <w:t xml:space="preserve">3. The study</w:t>
      </w:r>
    </w:p>
    <w:bookmarkStart w:id="27" w:name="design"/>
    <w:p>
      <w:pPr>
        <w:pStyle w:val="Heading3"/>
      </w:pPr>
      <w:r>
        <w:t xml:space="preserve">3.1 Design</w:t>
      </w:r>
    </w:p>
    <w:p>
      <w:pPr>
        <w:pStyle w:val="FirstParagraph"/>
      </w:pPr>
      <w:r>
        <w:t xml:space="preserve">The study is an exploratory, cross-sectional questionnaire. It does not test a pre-registered confirmatory model. The instrument title on the Wenjuan export is 新冠肺炎期间留学生在线中文学习的影响因素 (Influencing factors in international students’ online Chinese learning during COVID-19). Complete cases were submitted between 5 and 8 February 2022 (N = 38).</w:t>
      </w:r>
    </w:p>
    <w:bookmarkEnd w:id="27"/>
    <w:bookmarkStart w:id="28" w:name="recruitment-and-eligibility"/>
    <w:p>
      <w:pPr>
        <w:pStyle w:val="Heading3"/>
      </w:pPr>
      <w:r>
        <w:t xml:space="preserve">3.2 Recruitment and eligibility</w:t>
      </w:r>
    </w:p>
    <w:p>
      <w:pPr>
        <w:pStyle w:val="FirstParagraph"/>
      </w:pPr>
      <w:r>
        <w:t xml:space="preserve">The dataset is a convenience sample. The form did not record how the link was distributed (for example WeChat, WhatsApp, email, or student groups). The research team therefore cannot name the recruitment channel. Respondents were adults who completed the Chinese-language questionnaire about online Chinese learning. Completion of the questionnaire is not treated as proof of enrolment in a Chinese university. The questionnaire did not ask host university, city of residence that week, degree versus non-degree status, or scholarship type. Two items asked whether required courses and electives were online: 27 respondents (71.1%) reported taking required courses online, while 23 (60.5%) reported taking elective courses online. Those reports do not identify a named programme. The study therefore concerns a self-selected group of respondents reporting participation in online Chinese-language courses, not verified enrolment records.</w:t>
      </w:r>
    </w:p>
    <w:bookmarkEnd w:id="28"/>
    <w:bookmarkStart w:id="29" w:name="participants"/>
    <w:p>
      <w:pPr>
        <w:pStyle w:val="Heading3"/>
      </w:pPr>
      <w:r>
        <w:t xml:space="preserve">3.3 Participants</w:t>
      </w:r>
    </w:p>
    <w:p>
      <w:pPr>
        <w:pStyle w:val="FirstParagraph"/>
      </w:pPr>
      <w:r>
        <w:t xml:space="preserve">Of 38 respondents, 27 were men (71.1%) and 11 women (28.9%). Thirty-seven selected Pakistani nationality and one selected another nationality. Self-rated Chinese level was mostly advanced (22, 57.9%) or intermediate (15, 39.5%); one beginner. That label is the student’s own, not an HSK band. Years of learning Chinese clustered at three to four years (26, 68.4%). Wenjuan submission metadata classified the operating system as iPhone (24, 63.2%) or Android (14). That variable is the device used to submit the form, not a survey item about all devices used for class.</w:t>
      </w:r>
    </w:p>
    <w:p>
      <w:pPr>
        <w:pStyle w:val="BodyText"/>
      </w:pPr>
      <w:r>
        <w:t xml:space="preserve">Wenjuan automatically recorded an IP-province field. The research team coded a dummy when that field was a mainland China province name (9 of 38). IP labels are technical metadata. They can be affected by virtual private networks and proxies and are not a reliable measure of physical location. They are not used as a participant-location variable and are not the basis of a sensitivity analysis. The dummy, submission dates, and device identifiers are not included in the public dataset.</w:t>
      </w:r>
    </w:p>
    <w:p>
      <w:pPr>
        <w:pStyle w:val="BodyText"/>
      </w:pPr>
      <w:r>
        <w:t xml:space="preserve">The sample is described as a self-selected group of respondents reporting participation in online Chinese-language courses. Thirty-seven of 38 selected Pakistani nationality. That item is the only Pakistan connection in the dataset. The group is not described as verified Chinese-university enrolment, as Pakistan-resident learners, as CSC students, or as a national sample.</w:t>
      </w:r>
    </w:p>
    <w:bookmarkEnd w:id="29"/>
    <w:bookmarkStart w:id="30" w:name="instrument-and-coding"/>
    <w:p>
      <w:pPr>
        <w:pStyle w:val="Heading3"/>
      </w:pPr>
      <w:r>
        <w:t xml:space="preserve">3.4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proficiency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They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The introduction’s references to load-shedding are contextual. In results we report the item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30"/>
    <w:bookmarkStart w:id="31" w:name="analysis"/>
    <w:p>
      <w:pPr>
        <w:pStyle w:val="Heading3"/>
      </w:pPr>
      <w:r>
        <w:t xml:space="preserve">3.5 Analysis</w:t>
      </w:r>
    </w:p>
    <w:p>
      <w:pPr>
        <w:pStyle w:val="FirstParagraph"/>
      </w:pPr>
      <w:r>
        <w:t xml:space="preserve">Frequencies are n/38 unless noted. Multiple-response items are the percentage who selected the option. Two associations were treated as focal: (a) home affects study very much × very high stress; (b) internet speed × the appraisal index. For the 2×2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1"/>
    <w:bookmarkStart w:id="32" w:name="ethics-and-data-protection"/>
    <w:p>
      <w:pPr>
        <w:pStyle w:val="Heading3"/>
      </w:pPr>
      <w:r>
        <w:t xml:space="preserve">3.6 Ethics and data protection</w:t>
      </w:r>
    </w:p>
    <w:p>
      <w:pPr>
        <w:pStyle w:val="FirstParagraph"/>
      </w:pPr>
      <w:r>
        <w:t xml:space="preserve">Adult respondents completed an online form presented as research on online Chinese learning. The form stated that answers would be used for research.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numbered approval was not obtained. This paper reports an anonymised secondary analysis of that file.</w:t>
      </w:r>
    </w:p>
    <w:bookmarkEnd w:id="32"/>
    <w:bookmarkEnd w:id="33"/>
    <w:bookmarkStart w:id="38" w:name="results"/>
    <w:p>
      <w:pPr>
        <w:pStyle w:val="Heading2"/>
      </w:pPr>
      <w:r>
        <w:t xml:space="preserve">4. Results</w:t>
      </w:r>
    </w:p>
    <w:bookmarkStart w:id="34"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reported conditions. Unstable networks (76.3%) and power interruptions (42.1%) were commonly ticked. Speed was split: 36.8% good or very good, 36.8% average, 26.3% bad or very bad. Four respondents (10.5%) said their country did not have internet, yet all 38 submitted an online form. The item wording does not allow a firm reinterpretation; we report the tick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reported very high psychological stress; among the others, 3 of 24 did (two-sided Fisher’s exact</w:t>
      </w:r>
      <w:r>
        <w:t xml:space="preserve"> </w:t>
      </w:r>
      <w:r>
        <w:rPr>
          <w:iCs/>
          <w:i/>
        </w:rPr>
        <w:t xml:space="preserve">p</w:t>
      </w:r>
      <w:r>
        <w:t xml:space="preserve"> </w:t>
      </w:r>
      <w:r>
        <w:t xml:space="preserve">= .00008). This is a co-occurrence in this dataset. It is not evidence that the household caused stress. The most salient descriptive stress finding was that 36.8% reported very high stress.</w:t>
      </w:r>
    </w:p>
    <w:bookmarkEnd w:id="34"/>
    <w:bookmarkStart w:id="35"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This pattern is interpreted as a possible platform-geography dimension of delivery-context fit. The survey cannot isolate country restrictions, routing, account rules, skills, or virtual private networks.</w:t>
      </w:r>
    </w:p>
    <w:p>
      <w:pPr>
        <w:pStyle w:val="BodyText"/>
      </w:pPr>
      <w:r>
        <w:t xml:space="preserve">Tools reported as used for class were Tencent Meeting (71.1%), Zoom (47.4%), and WeChat (31.6%). Tools marked unusable</w:t>
      </w:r>
      <w:r>
        <w:t xml:space="preserve"> </w:t>
      </w:r>
      <w:r>
        <w:t xml:space="preserve">“</w:t>
      </w:r>
      <w:r>
        <w:t xml:space="preserve">in my country</w:t>
      </w:r>
      <w:r>
        <w:t xml:space="preserve">”</w:t>
      </w:r>
      <w:r>
        <w:t xml:space="preserve"> </w:t>
      </w:r>
      <w:r>
        <w:t xml:space="preserve">included QQ (50.0%), Chaoxing (42.1%), DingTalk (28.9%), and 中国慕课 (28.9%). Tools marked available included Zoom (71.1%), WhatsApp (68.4%), Tencent Meeting (57.9%), and WeChat (39.5%). WhatsApp appears only as available; the retained form did not code whether it was used for class. Tencent Meeting was the most used class tool but was marked available by fewer respondents. That discrepancy is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5"/>
    <w:bookmarkStart w:id="36"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Classroom talk, when ticked,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ticks (unstable network, power interruptions, no signal) was not associated with the index (ρ = .02,</w:t>
      </w:r>
      <w:r>
        <w:t xml:space="preserve"> </w:t>
      </w:r>
      <w:r>
        <w:rPr>
          <w:iCs/>
          <w:i/>
        </w:rPr>
        <w:t xml:space="preserve">p</w:t>
      </w:r>
      <w:r>
        <w:t xml:space="preserve"> </w:t>
      </w:r>
      <w:r>
        <w:t xml:space="preserve">= .91, percentile bootstrap 95% CI [−.32, .37]). The count is an exploratory post hoc descriptive indicator. Unstable network and no signal may overlap, and power interruptions are a different infrastructure layer. The non-significant correlation is therefore not interpreted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6"/>
    <w:bookmarkStart w:id="37"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11 women this is a cautious exploratory observation of perceived legitimacy in this sample. It is not a gender finding about Pakistani households and is not treated as a focal test (Appendix B).</w:t>
      </w:r>
    </w:p>
    <w:bookmarkEnd w:id="37"/>
    <w:bookmarkEnd w:id="38"/>
    <w:bookmarkStart w:id="39" w:name="discussion"/>
    <w:p>
      <w:pPr>
        <w:pStyle w:val="Heading2"/>
      </w:pPr>
      <w:r>
        <w:t xml:space="preserve">5. Discussion</w:t>
      </w:r>
    </w:p>
    <w:p>
      <w:pPr>
        <w:pStyle w:val="FirstParagraph"/>
      </w:pPr>
      <w:r>
        <w:t xml:space="preserve">This historically situated dataset suggests a possible delivery-context mismatch: respondents reporting online Chinese coursework connected to Chinese higher education also reported household power and network problems and uneven access to applications often used in that sector. Localisation of content and materials remains necessary (Zhao, 2020; Lu et al., 2024). In this sample, those layers would not have addressed the synchronous class session that respondents associated with an unstable connection or an application marked unusable.</w:t>
      </w:r>
    </w:p>
    <w:p>
      <w:pPr>
        <w:pStyle w:val="BodyText"/>
      </w:pPr>
      <w:r>
        <w:t xml:space="preserve">Based on these findings, possible design considerations, rather than established solutions, include shorter or asynchronous oral alternatives, assessment that does not assume a campus oral hour, and a required platform that respondents can open. WhatsApp was marked available here; it was not recorded as used for class. The findings do not show that later hybrid ICLE has repeated this pattern. They suggest that hybrid models</w:t>
      </w:r>
      <w:r>
        <w:t xml:space="preserve"> </w:t>
      </w:r>
      <w:r>
        <w:rPr>
          <w:iCs/>
          <w:i/>
        </w:rPr>
        <w:t xml:space="preserve">may</w:t>
      </w:r>
      <w:r>
        <w:t xml:space="preserve"> </w:t>
      </w:r>
      <w:r>
        <w:t xml:space="preserve">reproduce a similar mismatch if delivery assumptions are not examined (Stockwell &amp; Wang, 2023).</w:t>
      </w:r>
    </w:p>
    <w:p>
      <w:pPr>
        <w:pStyle w:val="BodyText"/>
      </w:pPr>
      <w:r>
        <w:t xml:space="preserve">Participation in this dataset co-occurred with reported platform access, power and connectivity problems, and a home environment that many described as not quiet. That is a description of domestic participation conditions, not a claim that inequality is</w:t>
      </w:r>
      <w:r>
        <w:t xml:space="preserve"> </w:t>
      </w:r>
      <w:r>
        <w:t xml:space="preserve">“</w:t>
      </w:r>
      <w:r>
        <w:t xml:space="preserve">cultural.</w:t>
      </w:r>
      <w:r>
        <w:t xml:space="preserve">”</w:t>
      </w:r>
    </w:p>
    <w:bookmarkEnd w:id="39"/>
    <w:bookmarkStart w:id="40" w:name="limitations"/>
    <w:p>
      <w:pPr>
        <w:pStyle w:val="Heading2"/>
      </w:pPr>
      <w:r>
        <w:t xml:space="preserve">6.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The infrastructure-problem count is an unvalidated post hoc indicator. The form did not measure institutional adaptation, so localisation of delivery is a conceptual reading of student-side conditions. Data are from February 2022 and concern emergency remote teaching. They are not evidence about current hybrid education. No ethics-committee number is available for the 2022 collection (Section 3.6).</w:t>
      </w:r>
    </w:p>
    <w:bookmarkEnd w:id="40"/>
    <w:bookmarkStart w:id="41" w:name="conclusion"/>
    <w:p>
      <w:pPr>
        <w:pStyle w:val="Heading2"/>
      </w:pPr>
      <w:r>
        <w:t xml:space="preserve">7. Conclusion</w:t>
      </w:r>
    </w:p>
    <w:p>
      <w:pPr>
        <w:pStyle w:val="FirstParagraph"/>
      </w:pPr>
      <w:r>
        <w:t xml:space="preserve">In this exploratory emergency-remote-teaching sample of respondents reporting online Chinese-language courses, reported household infrastructure and platform access co-occurred with very high stress and with more negative appraisals of online learning. The conceptual suggestion is that ICLE localisation may need to include delivery-context fit—time, platform, task, participation mode, and assessment—as well as content adaptation. That suggestion is bounded by N = 38 and by a 2022 dataset.</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2026-08-23T09:50:19Z</dcterms:created>
  <dcterms:modified xsi:type="dcterms:W3CDTF">2026-08-23T09:50:19Z</dcterms:modified>
</cp:coreProperties>
</file>

<file path=docProps/custom.xml><?xml version="1.0" encoding="utf-8"?>
<Properties xmlns="http://schemas.openxmlformats.org/officeDocument/2006/custom-properties" xmlns:vt="http://schemas.openxmlformats.org/officeDocument/2006/docPropsVTypes"/>
</file>