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When Chinese class moved home: Pakistani students, infrastructure, and platform access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This is a new original questionnaire study (N = 38; Wenjuan export, February 2022). It is not a republication. The corresponding author is Heena Rathore, PhD student, School of Foreign Languages, Sun Yat-sen University. Co-authors: Cao Huimin and Xu Yiru. Nine IP addresses were labelled mainland China; the rest were not. The form did not record scholarship type. Emergency remote Chinese along this Pakistan-China corridor is read as a home and platform-access problem. QQ and Chaoxing were often marked unusable from</w:t>
      </w:r>
      <w:r>
        <w:t xml:space="preserve"> </w:t>
      </w:r>
      <w:r>
        <w:t xml:space="preserve">“</w:t>
      </w:r>
      <w:r>
        <w:t xml:space="preserve">my country</w:t>
      </w:r>
      <w:r>
        <w:t xml:space="preserve">”</w:t>
      </w:r>
      <w:r>
        <w:t xml:space="preserve">; Zoom and WhatsApp were more often marked available (WhatsApp was not coded as used for class). Home conditions were associated with very high stress (OR = 25.67, 95% CI [4.42, 149.00]). Internet speed tracked learning appraisal (ρ = .65); a count of infrastructure problems did not (ρ = .02).</w:t>
      </w:r>
    </w:p>
    <w:p>
      <w:pPr>
        <w:pStyle w:val="BodyText"/>
      </w:pPr>
      <w:r>
        <w:t xml:space="preserve">The manuscript is written for this journal’s aims: additional-language learning outside the classroom, identity and investment (as a reading of participation proxies), and curriculum implementation (the campus course plan used off campus). It supplies a South-South case that the journal’s investment agenda on international students of languages other than English (Hajar &amp; Karakuş, 2024) still lacks.</w:t>
      </w:r>
    </w:p>
    <w:p>
      <w:pPr>
        <w:pStyle w:val="BodyText"/>
      </w:pPr>
      <w:r>
        <w:t xml:space="preserve">Prior note. Rathore and Cao (2024,</w:t>
      </w:r>
      <w:r>
        <w:t xml:space="preserve"> </w:t>
      </w:r>
      <w:r>
        <w:rPr>
          <w:iCs/>
          <w:i/>
        </w:rPr>
        <w:t xml:space="preserve">Arbor</w:t>
      </w:r>
      <w:r>
        <w:t xml:space="preserve">) is a short preliminary report of the same project. Its printed tables used a larger N (97) that cannot be reconstructed from the only coded export the authors retain. The present article analyses that export in full (N = 38), does not reuse the 2024 tables, and includes sensitivity checks (n = 37 Pakistani; n = 29 offshore IP). We can send the 2024 PDF to the office.</w:t>
      </w:r>
    </w:p>
    <w:p>
      <w:pPr>
        <w:pStyle w:val="BodyText"/>
      </w:pPr>
      <w:r>
        <w:t xml:space="preserve">The manuscript is not under review elsewhere. 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</w:pPr>
    <w:rPr>
      <w:rFonts w:ascii="Times New Roman" w:cs="Times New Roman" w:eastAsia="SimSu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480" w:lineRule="auto"/>
      <w:outlineLvl w:val="0"/>
    </w:pPr>
    <w:rPr>
      <w:rFonts w:ascii="Times New Roman" w:asciiTheme="majorHAnsi" w:cs="Times New Roman" w:cstheme="majorBidi" w:eastAsia="SimSun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 w:line="480" w:lineRule="auto"/>
      <w:outlineLvl w:val="1"/>
    </w:pPr>
    <w:rPr>
      <w:rFonts w:ascii="Times New Roman" w:asciiTheme="majorHAnsi" w:cs="Times New Roman" w:cstheme="majorBidi" w:eastAsia="SimSun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 w:line="480" w:lineRule="auto"/>
      <w:outlineLvl w:val="2"/>
    </w:pPr>
    <w:rPr>
      <w:rFonts w:ascii="Times New Roman" w:asciiTheme="majorHAnsi" w:cs="Times New Roman" w:cstheme="majorBidi" w:eastAsia="SimSun" w:eastAsiaTheme="majorEastAsia" w:hAnsi="Times New Roman" w:hAnsiTheme="majorHAnsi"/>
      <w:b/>
      <w:bCs/>
      <w:i w:val="0"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before="0" w:line="480" w:lineRule="auto"/>
      <w:contextualSpacing/>
    </w:pPr>
    <w:rPr>
      <w:rFonts w:ascii="Times New Roman" w:asciiTheme="majorHAnsi" w:cs="Times New Roman" w:cstheme="majorBidi" w:eastAsia="SimSun" w:eastAsiaTheme="majorEastAsia" w:hAnsi="Times New Roman" w:hAnsiTheme="majorHAnsi"/>
      <w:b/>
      <w:i w:val="0"/>
      <w:color w:themeColor="text2" w:themeShade="BF" w:val="17365D"/>
      <w:spacing w:val="5"/>
      <w:kern w:val="28"/>
      <w:sz w:val="3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2026-08-22T15:09:07Z</dcterms:created>
  <dcterms:modified xsi:type="dcterms:W3CDTF">2026-08-22T15:09:07Z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