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e9071a26e2a253abc760e4ae7a86f3c225b62e5"/>
    <w:p>
      <w:pPr>
        <w:pStyle w:val="Heading1"/>
      </w:pPr>
      <w:r>
        <w:t xml:space="preserve">When Chinese class moved home: Pakistani students, infrastructure, and platform access</w:t>
      </w:r>
    </w:p>
    <w:p>
      <w:pPr>
        <w:pStyle w:val="FirstParagraph"/>
      </w:pPr>
      <w:r>
        <w:rPr>
          <w:bCs/>
          <w:b/>
        </w:rPr>
        <w:t xml:space="preserve">Short title:</w:t>
      </w:r>
      <w:r>
        <w:t xml:space="preserve"> </w:t>
      </w:r>
      <w:r>
        <w:t xml:space="preserve">Chinese class at home</w:t>
      </w:r>
    </w:p>
    <w:bookmarkStart w:id="20" w:name="abstract"/>
    <w:p>
      <w:pPr>
        <w:pStyle w:val="Heading2"/>
      </w:pPr>
      <w:r>
        <w:t xml:space="preserve">Abstract</w:t>
      </w:r>
    </w:p>
    <w:p>
      <w:pPr>
        <w:pStyle w:val="FirstParagraph"/>
      </w:pPr>
      <w:r>
        <w:t xml:space="preserve">This article reports a new analysis of a Wenjuan questionnaire (N = 38; 5 to 8 February 2022) completed mainly by Pakistani students who continued Chinese-university language classes during COVID-19. Not every response was sent from Pakistan: nine IP addresses were labelled mainland China. Unstable networks (76.3%), power cuts (42.1%), and homes that were not quiet (71.1%) were common. Very high psychological stress was reported by 36.8%. Saying that the home affected study</w:t>
      </w:r>
      <w:r>
        <w:t xml:space="preserve"> </w:t>
      </w:r>
      <w:r>
        <w:t xml:space="preserve">“</w:t>
      </w:r>
      <w:r>
        <w:t xml:space="preserve">very much</w:t>
      </w:r>
      <w:r>
        <w:t xml:space="preserve">”</w:t>
      </w:r>
      <w:r>
        <w:t xml:space="preserve"> </w:t>
      </w:r>
      <w:r>
        <w:t xml:space="preserve">was associated with very high stress (OR = 25.67, 95% CI [4.42, 149.00],</w:t>
      </w:r>
      <w:r>
        <w:t xml:space="preserve"> </w:t>
      </w:r>
      <w:r>
        <w:rPr>
          <w:iCs/>
          <w:i/>
        </w:rPr>
        <w:t xml:space="preserve">p</w:t>
      </w:r>
      <w:r>
        <w:t xml:space="preserve"> </w:t>
      </w:r>
      <w:r>
        <w:t xml:space="preserve">&lt; .001). Worse internet speed tracked worse learning appraisal (ρ = .65). A count of infrastructure problems did not (ρ = .02). Campus apps such as QQ and Chaoxing were often marked unusable from</w:t>
      </w:r>
      <w:r>
        <w:t xml:space="preserve"> </w:t>
      </w:r>
      <w:r>
        <w:t xml:space="preserve">“</w:t>
      </w:r>
      <w:r>
        <w:t xml:space="preserve">my country</w:t>
      </w:r>
      <w:r>
        <w:t xml:space="preserve">”</w:t>
      </w:r>
      <w:r>
        <w:t xml:space="preserve">; Zoom and WhatsApp were more often marked available. Half the sample said online study could replace campus classes; women more often said it could not. The article reads these results through sequential digital inequality and, cautiously, language investment (proxies, not a full investment instrument). Chinese-course design on this corridor must fit household infrastructure and platform access, not only textbook culture. The 2024 n = 97 tables are not used. The male majority (27 of 38) is a sample limit.</w:t>
      </w:r>
    </w:p>
    <w:p>
      <w:pPr>
        <w:pStyle w:val="BodyText"/>
      </w:pPr>
      <w:r>
        <w:rPr>
          <w:bCs/>
          <w:b/>
        </w:rPr>
        <w:t xml:space="preserve">Keywords:</w:t>
      </w:r>
      <w:r>
        <w:t xml:space="preserve"> </w:t>
      </w:r>
      <w:r>
        <w:t xml:space="preserve">emergency remote teaching; Chinese as an additional language; digital inequality; language investment; Pakistan; curriculum</w:t>
      </w:r>
    </w:p>
    <w:bookmarkEnd w:id="20"/>
    <w:bookmarkStart w:id="21" w:name="introduction"/>
    <w:p>
      <w:pPr>
        <w:pStyle w:val="Heading2"/>
      </w:pPr>
      <w:r>
        <w:t xml:space="preserve">1. Introduction</w:t>
      </w:r>
    </w:p>
    <w:p>
      <w:pPr>
        <w:pStyle w:val="FirstParagraph"/>
      </w:pPr>
      <w:r>
        <w:t xml:space="preserve">When Chinese universities moved instruction online in 2020, many Pakistani students were already in Pakistan or returned there. Scholarship holders and degree students continued their Chinese-language courses from family homes, hostels, and towns with load-shedding, prepaid mobile data, and little quiet space (Rathore &amp; Cao, 2024). Large numbers of Pakistani students were enrolled in Chinese universities on government and bilateral awards; this file does not record award type. This article examines emergency remote teaching (Hodges et al., 2020) of Chinese as an additional language. The courses crossed a national and infrastructural border and entered households that had not been designed as language classrooms.</w:t>
      </w:r>
    </w:p>
    <w:p>
      <w:pPr>
        <w:pStyle w:val="BodyText"/>
      </w:pPr>
      <w:r>
        <w:t xml:space="preserve">That shift also changed the curriculum in practice. A Chinese-university language course is more than a textbook and an HSK calendar. It is a planned sequence of live hours, oral tasks, and campus platforms that assume a dormitory, a timetable, and a login that works. Emergency remote teaching kept those elements and changed the site. Learners met the old campus course plan in households and other off-campus settings rather than in a redesigned distance-education programme.</w:t>
      </w:r>
    </w:p>
    <w:p>
      <w:pPr>
        <w:pStyle w:val="BodyText"/>
      </w:pPr>
      <w:r>
        <w:t xml:space="preserve">Research on COVID-19 and language education documented teacher coping, task redesign, and learner anxiety, mainly in English-language classrooms or in China-based programmes (MacIntyre et al., 2020; Gacs et al., 2020; Moorhouse &amp; Kohnke, 2021; Xia et al., 2022). Research on International Chinese Language Education (ICLE) asked how textbooks, HSK washback, and cultural content travel into overseas programmes, including Pakistani universities and Confucius Institutes (Zhao &amp; Huang, 2010; Gong, Gao, &amp; Lyu, 2020). International students of Chinese in Chinese universities have already been treated as a language, culture, and curriculum problem (Gao &amp; Hua, 2021; Gong, Gao, Li, &amp; Lai, 2020). Few studies examine Pakistani students who belong to Chinese universities but study Chinese from Pakistani homes. That interrupted South-South route is the reverse of the usual</w:t>
      </w:r>
      <w:r>
        <w:t xml:space="preserve"> </w:t>
      </w:r>
      <w:r>
        <w:t xml:space="preserve">“</w:t>
      </w:r>
      <w:r>
        <w:t xml:space="preserve">international student in China</w:t>
      </w:r>
      <w:r>
        <w:t xml:space="preserve">”</w:t>
      </w:r>
      <w:r>
        <w:t xml:space="preserve"> </w:t>
      </w:r>
      <w:r>
        <w:t xml:space="preserve">account. In this article</w:t>
      </w:r>
      <w:r>
        <w:t xml:space="preserve"> </w:t>
      </w:r>
      <w:r>
        <w:rPr>
          <w:iCs/>
          <w:i/>
        </w:rPr>
        <w:t xml:space="preserve">culture</w:t>
      </w:r>
      <w:r>
        <w:t xml:space="preserve"> </w:t>
      </w:r>
      <w:r>
        <w:t xml:space="preserve">means the household as the site of a Chinese class, and</w:t>
      </w:r>
      <w:r>
        <w:t xml:space="preserve"> </w:t>
      </w:r>
      <w:r>
        <w:rPr>
          <w:iCs/>
          <w:i/>
        </w:rPr>
        <w:t xml:space="preserve">curriculum</w:t>
      </w:r>
      <w:r>
        <w:t xml:space="preserve"> </w:t>
      </w:r>
      <w:r>
        <w:t xml:space="preserve">means the campus course plan (live hour, oral tasks, campus login) when it is used off campus. It does not mean a textbook-content analysis.</w:t>
      </w:r>
    </w:p>
    <w:p>
      <w:pPr>
        <w:pStyle w:val="BodyText"/>
      </w:pPr>
      <w:r>
        <w:t xml:space="preserve">COVID special issues have largely closed. Two later strands now dominate the field. After the return to campus, digital tools became ordinary in many in-person language classrooms (Moorhouse, 2023; Moorhouse, Wong, &amp; Li, 2023). Reviews also note that crisis teaching often used videoconferencing to copy the campus hour (Stockwell &amp; Wang, 2023). A second strand is generative AI, which now appears in work on language investment (Darvin, 2025). The 2022 questionnaire contains no items on ChatGPT or similar tools, so this article does not treat AI as a finding. The present data speak to a more basic problem that has not disappeared: unequal digital conditions, and the question of which campus platforms open, for students on this South-South route. Hajar and Karakuş (2024), writing in</w:t>
      </w:r>
      <w:r>
        <w:t xml:space="preserve"> </w:t>
      </w:r>
      <w:r>
        <w:rPr>
          <w:iCs/>
          <w:i/>
        </w:rPr>
        <w:t xml:space="preserve">Language, Culture and Curriculum</w:t>
      </w:r>
      <w:r>
        <w:t xml:space="preserve">, call for research on the (dis)investment of international students in languages other than English. Pakistani learners of Chinese belong in that agenda. Hybrid ICLE and HSK delivery on Chinese-campus systems still assume logins, bandwidth, and a quiet room. The present sample shows that many homes could not supply those conditions.</w:t>
      </w:r>
    </w:p>
    <w:p>
      <w:pPr>
        <w:pStyle w:val="BodyText"/>
      </w:pPr>
      <w:r>
        <w:t xml:space="preserve">A short note on this population has been published (Rathore &amp; Cao, 2024). It described a 14-item survey of 97 students. The only coded questionnaire file retained is a 30-question Chinese-medium Wenjuan export with 38 complete responses (5 to 8 February 2022). The present article is a new analysis of that export. The 2024 sample size, scales, and percentages are not reused.</w:t>
      </w:r>
    </w:p>
    <w:p>
      <w:pPr>
        <w:pStyle w:val="BodyText"/>
      </w:pPr>
      <w:r>
        <w:t xml:space="preserve">The research question is: How did digital inequality, including which Chinese-campus platforms opened from homes outside the Chinese campus network, relate to how these learners could take part in Chinese class under emergency remote teaching? Three operational questions follow in Section 3. Investment is used as a reading, not as a scale in the questionnaire.</w:t>
      </w:r>
    </w:p>
    <w:p>
      <w:pPr>
        <w:pStyle w:val="BodyText"/>
      </w:pPr>
      <w:r>
        <w:t xml:space="preserve">The article offers three contributions. First, an item-level description of the export, a three-item learning-appraisal scale (α = .84), Fisher tests with odds ratios, Spearman correlations, and sensitivity checks (Pakistani-only n = 37; offshore-IP n = 29). Second, a reading of sequential digital inequality (van Dijk, 2020) together with a cautious use of Nortonian investment (Norton, 2013; Darvin &amp; Norton, 2015, 2023) as a lens on participation proxies, with attention to which platforms opened. Third, a practical claim: ICLE localisation has to include the conditions of delivery, not only the cultural content of textbooks.</w:t>
      </w:r>
    </w:p>
    <w:p>
      <w:pPr>
        <w:pStyle w:val="BodyText"/>
      </w:pPr>
      <w:r>
        <w:t xml:space="preserve">The study does not report learning-gain experiments. It does not argue that COVID-19 is still the main design problem for ICLE. The emergency made an inequality visible. Course design on this route still has to take that inequality into account.</w:t>
      </w:r>
    </w:p>
    <w:bookmarkEnd w:id="21"/>
    <w:bookmarkStart w:id="27" w:name="literature-review"/>
    <w:p>
      <w:pPr>
        <w:pStyle w:val="Heading2"/>
      </w:pPr>
      <w:r>
        <w:t xml:space="preserve">2. Literature review</w:t>
      </w:r>
    </w:p>
    <w:bookmarkStart w:id="22" w:name="Xc254e08a60b7820f65cb66d2252992f40821d4a"/>
    <w:p>
      <w:pPr>
        <w:pStyle w:val="Heading3"/>
      </w:pPr>
      <w:r>
        <w:t xml:space="preserve">2.1 Emergency remote teaching and later</w:t>
      </w:r>
      <w:r>
        <w:t xml:space="preserve"> </w:t>
      </w:r>
      <w:r>
        <w:t xml:space="preserve">“</w:t>
      </w:r>
      <w:r>
        <w:t xml:space="preserve">normal</w:t>
      </w:r>
      <w:r>
        <w:t xml:space="preserve">”</w:t>
      </w:r>
      <w:r>
        <w:t xml:space="preserve"> </w:t>
      </w:r>
      <w:r>
        <w:t xml:space="preserve">use of technology</w:t>
      </w:r>
    </w:p>
    <w:p>
      <w:pPr>
        <w:pStyle w:val="FirstParagraph"/>
      </w:pPr>
      <w:r>
        <w:t xml:space="preserve">Hodges et al. (2020) distinguished emergency remote teaching (ERT) from planned online or blended courses. ERT is a temporary shift under crisis and does not follow a full instructional design cycle. Gacs, Goertler and Spasova (2020) applied that distinction to languages and warned against judging crisis teaching by the standards of mature online programmes. Reviews of language-teacher responses (Moorhouse &amp; Kohnke, 2021) and of learner affect (MacIntyre et al., 2020) report thinner interaction, anxious assessment, and the entry of the domestic setting into the lesson.</w:t>
      </w:r>
    </w:p>
    <w:p>
      <w:pPr>
        <w:pStyle w:val="BodyText"/>
      </w:pPr>
      <w:r>
        <w:t xml:space="preserve">Later work relocated rather than cancelled that distinction. Moorhouse, Wong and Li (2023) describe technological normalisation: tools becoming ordinary in everyday teaching, at the same time as generative AI arrives as a further change. Moorhouse (2023) found that, in a well-resourced setting, many teachers kept digital tools after they returned to the physical classroom. Stockwell and Wang (2023) note a narrower pattern: much ERT used videoconferencing to copy face-to-face teaching, and that use can shape how teachers, learners, and administrators judge</w:t>
      </w:r>
      <w:r>
        <w:t xml:space="preserve"> </w:t>
      </w:r>
      <w:r>
        <w:t xml:space="preserve">“</w:t>
      </w:r>
      <w:r>
        <w:t xml:space="preserve">technology.</w:t>
      </w:r>
      <w:r>
        <w:t xml:space="preserve">”</w:t>
      </w:r>
      <w:r>
        <w:t xml:space="preserve"> </w:t>
      </w:r>
      <w:r>
        <w:t xml:space="preserve">For Chinese, the same years produced papers on</w:t>
      </w:r>
      <w:r>
        <w:t xml:space="preserve"> </w:t>
      </w:r>
      <w:r>
        <w:t xml:space="preserve">“</w:t>
      </w:r>
      <w:r>
        <w:t xml:space="preserve">suspending classes without stopping learning,</w:t>
      </w:r>
      <w:r>
        <w:t xml:space="preserve">”</w:t>
      </w:r>
      <w:r>
        <w:t xml:space="preserve"> </w:t>
      </w:r>
      <w:r>
        <w:t xml:space="preserve">platform trials, and blended models (Zhang et al., 2020; Xia et al., 2022). A 2024 scoping review of online ICLE teaching models still lists technical issues, weak interaction, and time-zone problems among the limits of blended teaching, and already includes ChatGPT among models being trialled (Li &amp; Li, 2024). Much of that work assumes a Chinese campus system at one end of the link and a fairly stable connection at the other. That assumption does not travel automatically to Pakistan.</w:t>
      </w:r>
    </w:p>
    <w:bookmarkEnd w:id="22"/>
    <w:bookmarkStart w:id="23" w:name="X43963341551ea69db7f62e789aa41beeb72d56e"/>
    <w:p>
      <w:pPr>
        <w:pStyle w:val="Heading3"/>
      </w:pPr>
      <w:r>
        <w:t xml:space="preserve">2.2 Digital inequality beyond device ownership</w:t>
      </w:r>
    </w:p>
    <w:p>
      <w:pPr>
        <w:pStyle w:val="FirstParagraph"/>
      </w:pPr>
      <w:r>
        <w:t xml:space="preserve">Early</w:t>
      </w:r>
      <w:r>
        <w:t xml:space="preserve"> </w:t>
      </w:r>
      <w:r>
        <w:t xml:space="preserve">“</w:t>
      </w:r>
      <w:r>
        <w:t xml:space="preserve">digital divide</w:t>
      </w:r>
      <w:r>
        <w:t xml:space="preserve">”</w:t>
      </w:r>
      <w:r>
        <w:t xml:space="preserve"> </w:t>
      </w:r>
      <w:r>
        <w:t xml:space="preserve">research asked who had a computer. Later models describe a sequence (van Dijk, 2020; Helsper, 2021): motivational access, material access, skills access, usage access, and outcomes. A student may own a smartphone and still lack a quiet hour, a prepaid balance, a keyboard suited to character input, or the skill to move between DingTalk, a live class, and a PDF textbook. Warschauer (2003) argued that language learning on screens is stratified by these layers. ERT compressed them into one domestic scene.</w:t>
      </w:r>
    </w:p>
    <w:p>
      <w:pPr>
        <w:pStyle w:val="BodyText"/>
      </w:pPr>
      <w:r>
        <w:t xml:space="preserve">The sequence did not end when campuses reopened. Later education research continues to show that owning a device is not the same as taking part, and that rural-urban and household inequalities still shape who can sit in a live class (Ali, 2020). In Pakistan the household is also structured by gender. Raza and Hennessy (2025), drawing on a large teacher survey and stakeholder interviews, report that girls’ home use of educational technology is shaped by device sharing, parental digital literacy, care work, and norms about who may be online, together with electricity and prepaid data. Students enrolled in China but studying from Pakistan occupied a third position. They were counted as Chinese-university students, assessed by Chinese-university rules, and physically located in Pakistani digital inequality. Which app opened is part of that inequality. Campus Chinese tools (QQ groups, Chaoxing, DingTalk) and consumer tools that work on Pakistani mobile networks (Zoom, WhatsApp) are not interchangeable logins. Copying the campus system into an offshore household can leave the official classroom on an application the student cannot enter.</w:t>
      </w:r>
    </w:p>
    <w:bookmarkEnd w:id="23"/>
    <w:bookmarkStart w:id="24" w:name="investment-and-motivation"/>
    <w:p>
      <w:pPr>
        <w:pStyle w:val="Heading3"/>
      </w:pPr>
      <w:r>
        <w:t xml:space="preserve">2.3 Investment and motivation</w:t>
      </w:r>
    </w:p>
    <w:p>
      <w:pPr>
        <w:pStyle w:val="FirstParagraph"/>
      </w:pPr>
      <w:r>
        <w:t xml:space="preserve">Motivation research can describe who wants to learn Chinese. It is weaker on who can afford to act as a learner on a given afternoon. Norton’s (2013) construct of investment links identity, capital, and ideology. Learners invest when they expect a return in social and material terms, and they withdraw when the classroom, or its substitute, costs more than it returns. Darvin and Norton (2015) placed investment in a digital era of shifting structures. Darvin and Norton (2023) restated the difference from motivation: a learner may be highly motivated and still not invested in the practices of a given classroom if those practices are exclusionary or unworkable. Under ERT, the relevant structure was the household: electricity, data, siblings, and the social meaning of sitting on a phone during a live class from Wuhan or Beijing.</w:t>
      </w:r>
    </w:p>
    <w:p>
      <w:pPr>
        <w:pStyle w:val="BodyText"/>
      </w:pPr>
      <w:r>
        <w:t xml:space="preserve">The construct remains in current use. Hajar and Karakuş (2024) map three decades of investment research in</w:t>
      </w:r>
      <w:r>
        <w:t xml:space="preserve"> </w:t>
      </w:r>
      <w:r>
        <w:rPr>
          <w:iCs/>
          <w:i/>
        </w:rPr>
        <w:t xml:space="preserve">Language, Culture and Curriculum</w:t>
      </w:r>
      <w:r>
        <w:t xml:space="preserve"> </w:t>
      </w:r>
      <w:r>
        <w:t xml:space="preserve">and report that output is still rising. Their agenda includes the (dis)investment of international students in languages other than English, and investment in teaching those languages in Asia. Wen and Liu (2025), also in this journal, show that advanced learners of Chinese as a second language live pride, burnout, and anxiety as they move between lectures, teacher talk, group work, and extra-curricular activity. Under ERT those classroom scenes were filtered through the household. Darvin (2025) has updated the investment model for generative AI and argues that access to resources and the design of platforms now steer meaning-making. We cite that paper to mark a later development, not as a method for the present data. Respondents answered in February 2022. The inequality Darvin locates in human-AI interaction (who may enter the space, whose resources count) already appeared here as who could open the class.</w:t>
      </w:r>
    </w:p>
    <w:p>
      <w:pPr>
        <w:pStyle w:val="BodyText"/>
      </w:pPr>
      <w:r>
        <w:t xml:space="preserve">Piller, Zhang and Li (2020) showed that COVID-19 was also a linguistic crisis: who could ask for help, in which language, on which channel. Pakistani learners of Chinese typically mediate through Urdu, English, and regional languages. This questionnaire did not record mediation language. The point is only that a live Chinese class on an unfamiliar platform is a language-access problem as well as a technical one.</w:t>
      </w:r>
    </w:p>
    <w:bookmarkEnd w:id="24"/>
    <w:bookmarkStart w:id="25" w:name="icle-hsk-and-the-pakistan-corridor"/>
    <w:p>
      <w:pPr>
        <w:pStyle w:val="Heading3"/>
      </w:pPr>
      <w:r>
        <w:t xml:space="preserve">2.4 ICLE, HSK, and the Pakistan corridor</w:t>
      </w:r>
    </w:p>
    <w:p>
      <w:pPr>
        <w:pStyle w:val="FirstParagraph"/>
      </w:pPr>
      <w:r>
        <w:t xml:space="preserve">China’s promotion of Chinese as an international language has long been tied to institutes, textbooks, and tests (Zhao &amp; Huang, 2010). Pakistani interest in Chinese is bound up with the China-Pakistan Economic Corridor (CPEC), scholarships, and employment. Iftikhar et al. (2024) show that this demand is still live in Punjab and Sindh. CPEC and Confucius Institutes continue to structure why students learn Chinese, even as learners name cultural and local-language tensions. Attitude studies rarely capture the course that was supposed to produce the proficiency, namely the Chinese-university language class, when the student could not be on campus.</w:t>
      </w:r>
    </w:p>
    <w:p>
      <w:pPr>
        <w:pStyle w:val="BodyText"/>
      </w:pPr>
      <w:r>
        <w:t xml:space="preserve">ICLE research after COVID-19 has turned toward blended models, interaction design, and cultural adaptation (Gong, Gao, &amp; Lyu, 2020; Li &amp; Li, 2024). Guenier, Xing and Yan (2026) describe a designed multimodal online course that communicates Chinese culture to Irish learners. That is planned online teaching, not emergency remote teaching. Gong, Gao, Li and Lai (2020) document New Zealand students’ cultural adaptation while they were physically in China. Gao and Hua (2021) collected that campus-in-China agenda in this journal. Work based in Pakistani universities has begun to document localisation of</w:t>
      </w:r>
      <w:r>
        <w:t xml:space="preserve"> </w:t>
      </w:r>
      <w:r>
        <w:rPr>
          <w:iCs/>
          <w:i/>
        </w:rPr>
        <w:t xml:space="preserve">HSK Standard Course</w:t>
      </w:r>
      <w:r>
        <w:t xml:space="preserve">, including Urdu annotation, cultural comparison, and programme fit inside Pakistan (Lu et al., 2024). Those studies concern programmes in Pakistan. The present dataset concerns Pakistani students enrolled in Chinese universities. The two groups share a language, a test culture, and often a textbook family. They do not share a campus. Adapting a book for NUML or a Confucius Institute is not the same task as keeping a Chinese-university language course alive in a Karachi or Lahore household at 21:00 after a power cut. Guerrettaz et al. (2021) treat materials as what happens in use. Under ERT the material was a live class and the use was a phone in a shared room. Curriculum research that stops at the page of the book will miss that scene. Shan and Xu (2024) show, for a dual-foreign-language programme in a Chinese university, that students experience an institutionalised curriculum as a fixed pathway they may also negotiate. The present students were asked to follow a Chinese-university pathway from sites that often could not hold a campus oral hour.</w:t>
      </w:r>
    </w:p>
    <w:bookmarkEnd w:id="25"/>
    <w:bookmarkStart w:id="26" w:name="gap"/>
    <w:p>
      <w:pPr>
        <w:pStyle w:val="Heading3"/>
      </w:pPr>
      <w:r>
        <w:t xml:space="preserve">2.5 Gap</w:t>
      </w:r>
    </w:p>
    <w:p>
      <w:pPr>
        <w:pStyle w:val="FirstParagraph"/>
      </w:pPr>
      <w:r>
        <w:t xml:space="preserve">Recent literature still leaves several gaps that these data can address. Post-pandemic CALL has moved toward normalisation and AI, often in English classrooms with working campus Wi-Fi (Moorhouse et al., 2023; Darvin, 2025). Digital-inequality research under-represents additional-language classrooms. Pakistan EdTech gender work has so far spoken mainly about school homes rather than Chinese-university language courses taken from Pakistan (Raza &amp; Hennessy, 2025). ICLE localisation research under-represents the home as a site of delivery, and under-represents which Chinese-campus apps open from phones outside China. Investment research is asking for evidence on international students of languages other than English (Hajar &amp; Karakuş, 2024) but has little South-South Chinese evidence. Rathore and Cao (2024) described the phenomenon with descriptive tools. An account is still needed of how inequality entered participation in class, and of what course design should do with that knowledge after the emergency.</w:t>
      </w:r>
    </w:p>
    <w:bookmarkEnd w:id="26"/>
    <w:bookmarkEnd w:id="27"/>
    <w:bookmarkStart w:id="28" w:name="theoretical-framework"/>
    <w:p>
      <w:pPr>
        <w:pStyle w:val="Heading2"/>
      </w:pPr>
      <w:r>
        <w:t xml:space="preserve">3. Theoretical framework</w:t>
      </w:r>
    </w:p>
    <w:p>
      <w:pPr>
        <w:pStyle w:val="FirstParagraph"/>
      </w:pPr>
      <w:r>
        <w:t xml:space="preserve">The study uses a material-context model of remote Chinese learning (Figure 1).</w:t>
      </w:r>
    </w:p>
    <w:p>
      <w:pPr>
        <w:pStyle w:val="BodyText"/>
      </w:pPr>
      <w:r>
        <w:t xml:space="preserve">Layer 1 is sequential digital inequality (van Dijk, 2020). Electricity, devices, bandwidth, platform skills, and time are treated as ordered resources. Absence at an earlier layer blocks later ones. Without power there is no live class. Without platform literacy there is little interaction even if the class is on.</w:t>
      </w:r>
    </w:p>
    <w:p>
      <w:pPr>
        <w:pStyle w:val="BodyText"/>
      </w:pPr>
      <w:r>
        <w:t xml:space="preserve">Layer 2 is home ecology. Following ecological views of language education (van Lier, 2004; Guerrettaz et al., 2021), the unit of analysis is the household rather than</w:t>
      </w:r>
      <w:r>
        <w:t xml:space="preserve"> </w:t>
      </w:r>
      <w:r>
        <w:t xml:space="preserve">“</w:t>
      </w:r>
      <w:r>
        <w:t xml:space="preserve">the student plus the app</w:t>
      </w:r>
      <w:r>
        <w:t xml:space="preserve">”</w:t>
      </w:r>
      <w:r>
        <w:t xml:space="preserve">: shared rooms, family labour, gendered domestic space, and the China-Pakistan time difference. ERT relocated the Chinese classroom into this ecology without redesigning the lesson or the house.</w:t>
      </w:r>
    </w:p>
    <w:p>
      <w:pPr>
        <w:pStyle w:val="BodyText"/>
      </w:pPr>
      <w:r>
        <w:t xml:space="preserve">Layer 3 is investment (Norton, 2013; Darvin &amp; Norton, 2015, 2023). The questionnaire has no Norton-style items on identity or imagined return. Investment is therefore a reading of proxies: remaining in the live session as self-reported teacher interaction, self-appraised learning, and whether online Chinese was judged a substitute for campus study. Withdrawal is inferred, not observed: remaining silent, or concluding that online Chinese cannot replace the campus.</w:t>
      </w:r>
    </w:p>
    <w:p>
      <w:pPr>
        <w:pStyle w:val="BodyText"/>
      </w:pPr>
      <w:r>
        <w:t xml:space="preserve">Outcomes are distinguished as (a) affective (stress), (b) interactional (self-reported teacher exchange), and (c) perceived learning (a three-item appraisal: learned much / improves Chinese / sparks interest). The instrument did not collect HSK scores.</w:t>
      </w:r>
    </w:p>
    <w:p>
      <w:pPr>
        <w:pStyle w:val="BodyText"/>
      </w:pPr>
      <w:r>
        <w:t xml:space="preserve">The usable independent conditions in the export are infrastructure (power, signal, speed), home ecology (noise, whether the home</w:t>
      </w:r>
      <w:r>
        <w:t xml:space="preserve"> </w:t>
      </w:r>
      <w:r>
        <w:t xml:space="preserve">“</w:t>
      </w:r>
      <w:r>
        <w:t xml:space="preserve">affects study</w:t>
      </w:r>
      <w:r>
        <w:t xml:space="preserve">”</w:t>
      </w:r>
      <w:r>
        <w:t xml:space="preserve">), platform geography (which apps open), and paid work versus study only. The research questions follow from that.</w:t>
      </w:r>
    </w:p>
    <w:p>
      <w:pPr>
        <w:pStyle w:val="BodyText"/>
      </w:pPr>
      <w:r>
        <w:t xml:space="preserve">RQ1. Which material, domestic, and platform conditions characterised emergency remote Chinese classes in this sample?</w:t>
      </w:r>
    </w:p>
    <w:p>
      <w:pPr>
        <w:pStyle w:val="BodyText"/>
      </w:pPr>
      <w:r>
        <w:t xml:space="preserve">RQ2. How were those conditions related to stress, interaction, and perceived learning?</w:t>
      </w:r>
    </w:p>
    <w:p>
      <w:pPr>
        <w:pStyle w:val="BodyText"/>
      </w:pPr>
      <w:r>
        <w:t xml:space="preserve">RQ3. Did learners treat online Chinese as a legitimate substitute for campus study, and did that judgement differ by gender or by how much they thought they had learned?</w:t>
      </w:r>
    </w:p>
    <w:p>
      <w:pPr>
        <w:pStyle w:val="BodyText"/>
      </w:pPr>
      <w:r>
        <w:t xml:space="preserve">Implications for localisation after ERT are taken up in the discussion. They are not a fourth empirical question.</w:t>
      </w:r>
    </w:p>
    <w:p>
      <w:pPr>
        <w:pStyle w:val="BodyText"/>
      </w:pPr>
      <w:r>
        <w:t xml:space="preserve">Figure 1. Material-context model of emergency remote Chinese learning (reading model, not a tested path). Sequential digital inequality (power, signal, speed), platform geography (campus systems versus Zoom/WhatsApp), and home ecology (space, family, paid work) are treated as concurrent conditions. They are read as shaping participation in Chinese and the self-reported outcomes (stress, interaction, learning appraisal).</w:t>
      </w:r>
    </w:p>
    <w:bookmarkEnd w:id="28"/>
    <w:bookmarkStart w:id="34" w:name="the-study"/>
    <w:p>
      <w:pPr>
        <w:pStyle w:val="Heading2"/>
      </w:pPr>
      <w:r>
        <w:t xml:space="preserve">4. The study</w:t>
      </w:r>
    </w:p>
    <w:bookmarkStart w:id="29" w:name="research-context-and-design"/>
    <w:p>
      <w:pPr>
        <w:pStyle w:val="Heading3"/>
      </w:pPr>
      <w:r>
        <w:t xml:space="preserve">4.1 Research context and design</w:t>
      </w:r>
    </w:p>
    <w:p>
      <w:pPr>
        <w:pStyle w:val="FirstParagraph"/>
      </w:pPr>
      <w:r>
        <w:t xml:space="preserve">The respondents were enrolled in Chinese-university language courses that had moved online. In early February 2022 many Pakistani students were at home rather than in a Chinese dormitory; nine responses in this file were still labelled mainland China. The course they were still expected to attend assumed a campus timetable, a live oral hour, and a login on a Chinese-campus platform. The household, the power supply, and the apps that opened from a Pakistani mobile network were not part of that plan. The export does not name the host university, the textbook, or an HSK target. Curriculum here means that campus delivery plan as lived, not a named programme.</w:t>
      </w:r>
    </w:p>
    <w:p>
      <w:pPr>
        <w:pStyle w:val="BodyText"/>
      </w:pPr>
      <w:r>
        <w:t xml:space="preserve">The master’s project included a Chinese-medium online questionnaire (Rathore &amp; Cao, 2024). This article is a new quantitative analysis of the only coded export the authors retain: a Wenjuan file on influencing factors in international students’ online Chinese learning during COVID-19, with 38 complete cases (5 to 8 February 2022). No additional wave or paper-survey file exists. The 2024 printed frequency tables (reported n = 97; 14-item Likert) are not analysed, because this export does not contain them. The design is a cross-sectional questionnaire study of how that course was lived from wherever the student sat that week. It is not a national census.</w:t>
      </w:r>
    </w:p>
    <w:bookmarkEnd w:id="29"/>
    <w:bookmarkStart w:id="30" w:name="participants"/>
    <w:p>
      <w:pPr>
        <w:pStyle w:val="Heading3"/>
      </w:pPr>
      <w:r>
        <w:t xml:space="preserve">4.2 Participants</w:t>
      </w:r>
    </w:p>
    <w:p>
      <w:pPr>
        <w:pStyle w:val="FirstParagraph"/>
      </w:pPr>
      <w:r>
        <w:t xml:space="preserve">Of 38 respondents, 27 were men (71.1%) and 11 women (28.9%). Thirty-seven selected Pakistani nationality and one selected</w:t>
      </w:r>
      <w:r>
        <w:t xml:space="preserve"> </w:t>
      </w:r>
      <w:r>
        <w:t xml:space="preserve">“</w:t>
      </w:r>
      <w:r>
        <w:t xml:space="preserve">other</w:t>
      </w:r>
      <w:r>
        <w:t xml:space="preserve">”</w:t>
      </w:r>
      <w:r>
        <w:t xml:space="preserve"> </w:t>
      </w:r>
      <w:r>
        <w:t xml:space="preserve">(open text: Bangladesh). Self-rated Chinese level was mostly advanced (22, 57.9%) or intermediate (15, 39.5%); one beginner. That label is the student’s own, not an HSK band. Years of learning Chinese clustered at 3 to 4 years (26, 68.4%). All submissions used a phone (iPhone 24, 63.2%; Android 14). Device ownership was therefore not the main gap. IP geolocation placed nine responses in mainland China and 29 elsewhere, including Punjab or Pakistan labels and blank geo, which is typical of overseas mobile routes. The main analysis keeps n = 38. Not every phone was physically in Pakistan that week. The form did not ask whether the student held a China Scholarship Council (CSC) award, so this sample is labelled Chinese-university language students, not CSC students.</w:t>
      </w:r>
    </w:p>
    <w:p>
      <w:pPr>
        <w:pStyle w:val="BodyText"/>
      </w:pPr>
      <w:r>
        <w:t xml:space="preserve">This is a purposive, network-recruited convenience sample, not a draw from all Pakistani students in Chinese universities. Most respondents are men (27/38, 71.1%). Scholarship routes to Pakistan have long been male-heavy in STEM tracks, and a Wenjuan link passed through student networks will reproduce that skew. Eleven women are too few to describe Pakistani women’s home classrooms. Percentages for the whole sample are therefore men’s experience plus a small female minority. Gender is still tested where the instrument allows (RQ3). Non-significant gender tests are treated as inconclusive.</w:t>
      </w:r>
    </w:p>
    <w:bookmarkEnd w:id="30"/>
    <w:bookmarkStart w:id="31" w:name="instrument"/>
    <w:p>
      <w:pPr>
        <w:pStyle w:val="Heading3"/>
      </w:pPr>
      <w:r>
        <w:t xml:space="preserve">4.3 Instrument</w:t>
      </w:r>
    </w:p>
    <w:p>
      <w:pPr>
        <w:pStyle w:val="FirstParagraph"/>
      </w:pPr>
      <w:r>
        <w:t xml:space="preserve">The questionnaire has about 30 items: demographics, single-choice ordinals, and multiple-response lists (courses online, problems, platforms, interaction forms). Stems are Chinese, with some non-native wording (for example 您尝尝用什么平台). We translate for reporting. Analysis used the coded values.</w:t>
      </w:r>
    </w:p>
    <w:p>
      <w:pPr>
        <w:pStyle w:val="BodyText"/>
      </w:pPr>
      <w:r>
        <w:t xml:space="preserve">A learning-appraisal composite was formed from three same-direction ordinals (learned much; improves Chinese; sparks interest). Cronbach’s α = .84. Coding is as in the Wenjuan export: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1 means</w:t>
            </w:r>
          </w:p>
        </w:tc>
        <w:tc>
          <w:tcPr/>
          <w:p>
            <w:pPr>
              <w:pStyle w:val="Compact"/>
              <w:jc w:val="left"/>
            </w:pPr>
            <w:r>
              <w:t xml:space="preserve">Higher means</w:t>
            </w:r>
          </w:p>
        </w:tc>
      </w:tr>
      <w:tr>
        <w:tc>
          <w:tcPr/>
          <w:p>
            <w:pPr>
              <w:pStyle w:val="Compact"/>
              <w:jc w:val="left"/>
            </w:pPr>
            <w:r>
              <w:t xml:space="preserve">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Learned / improve / interest</w:t>
            </w:r>
          </w:p>
        </w:tc>
        <w:tc>
          <w:tcPr/>
          <w:p>
            <w:pPr>
              <w:pStyle w:val="Compact"/>
              <w:jc w:val="left"/>
            </w:pPr>
            <w:r>
              <w:t xml:space="preserve">a lot / very much</w:t>
            </w:r>
          </w:p>
        </w:tc>
        <w:tc>
          <w:tcPr/>
          <w:p>
            <w:pPr>
              <w:pStyle w:val="Compact"/>
              <w:jc w:val="left"/>
            </w:pPr>
            <w:r>
              <w:t xml:space="preserve">worse appraisal</w:t>
            </w:r>
          </w:p>
        </w:tc>
      </w:tr>
      <w:tr>
        <w:tc>
          <w:tcPr/>
          <w:p>
            <w:pPr>
              <w:pStyle w:val="Compact"/>
              <w:jc w:val="left"/>
            </w:pPr>
            <w:r>
              <w:t xml:space="preserve">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Teacher interaction</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The four 2024 scales are not forced onto this instrument.</w:t>
      </w:r>
    </w:p>
    <w:p>
      <w:pPr>
        <w:pStyle w:val="BodyText"/>
      </w:pPr>
      <w:r>
        <w:t xml:space="preserve">One open comment on preferred class length is retained:</w:t>
      </w:r>
      <w:r>
        <w:t xml:space="preserve"> </w:t>
      </w:r>
      <w:r>
        <w:t xml:space="preserve">“</w:t>
      </w:r>
      <w:r>
        <w:t xml:space="preserve">我觉得中国现在让学生回来上课。在线上上课一分钟也不合适</w:t>
      </w:r>
      <w:r>
        <w:t xml:space="preserve">”</w:t>
      </w:r>
      <w:r>
        <w:t xml:space="preserve"> </w:t>
      </w:r>
      <w:r>
        <w:t xml:space="preserve">(I think China should have students come back to class now. Even one minute of online class is not suitable). Names, IP addresses, and exact timestamps beyond the date were removed before analysis.</w:t>
      </w:r>
    </w:p>
    <w:bookmarkEnd w:id="31"/>
    <w:bookmarkStart w:id="32" w:name="analysis"/>
    <w:p>
      <w:pPr>
        <w:pStyle w:val="Heading3"/>
      </w:pPr>
      <w:r>
        <w:t xml:space="preserve">4.4 Analysis</w:t>
      </w:r>
    </w:p>
    <w:p>
      <w:pPr>
        <w:pStyle w:val="FirstParagraph"/>
      </w:pPr>
      <w:r>
        <w:t xml:space="preserve">Frequencies are n/38. Multiple-response items are percent of respondents ticking the option. A learning-appraisal score is the mean of learned, improve, and interest (α = .84; higher = worse). For 2×2 associations we use Fisher’s exact test and report odds ratios with 95% confidence intervals and φ. For ordinal pairs we use Spearman’s ρ. Gender differences on ordinals were checked with Mann-Whitney U (all</w:t>
      </w:r>
      <w:r>
        <w:t xml:space="preserve"> </w:t>
      </w:r>
      <w:r>
        <w:rPr>
          <w:iCs/>
          <w:i/>
        </w:rPr>
        <w:t xml:space="preserve">p</w:t>
      </w:r>
      <w:r>
        <w:t xml:space="preserve"> </w:t>
      </w:r>
      <w:r>
        <w:t xml:space="preserve">&gt; .10). Sensitivity analyses repeat the two focal tests in (a) Pakistani respondents only (n = 37) and (b) cases whose IP was not labelled as mainland China (n = 29). The tests are exploratory. With n = 38 and several associations,</w:t>
      </w:r>
      <w:r>
        <w:t xml:space="preserve"> </w:t>
      </w:r>
      <w:r>
        <w:rPr>
          <w:iCs/>
          <w:i/>
        </w:rPr>
        <w:t xml:space="preserve">p</w:t>
      </w:r>
      <w:r>
        <w:t xml:space="preserve"> </w:t>
      </w:r>
      <w:r>
        <w:t xml:space="preserve">values are not Bonferroni-adjusted and should not be read as a confirmatory family.</w:t>
      </w:r>
    </w:p>
    <w:bookmarkEnd w:id="32"/>
    <w:bookmarkStart w:id="33" w:name="ethical-considerations"/>
    <w:p>
      <w:pPr>
        <w:pStyle w:val="Heading3"/>
      </w:pPr>
      <w:r>
        <w:t xml:space="preserve">4.5 Ethical considerations</w:t>
      </w:r>
    </w:p>
    <w:p>
      <w:pPr>
        <w:pStyle w:val="FirstParagraph"/>
      </w:pPr>
      <w:r>
        <w:t xml:space="preserve">Adult students completed an online Wenjuan form. The information on the form presented the study as research on online Chinese learning. Submission of the questionnaire was treated as consent to use anonymised answers for research. Names, IP addresses, and exact timestamps beyond the collection dates were removed before analysis and are not published. Gender is reported because it structured one finding. No ethics-committee number is attached to the 2022 file; that limit is stated rather than invented.</w:t>
      </w:r>
    </w:p>
    <w:bookmarkEnd w:id="33"/>
    <w:bookmarkEnd w:id="34"/>
    <w:bookmarkStart w:id="41" w:name="results"/>
    <w:p>
      <w:pPr>
        <w:pStyle w:val="Heading2"/>
      </w:pPr>
      <w:r>
        <w:t xml:space="preserve">5. Results</w:t>
      </w:r>
    </w:p>
    <w:bookmarkStart w:id="35" w:name="sample-and-setting-rq1"/>
    <w:p>
      <w:pPr>
        <w:pStyle w:val="Heading3"/>
      </w:pPr>
      <w:r>
        <w:t xml:space="preserve">5.1 Sample and setting (RQ1)</w:t>
      </w:r>
    </w:p>
    <w:p>
      <w:pPr>
        <w:pStyle w:val="FirstParagraph"/>
      </w:pPr>
      <w:r>
        <w:t xml:space="preserve">Table 1 locates the sample. It is small, phone-based, and majority male. 78.9% said all of their Chinese classes were online. 57.9% were working (part-time, full-time, or both) alongside study. Nine IP addresses were labelled mainland China; the other 29 were not. The analysis therefore describes an interrupted Chinese-university cohort rather than a census of Pakistani students in Pakistan that week.</w:t>
      </w:r>
    </w:p>
    <w:p>
      <w:pPr>
        <w:pStyle w:val="BodyText"/>
      </w:pPr>
      <w:r>
        <w:rPr>
          <w:bCs/>
          <w:b/>
        </w:rPr>
        <w:t xml:space="preserve">Table 1</w:t>
      </w:r>
    </w:p>
    <w:p>
      <w:pPr>
        <w:pStyle w:val="BodyText"/>
      </w:pPr>
      <w:r>
        <w:rPr>
          <w:iCs/>
          <w:i/>
        </w:rPr>
        <w:t xml:space="preserve">Demographic and study profile of 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 (Bangladesh)</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Phone: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IP geolocated in mainland China</w:t>
            </w:r>
          </w:p>
        </w:tc>
        <w:tc>
          <w:tcPr/>
          <w:p>
            <w:pPr>
              <w:pStyle w:val="Compact"/>
              <w:jc w:val="right"/>
            </w:pPr>
            <w:r>
              <w:t xml:space="preserve">9</w:t>
            </w:r>
          </w:p>
        </w:tc>
        <w:tc>
          <w:tcPr/>
          <w:p>
            <w:pPr>
              <w:pStyle w:val="Compact"/>
              <w:jc w:val="right"/>
            </w:pPr>
            <w:r>
              <w:t xml:space="preserve">23.7</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71% of the sample are men. That skew is discussed as a limitation.</w:t>
      </w:r>
    </w:p>
    <w:bookmarkEnd w:id="35"/>
    <w:bookmarkStart w:id="36" w:name="X0a3c9fc137440dbd3aae547ba15e9b0cc8cf6bb"/>
    <w:p>
      <w:pPr>
        <w:pStyle w:val="Heading3"/>
      </w:pPr>
      <w:r>
        <w:t xml:space="preserve">5.2 Material conditions and home ecology (RQ1, RQ2)</w:t>
      </w:r>
    </w:p>
    <w:p>
      <w:pPr>
        <w:pStyle w:val="FirstParagraph"/>
      </w:pPr>
      <w:r>
        <w:t xml:space="preserve">Table 2 summarises the conditions of study. 76.3% ticked unstable network as a problem; 42.1% ticked no electricity; 31.6% ticked no signal. 89.5% said their country</w:t>
      </w:r>
      <w:r>
        <w:t xml:space="preserve"> </w:t>
      </w:r>
      <w:r>
        <w:t xml:space="preserve">“</w:t>
      </w:r>
      <w:r>
        <w:t xml:space="preserve">has internet,</w:t>
      </w:r>
      <w:r>
        <w:t xml:space="preserve">”</w:t>
      </w:r>
      <w:r>
        <w:t xml:space="preserve"> </w:t>
      </w:r>
      <w:r>
        <w:t xml:space="preserve">but speed was split: 36.8% good or very good, 36.8% average, 26.3% bad or very bad. Four people (10.5%) said there was no internet in their country, yet all 38 submitted an online form, so that item is better read as no stable home broadband than as no network at all. Access in van Dijk’s first layer is therefore not universal in this corridor.</w:t>
      </w:r>
    </w:p>
    <w:p>
      <w:pPr>
        <w:pStyle w:val="BodyText"/>
      </w:pPr>
      <w:r>
        <w:t xml:space="preserve">Only 11/38 (28.9%) described the home as quiet; 71.1% chose noisy or lively. 14/38 (36.8%) said the home affected study</w:t>
      </w:r>
      <w:r>
        <w:t xml:space="preserve"> </w:t>
      </w:r>
      <w:r>
        <w:t xml:space="preserve">“</w:t>
      </w:r>
      <w:r>
        <w:t xml:space="preserve">very much.</w:t>
      </w:r>
      <w:r>
        <w:t xml:space="preserve">”</w:t>
      </w:r>
      <w:r>
        <w:t xml:space="preserve"> </w:t>
      </w:r>
      <w:r>
        <w:t xml:space="preserve">All 38 answered from a phone. The Chinese classroom had been moved onto a device that also carries family calls, prepaid data, and a small keyboard for characters.</w:t>
      </w:r>
    </w:p>
    <w:p>
      <w:pPr>
        <w:pStyle w:val="BodyText"/>
      </w:pPr>
      <w:r>
        <w:rPr>
          <w:bCs/>
          <w:b/>
        </w:rPr>
        <w:t xml:space="preserve">Table 2</w:t>
      </w:r>
    </w:p>
    <w:p>
      <w:pPr>
        <w:pStyle w:val="BodyText"/>
      </w:pPr>
      <w:r>
        <w:rPr>
          <w:iCs/>
          <w:i/>
        </w:rPr>
        <w:t xml:space="preserve">Conditions of study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This is the strongest association in the sample. Among those who said the home affected study very much, 11/14 also reported very high psychological stress; among the others, 3/24 did (OR = 25.67, 95% CI [4.42, 149.00],</w:t>
      </w:r>
      <w:r>
        <w:t xml:space="preserve"> </w:t>
      </w:r>
      <w:r>
        <w:rPr>
          <w:iCs/>
          <w:i/>
        </w:rPr>
        <w:t xml:space="preserve">p</w:t>
      </w:r>
      <w:r>
        <w:t xml:space="preserve"> </w:t>
      </w:r>
      <w:r>
        <w:t xml:space="preserve">&lt; .001, φ = .66). Spearman ρ between that home dummy and the stress ordinal (1 = very high) was -.66 (</w:t>
      </w:r>
      <w:r>
        <w:rPr>
          <w:iCs/>
          <w:i/>
        </w:rPr>
        <w:t xml:space="preserve">p</w:t>
      </w:r>
      <w:r>
        <w:t xml:space="preserve"> </w:t>
      </w:r>
      <w:r>
        <w:t xml:space="preserve">&lt; .001). Students who said the home affected study very much also tended to report very high stress. The odds-ratio interval is wide, as expected at n = 38. The direction of the association is consistent. Thirty-seven of 38 ticked some stress; that almost-ceiling is not treated as a result. The discriminating figure is the 36.8% who ticked very high.</w:t>
      </w:r>
    </w:p>
    <w:bookmarkEnd w:id="36"/>
    <w:bookmarkStart w:id="37" w:name="platforms-used-blocked-and-available-rq1"/>
    <w:p>
      <w:pPr>
        <w:pStyle w:val="Heading3"/>
      </w:pPr>
      <w:r>
        <w:t xml:space="preserve">5.3 Platforms used, blocked, and available (RQ1)</w:t>
      </w:r>
    </w:p>
    <w:p>
      <w:pPr>
        <w:pStyle w:val="FirstParagraph"/>
      </w:pPr>
      <w:r>
        <w:t xml:space="preserve">Table 3 shows that students did not lack a platform so much as they lacked the platform the university was using.</w:t>
      </w:r>
    </w:p>
    <w:p>
      <w:pPr>
        <w:pStyle w:val="BodyText"/>
      </w:pPr>
      <w:r>
        <w:t xml:space="preserve">Table 3 reports only platform columns that can be reproduced from the committed analysis file.</w:t>
      </w:r>
    </w:p>
    <w:p>
      <w:pPr>
        <w:pStyle w:val="BodyText"/>
      </w:pPr>
      <w:r>
        <w:t xml:space="preserve">Used for class: Tencent Meeting 71.1%, Zoom 47.4%, WeChat 31.6%. Marked cannot use in my country: QQ 50.0%, Chaoxing 42.1%, DingTalk 28.9%, Chinese MOOC 28.9%. Marked can use in my country: Zoom 71.1%, WhatsApp 68.4%, Tencent Meeting 57.9%, WeChat 39.5%. WhatsApp appears only in the available column; the form, as retained here, did not code whether it was used for class. Tencent Meeting was the most used class tool (71.1%) but was marked available</w:t>
      </w:r>
      <w:r>
        <w:t xml:space="preserve"> </w:t>
      </w:r>
      <w:r>
        <w:t xml:space="preserve">“</w:t>
      </w:r>
      <w:r>
        <w:t xml:space="preserve">in my country</w:t>
      </w:r>
      <w:r>
        <w:t xml:space="preserve">”</w:t>
      </w:r>
      <w:r>
        <w:t xml:space="preserve"> </w:t>
      </w:r>
      <w:r>
        <w:t xml:space="preserve">by only 57.9%. That gap is left as an item-level inconsistency (use while in China, a VPN, or a messy stem), not as a second finding.</w:t>
      </w:r>
    </w:p>
    <w:p>
      <w:pPr>
        <w:pStyle w:val="BodyText"/>
      </w:pPr>
      <w:r>
        <w:rPr>
          <w:bCs/>
          <w:b/>
        </w:rPr>
        <w:t xml:space="preserve">Table 3</w:t>
      </w:r>
    </w:p>
    <w:p>
      <w:pPr>
        <w:pStyle w:val="BodyText"/>
      </w:pPr>
      <w:r>
        <w:rPr>
          <w:iCs/>
          <w:i/>
        </w:rPr>
        <w:t xml:space="preserve">Platforms: used, blocked, and available (multiple response, % of 38; columns present in the analysis file)</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Cannot use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Chinese MOOC</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means that column was not retained in the analysis file. Campus-side Chinese platforms are the ones students mark as unusable. Consumer tools often used in Pakistan (Zoom, WhatsApp) are the ones they mark as available. Nine responses were China-labelled, so</w:t>
      </w:r>
      <w:r>
        <w:t xml:space="preserve"> </w:t>
      </w:r>
      <w:r>
        <w:t xml:space="preserve">“</w:t>
      </w:r>
      <w:r>
        <w:t xml:space="preserve">my country</w:t>
      </w:r>
      <w:r>
        <w:t xml:space="preserve">”</w:t>
      </w:r>
      <w:r>
        <w:t xml:space="preserve"> </w:t>
      </w:r>
      <w:r>
        <w:t xml:space="preserve">is the student’s own wording, not a Pakistan-only map.</w:t>
      </w:r>
    </w:p>
    <w:p>
      <w:pPr>
        <w:pStyle w:val="BodyText"/>
      </w:pPr>
      <w:r>
        <w:t xml:space="preserve">Campus-side Chinese platforms (QQ, Chaoxing, DingTalk, Chinese MOOC) are the ones students mark as unusable. Zoom and WhatsApp are the ones they mark as available. When ERT copies the campus system off campus, the official classroom may sit on an application the student cannot enter.</w:t>
      </w:r>
    </w:p>
    <w:bookmarkEnd w:id="37"/>
    <w:bookmarkStart w:id="38" w:name="Xa8c047b0280430fef3d5887028625c2450a4bb3"/>
    <w:p>
      <w:pPr>
        <w:pStyle w:val="Heading3"/>
      </w:pPr>
      <w:r>
        <w:t xml:space="preserve">5.4 Stress, interaction, and learning appraisal (RQ2)</w:t>
      </w:r>
    </w:p>
    <w:p>
      <w:pPr>
        <w:pStyle w:val="FirstParagraph"/>
      </w:pPr>
      <w:r>
        <w:t xml:space="preserve">Very high stress was reported by 14/38 (36.8%). Thirty-seven of 38 ticked some stress; that almost-ceiling is not treated as a main result. Active interaction with the teacher</w:t>
      </w:r>
      <w:r>
        <w:t xml:space="preserve"> </w:t>
      </w:r>
      <w:r>
        <w:t xml:space="preserve">“</w:t>
      </w:r>
      <w:r>
        <w:t xml:space="preserve">very much</w:t>
      </w:r>
      <w:r>
        <w:t xml:space="preserve">”</w:t>
      </w:r>
      <w:r>
        <w:t xml:space="preserve"> </w:t>
      </w:r>
      <w:r>
        <w:t xml:space="preserve">was reported by only 6/38 (15.8%); 11/38 (28.9%) said only a little or not at all. Classroom talk, when it happened, was mainly dialogue (76.3%) and question and answer (57.9%). Role-play was rare (7.9%). Those oral tasks most need a stable live channel.</w:t>
      </w:r>
    </w:p>
    <w:p>
      <w:pPr>
        <w:pStyle w:val="BodyText"/>
      </w:pPr>
      <w:r>
        <w:t xml:space="preserve">On the learning-appraisal items (α = .84), 18.4% said they could learn</w:t>
      </w:r>
      <w:r>
        <w:t xml:space="preserve"> </w:t>
      </w:r>
      <w:r>
        <w:t xml:space="preserve">“</w:t>
      </w:r>
      <w:r>
        <w:t xml:space="preserve">a lot</w:t>
      </w:r>
      <w:r>
        <w:t xml:space="preserve">”</w:t>
      </w:r>
      <w:r>
        <w:t xml:space="preserve"> </w:t>
      </w:r>
      <w:r>
        <w:t xml:space="preserve">online; 28.9% said little or nothing. 15.8% said online study could improve Chinese</w:t>
      </w:r>
      <w:r>
        <w:t xml:space="preserve"> </w:t>
      </w:r>
      <w:r>
        <w:t xml:space="preserve">“</w:t>
      </w:r>
      <w:r>
        <w:t xml:space="preserve">very much</w:t>
      </w:r>
      <w:r>
        <w:t xml:space="preserve">”</w:t>
      </w:r>
      <w:r>
        <w:t xml:space="preserve">; 10.5% said not at all. Five of 37 valid answers (13.5%) liked online classes very much; one double-tick on that item was excluded.</w:t>
      </w:r>
    </w:p>
    <w:p>
      <w:pPr>
        <w:pStyle w:val="BodyText"/>
      </w:pPr>
      <w:r>
        <w:t xml:space="preserve">Worse internet speed (higher score) tracked worse appraisal and thinner interaction (Table 4): ρ = .46 with learned less (</w:t>
      </w:r>
      <w:r>
        <w:rPr>
          <w:iCs/>
          <w:i/>
        </w:rPr>
        <w:t xml:space="preserve">p</w:t>
      </w:r>
      <w:r>
        <w:t xml:space="preserve"> </w:t>
      </w:r>
      <w:r>
        <w:t xml:space="preserve">= .004), .64 with less improvement (</w:t>
      </w:r>
      <w:r>
        <w:rPr>
          <w:iCs/>
          <w:i/>
        </w:rPr>
        <w:t xml:space="preserve">p</w:t>
      </w:r>
      <w:r>
        <w:t xml:space="preserve"> </w:t>
      </w:r>
      <w:r>
        <w:t xml:space="preserve">&lt; .001), .65 with the three-item appraisal (</w:t>
      </w:r>
      <w:r>
        <w:rPr>
          <w:iCs/>
          <w:i/>
        </w:rPr>
        <w:t xml:space="preserve">p</w:t>
      </w:r>
      <w:r>
        <w:t xml:space="preserve"> </w:t>
      </w:r>
      <w:r>
        <w:t xml:space="preserve">&lt; .001), .55 with less teacher interaction, and .60 with lower satisfaction with class time. A simple count of infrastructure problems (unstable net + no power + no signal) did not track appraisal (ρ = .02,</w:t>
      </w:r>
      <w:r>
        <w:t xml:space="preserve"> </w:t>
      </w:r>
      <w:r>
        <w:rPr>
          <w:iCs/>
          <w:i/>
        </w:rPr>
        <w:t xml:space="preserve">p</w:t>
      </w:r>
      <w:r>
        <w:t xml:space="preserve"> </w:t>
      </w:r>
      <w:r>
        <w:t xml:space="preserve">= .91). Speed of use matters in this file; ticking several problems does not.</w:t>
      </w:r>
    </w:p>
    <w:p>
      <w:pPr>
        <w:pStyle w:val="BodyText"/>
      </w:pPr>
      <w:r>
        <w:t xml:space="preserve">Preferred live length: 50% wanted 45 minutes and 28.9% wanted 30 minutes, which is shorter than a typical campus Chinese class. One open comment refused the mode altogether: even one minute online was</w:t>
      </w:r>
      <w:r>
        <w:t xml:space="preserve"> </w:t>
      </w:r>
      <w:r>
        <w:t xml:space="preserve">“</w:t>
      </w:r>
      <w:r>
        <w:t xml:space="preserve">not suitable</w:t>
      </w:r>
      <w:r>
        <w:t xml:space="preserve">”</w:t>
      </w:r>
      <w:r>
        <w:t xml:space="preserve">; China should bring students back.</w:t>
      </w:r>
    </w:p>
    <w:p>
      <w:pPr>
        <w:pStyle w:val="BodyText"/>
      </w:pPr>
      <w:r>
        <w:rPr>
          <w:bCs/>
          <w:b/>
        </w:rPr>
        <w:t xml:space="preserve">Table 4</w:t>
      </w:r>
    </w:p>
    <w:p>
      <w:pPr>
        <w:pStyle w:val="BodyText"/>
      </w:pPr>
      <w:r>
        <w:rPr>
          <w:iCs/>
          <w:i/>
        </w:rPr>
        <w:t xml:space="preserve">Associations (Fisher’s exact and Spearman,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Hypothesis</w:t>
            </w:r>
          </w:p>
        </w:tc>
        <w:tc>
          <w:tcPr/>
          <w:p>
            <w:pPr>
              <w:pStyle w:val="Compact"/>
              <w:jc w:val="left"/>
            </w:pPr>
            <w:r>
              <w:t xml:space="preserve">Statistic</w:t>
            </w:r>
          </w:p>
        </w:tc>
      </w:tr>
      <w:tr>
        <w:tc>
          <w:tcPr/>
          <w:p>
            <w:pPr>
              <w:pStyle w:val="Compact"/>
              <w:jc w:val="left"/>
            </w:pPr>
            <w:r>
              <w:t xml:space="preserve">Home affects study very much × very high stress</w:t>
            </w:r>
          </w:p>
        </w:tc>
        <w:tc>
          <w:tcPr/>
          <w:p>
            <w:pPr>
              <w:pStyle w:val="Compact"/>
              <w:jc w:val="left"/>
            </w:pPr>
            <w:r>
              <w:t xml:space="preserve">OR = 25.67, 95% CI [4.42, 149.00],</w:t>
            </w:r>
            <w:r>
              <w:t xml:space="preserve"> </w:t>
            </w:r>
            <w:r>
              <w:rPr>
                <w:iCs/>
                <w:i/>
              </w:rPr>
              <w:t xml:space="preserve">p</w:t>
            </w:r>
            <w:r>
              <w:t xml:space="preserve"> </w:t>
            </w:r>
            <w:r>
              <w:t xml:space="preserve">&lt; .001, φ = .66</w:t>
            </w:r>
          </w:p>
        </w:tc>
      </w:tr>
      <w:tr>
        <w:tc>
          <w:tcPr/>
          <w:p>
            <w:pPr>
              <w:pStyle w:val="Compact"/>
              <w:jc w:val="left"/>
            </w:pPr>
            <w:r>
              <w:t xml:space="preserve">Female × online cannot replace campus</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Learned little/nothing × cannot replace</w:t>
            </w:r>
          </w:p>
        </w:tc>
        <w:tc>
          <w:tcPr/>
          <w:p>
            <w:pPr>
              <w:pStyle w:val="Compact"/>
              <w:jc w:val="left"/>
            </w:pPr>
            <w:r>
              <w:t xml:space="preserve">OR = 7.65, 95% CI [1.37, 42.71],</w:t>
            </w:r>
            <w:r>
              <w:t xml:space="preserve"> </w:t>
            </w:r>
            <w:r>
              <w:rPr>
                <w:iCs/>
                <w:i/>
              </w:rPr>
              <w:t xml:space="preserve">p</w:t>
            </w:r>
            <w:r>
              <w:t xml:space="preserve"> </w:t>
            </w:r>
            <w:r>
              <w:t xml:space="preserve">= .029, φ = .41</w:t>
            </w:r>
          </w:p>
        </w:tc>
      </w:tr>
      <w:tr>
        <w:tc>
          <w:tcPr/>
          <w:p>
            <w:pPr>
              <w:pStyle w:val="Compact"/>
              <w:jc w:val="left"/>
            </w:pPr>
            <w:r>
              <w:t xml:space="preserve">Poor internet × cannot replace</w:t>
            </w:r>
          </w:p>
        </w:tc>
        <w:tc>
          <w:tcPr/>
          <w:p>
            <w:pPr>
              <w:pStyle w:val="Compact"/>
              <w:jc w:val="left"/>
            </w:pPr>
            <w:r>
              <w:t xml:space="preserve">OR = 6.18, 95% CI [1.10, 34.70],</w:t>
            </w:r>
            <w:r>
              <w:t xml:space="preserve"> </w:t>
            </w:r>
            <w:r>
              <w:rPr>
                <w:iCs/>
                <w:i/>
              </w:rPr>
              <w:t xml:space="preserve">p</w:t>
            </w:r>
            <w:r>
              <w:t xml:space="preserve"> </w:t>
            </w:r>
            <w:r>
              <w:t xml:space="preserve">= .062, φ = .36</w:t>
            </w:r>
          </w:p>
        </w:tc>
      </w:tr>
      <w:tr>
        <w:tc>
          <w:tcPr/>
          <w:p>
            <w:pPr>
              <w:pStyle w:val="Compact"/>
              <w:jc w:val="left"/>
            </w:pPr>
            <w:r>
              <w:t xml:space="preserve">Speed (worse) × learning appraisal (worse)</w:t>
            </w:r>
          </w:p>
        </w:tc>
        <w:tc>
          <w:tcPr/>
          <w:p>
            <w:pPr>
              <w:pStyle w:val="Compact"/>
              <w:jc w:val="left"/>
            </w:pPr>
            <w:r>
              <w:t xml:space="preserve">ρ = .65,</w:t>
            </w:r>
            <w:r>
              <w:t xml:space="preserve"> </w:t>
            </w:r>
            <w:r>
              <w:rPr>
                <w:iCs/>
                <w:i/>
              </w:rPr>
              <w:t xml:space="preserve">p</w:t>
            </w:r>
            <w:r>
              <w:t xml:space="preserve"> </w:t>
            </w:r>
            <w:r>
              <w:t xml:space="preserve">&lt; .001</w:t>
            </w:r>
          </w:p>
        </w:tc>
      </w:tr>
      <w:tr>
        <w:tc>
          <w:tcPr/>
          <w:p>
            <w:pPr>
              <w:pStyle w:val="Compact"/>
              <w:jc w:val="left"/>
            </w:pPr>
            <w:r>
              <w:t xml:space="preserve">Speed × teacher interaction (less)</w:t>
            </w:r>
          </w:p>
        </w:tc>
        <w:tc>
          <w:tcPr/>
          <w:p>
            <w:pPr>
              <w:pStyle w:val="Compact"/>
              <w:jc w:val="left"/>
            </w:pPr>
            <w:r>
              <w:t xml:space="preserve">ρ = .55,</w:t>
            </w:r>
            <w:r>
              <w:t xml:space="preserve"> </w:t>
            </w:r>
            <w:r>
              <w:rPr>
                <w:iCs/>
                <w:i/>
              </w:rPr>
              <w:t xml:space="preserve">p</w:t>
            </w:r>
            <w:r>
              <w:t xml:space="preserve"> </w:t>
            </w:r>
            <w:r>
              <w:t xml:space="preserve">&lt; .001</w:t>
            </w:r>
          </w:p>
        </w:tc>
      </w:tr>
      <w:tr>
        <w:tc>
          <w:tcPr/>
          <w:p>
            <w:pPr>
              <w:pStyle w:val="Compact"/>
              <w:jc w:val="left"/>
            </w:pPr>
            <w:r>
              <w:t xml:space="preserve">Infrastructure-problem count × learning appraisal</w:t>
            </w:r>
          </w:p>
        </w:tc>
        <w:tc>
          <w:tcPr/>
          <w:p>
            <w:pPr>
              <w:pStyle w:val="Compact"/>
              <w:jc w:val="left"/>
            </w:pPr>
            <w:r>
              <w:t xml:space="preserve">ρ = .02,</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Higher speed and learning-appraisal scores are more negative. Odds-ratio intervals are wide and should be read as direction, not as precise population values. The female × cannot-replace row and the learned-little × cannot-replace row have the same OR by coincidence (both 2×2 tables are 17/10 vs 2/9); they are not the same test.</w:t>
      </w:r>
    </w:p>
    <w:bookmarkEnd w:id="38"/>
    <w:bookmarkStart w:id="39" w:name="X789660920f8923ed8fe507929828b49492970bf"/>
    <w:p>
      <w:pPr>
        <w:pStyle w:val="Heading3"/>
      </w:pPr>
      <w:r>
        <w:t xml:space="preserve">5.5 Replacement of campus classes, including gender (RQ3)</w:t>
      </w:r>
    </w:p>
    <w:p>
      <w:pPr>
        <w:pStyle w:val="FirstParagraph"/>
      </w:pPr>
      <w:r>
        <w:t xml:space="preserve">Nineteen of 38 said online study could replace campus classes and 19 said it could not. Women: 9/11 said it cannot replace campus (82%); men: 10/27 (37%). OR = 7.65, 95% CI [1.37, 42.71],</w:t>
      </w:r>
      <w:r>
        <w:t xml:space="preserve"> </w:t>
      </w:r>
      <w:r>
        <w:rPr>
          <w:iCs/>
          <w:i/>
        </w:rPr>
        <w:t xml:space="preserve">p</w:t>
      </w:r>
      <w:r>
        <w:t xml:space="preserve"> </w:t>
      </w:r>
      <w:r>
        <w:t xml:space="preserve">= .029, φ = .41. Those who learned little or nothing more often said it cannot replace campus (same OR and</w:t>
      </w:r>
      <w:r>
        <w:t xml:space="preserve"> </w:t>
      </w:r>
      <w:r>
        <w:rPr>
          <w:iCs/>
          <w:i/>
        </w:rPr>
        <w:t xml:space="preserve">p</w:t>
      </w:r>
      <w:r>
        <w:t xml:space="preserve">; overlapping but not identical cases). Among those with poor internet (speed bad or very bad), 8/10 said it cannot replace campus, versus 11/28 of the rest (</w:t>
      </w:r>
      <w:r>
        <w:rPr>
          <w:iCs/>
          <w:i/>
        </w:rPr>
        <w:t xml:space="preserve">p</w:t>
      </w:r>
      <w:r>
        <w:t xml:space="preserve"> </w:t>
      </w:r>
      <w:r>
        <w:t xml:space="preserve">= .062, marginal).</w:t>
      </w:r>
    </w:p>
    <w:p>
      <w:pPr>
        <w:pStyle w:val="BodyText"/>
      </w:pPr>
      <w:r>
        <w:t xml:space="preserve">Mann-Whitney tests on the ordinals by gender were non-significant. The gender difference is not that women scored as having learned less. Women more often refused to treat online Chinese as a campus substitute.</w:t>
      </w:r>
    </w:p>
    <w:p>
      <w:pPr>
        <w:pStyle w:val="BodyText"/>
      </w:pPr>
      <w:r>
        <w:t xml:space="preserve">A second gender pattern sits beside that refusal: 19/27 men (70.4%) were working while studying, against 3/11 women (27.3%) (Fisher</w:t>
      </w:r>
      <w:r>
        <w:t xml:space="preserve"> </w:t>
      </w:r>
      <w:r>
        <w:rPr>
          <w:iCs/>
          <w:i/>
        </w:rPr>
        <w:t xml:space="preserve">p</w:t>
      </w:r>
      <w:r>
        <w:t xml:space="preserve"> </w:t>
      </w:r>
      <w:r>
        <w:t xml:space="preserve">= .028). Men in this sample more often combined wage labour with ERT; women more often refused to count ERT as campus. Both patterns are signals in a male-majority sample. They are not a full gender analysis. With 11 women we cannot say whether quieter homes, care work, or device sharing produced the refusal.</w:t>
      </w:r>
    </w:p>
    <w:bookmarkEnd w:id="39"/>
    <w:bookmarkStart w:id="40" w:name="sensitivity"/>
    <w:p>
      <w:pPr>
        <w:pStyle w:val="Heading3"/>
      </w:pPr>
      <w:r>
        <w:t xml:space="preserve">5.6 Sensitivity</w:t>
      </w:r>
    </w:p>
    <w:p>
      <w:pPr>
        <w:pStyle w:val="FirstParagraph"/>
      </w:pPr>
      <w:r>
        <w:t xml:space="preserve">Table 5 repeats the two focal tests. Pakistani-only (n = 37): unstable network 75.7%, no power 43.2%; home × very high stress still</w:t>
      </w:r>
      <w:r>
        <w:t xml:space="preserve"> </w:t>
      </w:r>
      <w:r>
        <w:rPr>
          <w:iCs/>
          <w:i/>
        </w:rPr>
        <w:t xml:space="preserve">p</w:t>
      </w:r>
      <w:r>
        <w:t xml:space="preserve"> </w:t>
      </w:r>
      <w:r>
        <w:t xml:space="preserve">&lt; .001; speed × appraisal ρ = .67. Offshore-IP (n = 29): unstable network 75.9%, no power 41.4%; home × stress still</w:t>
      </w:r>
      <w:r>
        <w:t xml:space="preserve"> </w:t>
      </w:r>
      <w:r>
        <w:rPr>
          <w:iCs/>
          <w:i/>
        </w:rPr>
        <w:t xml:space="preserve">p</w:t>
      </w:r>
      <w:r>
        <w:t xml:space="preserve"> </w:t>
      </w:r>
      <w:r>
        <w:t xml:space="preserve">&lt; .001; speed × appraisal ρ = .70. Dropping the Bangladeshi case and the China-labelled IPs does not reverse the associations.</w:t>
      </w:r>
    </w:p>
    <w:p>
      <w:pPr>
        <w:pStyle w:val="BodyText"/>
      </w:pPr>
      <w:r>
        <w:rPr>
          <w:bCs/>
          <w:b/>
        </w:rPr>
        <w:t xml:space="preserve">Table 5</w:t>
      </w:r>
    </w:p>
    <w:p>
      <w:pPr>
        <w:pStyle w:val="BodyText"/>
      </w:pPr>
      <w:r>
        <w:rPr>
          <w:iCs/>
          <w:i/>
        </w:rPr>
        <w:t xml:space="preserve">Sensitivity: same associations in restricted samples</w:t>
      </w:r>
    </w:p>
    <w:tbl>
      <w:tblPr>
        <w:tblStyle w:val="Table"/>
        <w:tblW w:type="pct" w:w="5000"/>
        <w:tblLook w:firstRow="1" w:lastRow="0" w:firstColumn="0" w:lastColumn="0" w:noHBand="0" w:noVBand="0" w:val="0020"/>
        <w:jc w:val="start"/>
      </w:tblPr>
      <w:tblGrid>
        <w:gridCol w:w="1131"/>
        <w:gridCol w:w="1508"/>
        <w:gridCol w:w="1508"/>
        <w:gridCol w:w="1508"/>
        <w:gridCol w:w="1131"/>
        <w:gridCol w:w="1131"/>
      </w:tblGrid>
      <w:tr>
        <w:trPr>
          <w:tblHeader w:val="true"/>
        </w:trPr>
        <w:tc>
          <w:tcPr/>
          <w:p>
            <w:pPr>
              <w:pStyle w:val="Compact"/>
              <w:jc w:val="left"/>
            </w:pPr>
            <w:r>
              <w:t xml:space="preserve">Sample</w:t>
            </w:r>
          </w:p>
        </w:tc>
        <w:tc>
          <w:tcPr/>
          <w:p>
            <w:pPr>
              <w:pStyle w:val="Compact"/>
              <w:jc w:val="right"/>
            </w:pPr>
            <w:r>
              <w:t xml:space="preserve">n</w:t>
            </w:r>
          </w:p>
        </w:tc>
        <w:tc>
          <w:tcPr/>
          <w:p>
            <w:pPr>
              <w:pStyle w:val="Compact"/>
              <w:jc w:val="right"/>
            </w:pPr>
            <w:r>
              <w:t xml:space="preserve">Unstable net %</w:t>
            </w:r>
          </w:p>
        </w:tc>
        <w:tc>
          <w:tcPr/>
          <w:p>
            <w:pPr>
              <w:pStyle w:val="Compact"/>
              <w:jc w:val="right"/>
            </w:pPr>
            <w:r>
              <w:t xml:space="preserve">No power %</w:t>
            </w:r>
          </w:p>
        </w:tc>
        <w:tc>
          <w:tcPr/>
          <w:p>
            <w:pPr>
              <w:pStyle w:val="Compact"/>
              <w:jc w:val="left"/>
            </w:pPr>
            <w:r>
              <w:t xml:space="preserve">Home × high stress</w:t>
            </w:r>
          </w:p>
        </w:tc>
        <w:tc>
          <w:tcPr/>
          <w:p>
            <w:pPr>
              <w:pStyle w:val="Compact"/>
              <w:jc w:val="left"/>
            </w:pPr>
            <w:r>
              <w:t xml:space="preserve">Speed × appraisal</w:t>
            </w:r>
          </w:p>
        </w:tc>
      </w:tr>
      <w:tr>
        <w:tc>
          <w:tcPr/>
          <w:p>
            <w:pPr>
              <w:pStyle w:val="Compact"/>
              <w:jc w:val="left"/>
            </w:pPr>
            <w:r>
              <w:t xml:space="preserve">Full sample</w:t>
            </w:r>
          </w:p>
        </w:tc>
        <w:tc>
          <w:tcPr/>
          <w:p>
            <w:pPr>
              <w:pStyle w:val="Compact"/>
              <w:jc w:val="right"/>
            </w:pPr>
            <w:r>
              <w:t xml:space="preserve">38</w:t>
            </w:r>
          </w:p>
        </w:tc>
        <w:tc>
          <w:tcPr/>
          <w:p>
            <w:pPr>
              <w:pStyle w:val="Compact"/>
              <w:jc w:val="right"/>
            </w:pPr>
            <w:r>
              <w:t xml:space="preserve">76.3</w:t>
            </w:r>
          </w:p>
        </w:tc>
        <w:tc>
          <w:tcPr/>
          <w:p>
            <w:pPr>
              <w:pStyle w:val="Compact"/>
              <w:jc w:val="right"/>
            </w:pPr>
            <w:r>
              <w:t xml:space="preserve">42.1</w:t>
            </w:r>
          </w:p>
        </w:tc>
        <w:tc>
          <w:tcPr/>
          <w:p>
            <w:pPr>
              <w:pStyle w:val="Compact"/>
              <w:jc w:val="left"/>
            </w:pPr>
            <w:r>
              <w:rPr>
                <w:iCs/>
                <w:i/>
              </w:rPr>
              <w:t xml:space="preserve">p</w:t>
            </w:r>
            <w:r>
              <w:t xml:space="preserve"> </w:t>
            </w:r>
            <w:r>
              <w:t xml:space="preserve">&lt; .001</w:t>
            </w:r>
          </w:p>
        </w:tc>
        <w:tc>
          <w:tcPr/>
          <w:p>
            <w:pPr>
              <w:pStyle w:val="Compact"/>
              <w:jc w:val="left"/>
            </w:pPr>
            <w:r>
              <w:t xml:space="preserve">ρ = .65</w:t>
            </w:r>
          </w:p>
        </w:tc>
      </w:tr>
      <w:tr>
        <w:tc>
          <w:tcPr/>
          <w:p>
            <w:pPr>
              <w:pStyle w:val="Compact"/>
              <w:jc w:val="left"/>
            </w:pPr>
            <w:r>
              <w:t xml:space="preserve">Pakistani only</w:t>
            </w:r>
          </w:p>
        </w:tc>
        <w:tc>
          <w:tcPr/>
          <w:p>
            <w:pPr>
              <w:pStyle w:val="Compact"/>
              <w:jc w:val="right"/>
            </w:pPr>
            <w:r>
              <w:t xml:space="preserve">37</w:t>
            </w:r>
          </w:p>
        </w:tc>
        <w:tc>
          <w:tcPr/>
          <w:p>
            <w:pPr>
              <w:pStyle w:val="Compact"/>
              <w:jc w:val="right"/>
            </w:pPr>
            <w:r>
              <w:t xml:space="preserve">75.7</w:t>
            </w:r>
          </w:p>
        </w:tc>
        <w:tc>
          <w:tcPr/>
          <w:p>
            <w:pPr>
              <w:pStyle w:val="Compact"/>
              <w:jc w:val="right"/>
            </w:pPr>
            <w:r>
              <w:t xml:space="preserve">43.2</w:t>
            </w:r>
          </w:p>
        </w:tc>
        <w:tc>
          <w:tcPr/>
          <w:p>
            <w:pPr>
              <w:pStyle w:val="Compact"/>
              <w:jc w:val="left"/>
            </w:pPr>
            <w:r>
              <w:rPr>
                <w:iCs/>
                <w:i/>
              </w:rPr>
              <w:t xml:space="preserve">p</w:t>
            </w:r>
            <w:r>
              <w:t xml:space="preserve"> </w:t>
            </w:r>
            <w:r>
              <w:t xml:space="preserve">&lt; .001</w:t>
            </w:r>
          </w:p>
        </w:tc>
        <w:tc>
          <w:tcPr/>
          <w:p>
            <w:pPr>
              <w:pStyle w:val="Compact"/>
              <w:jc w:val="left"/>
            </w:pPr>
            <w:r>
              <w:t xml:space="preserve">ρ = .67</w:t>
            </w:r>
          </w:p>
        </w:tc>
      </w:tr>
      <w:tr>
        <w:tc>
          <w:tcPr/>
          <w:p>
            <w:pPr>
              <w:pStyle w:val="Compact"/>
              <w:jc w:val="left"/>
            </w:pPr>
            <w:r>
              <w:t xml:space="preserve">IP not in mainland China</w:t>
            </w:r>
          </w:p>
        </w:tc>
        <w:tc>
          <w:tcPr/>
          <w:p>
            <w:pPr>
              <w:pStyle w:val="Compact"/>
              <w:jc w:val="right"/>
            </w:pPr>
            <w:r>
              <w:t xml:space="preserve">29</w:t>
            </w:r>
          </w:p>
        </w:tc>
        <w:tc>
          <w:tcPr/>
          <w:p>
            <w:pPr>
              <w:pStyle w:val="Compact"/>
              <w:jc w:val="right"/>
            </w:pPr>
            <w:r>
              <w:t xml:space="preserve">75.9</w:t>
            </w:r>
          </w:p>
        </w:tc>
        <w:tc>
          <w:tcPr/>
          <w:p>
            <w:pPr>
              <w:pStyle w:val="Compact"/>
              <w:jc w:val="right"/>
            </w:pPr>
            <w:r>
              <w:t xml:space="preserve">41.4</w:t>
            </w:r>
          </w:p>
        </w:tc>
        <w:tc>
          <w:tcPr/>
          <w:p>
            <w:pPr>
              <w:pStyle w:val="Compact"/>
              <w:jc w:val="left"/>
            </w:pPr>
            <w:r>
              <w:rPr>
                <w:iCs/>
                <w:i/>
              </w:rPr>
              <w:t xml:space="preserve">p</w:t>
            </w:r>
            <w:r>
              <w:t xml:space="preserve"> </w:t>
            </w:r>
            <w:r>
              <w:t xml:space="preserve">&lt; .001</w:t>
            </w:r>
          </w:p>
        </w:tc>
        <w:tc>
          <w:tcPr/>
          <w:p>
            <w:pPr>
              <w:pStyle w:val="Compact"/>
              <w:jc w:val="left"/>
            </w:pPr>
            <w:r>
              <w:t xml:space="preserve">ρ = .70</w:t>
            </w:r>
          </w:p>
        </w:tc>
      </w:tr>
    </w:tbl>
    <w:p>
      <w:pPr>
        <w:pStyle w:val="BodyText"/>
      </w:pPr>
      <w:r>
        <w:rPr>
          <w:iCs/>
          <w:i/>
        </w:rPr>
        <w:t xml:space="preserve">Note.</w:t>
      </w:r>
      <w:r>
        <w:t xml:space="preserve"> </w:t>
      </w:r>
      <w:r>
        <w:t xml:space="preserve">The home-stress link and the speed-appraisal link remain in the same direction when the Bangladeshi case and China-IP cases are dropped.</w:t>
      </w:r>
    </w:p>
    <w:bookmarkEnd w:id="40"/>
    <w:bookmarkEnd w:id="41"/>
    <w:bookmarkStart w:id="47" w:name="discussion"/>
    <w:p>
      <w:pPr>
        <w:pStyle w:val="Heading2"/>
      </w:pPr>
      <w:r>
        <w:t xml:space="preserve">6. Discussion</w:t>
      </w:r>
    </w:p>
    <w:bookmarkStart w:id="42" w:name="south-south-mobility-without-the-campus"/>
    <w:p>
      <w:pPr>
        <w:pStyle w:val="Heading3"/>
      </w:pPr>
      <w:r>
        <w:t xml:space="preserve">6.1 South-South mobility without the campus</w:t>
      </w:r>
    </w:p>
    <w:p>
      <w:pPr>
        <w:pStyle w:val="FirstParagraph"/>
      </w:pPr>
      <w:r>
        <w:t xml:space="preserve">Chinese-university language programmes imagine a campus: dormitory, classroom, extra-curricular Chinese, and an HSK calendar. ERT kept the assessment plan and removed the campus for those who were offshore. Stress at 36.8% very high is not only pandemic psychology. It is also language-learning psychology once speaking and listening, the skills that most need a live other, meet an unstable connection and a lively room (cf. MacIntyre et al., 2020). The home-stress odds ratio is the empirical core of that claim. The 97.4%</w:t>
      </w:r>
      <w:r>
        <w:t xml:space="preserve"> </w:t>
      </w:r>
      <w:r>
        <w:t xml:space="preserve">“</w:t>
      </w:r>
      <w:r>
        <w:t xml:space="preserve">any stress</w:t>
      </w:r>
      <w:r>
        <w:t xml:space="preserve">”</w:t>
      </w:r>
      <w:r>
        <w:t xml:space="preserve"> </w:t>
      </w:r>
      <w:r>
        <w:t xml:space="preserve">figure is not.</w:t>
      </w:r>
    </w:p>
    <w:p>
      <w:pPr>
        <w:pStyle w:val="BodyText"/>
      </w:pPr>
      <w:r>
        <w:t xml:space="preserve">The data remain relevant after the emergency because hybrid ICLE and HSK delivery on Chinese-campus systems are still designed as if the login, the hour, and the room were campus-like. Moorhouse et al. (2023) describe technological normalisation after return to class. Stockwell and Wang (2023) warn that treating videoconferencing as a copy of campus teaching is a limited lesson from ERT. This corridor did not reach that normalisation. Before a learner can invest in a later digital practice such as generative AI (Darvin, 2025), the class has to open, the current has to hold, and the house has to allow a voice.</w:t>
      </w:r>
    </w:p>
    <w:bookmarkEnd w:id="42"/>
    <w:bookmarkStart w:id="43" w:name="X49e8e1ce33381e66831ca96dfec006da4ceef99"/>
    <w:p>
      <w:pPr>
        <w:pStyle w:val="Heading3"/>
      </w:pPr>
      <w:r>
        <w:t xml:space="preserve">6.2 Sequential inequality in the present sample</w:t>
      </w:r>
    </w:p>
    <w:p>
      <w:pPr>
        <w:pStyle w:val="FirstParagraph"/>
      </w:pPr>
      <w:r>
        <w:t xml:space="preserve">The findings fit van Dijk’s order better than a single</w:t>
      </w:r>
      <w:r>
        <w:t xml:space="preserve"> </w:t>
      </w:r>
      <w:r>
        <w:t xml:space="preserve">“</w:t>
      </w:r>
      <w:r>
        <w:t xml:space="preserve">poor internet</w:t>
      </w:r>
      <w:r>
        <w:t xml:space="preserve">”</w:t>
      </w:r>
      <w:r>
        <w:t xml:space="preserve"> </w:t>
      </w:r>
      <w:r>
        <w:t xml:space="preserve">headline. Power and signal sit under speed. Speed tracks learning appraisal and interaction. A tally of infrastructure ticks does not. Campus platforms sit in another country from the apps that actually open. Training teachers in Chaoxing breakout rooms addresses a layer many of these students could not enter. For this corridor the earlier layers are household electricity and whether the campus login opens on the phone the student has.</w:t>
      </w:r>
    </w:p>
    <w:bookmarkEnd w:id="43"/>
    <w:bookmarkStart w:id="44" w:name="investment-and-completing-required-time"/>
    <w:p>
      <w:pPr>
        <w:pStyle w:val="Heading3"/>
      </w:pPr>
      <w:r>
        <w:t xml:space="preserve">6.3 Investment and completing required time</w:t>
      </w:r>
    </w:p>
    <w:p>
      <w:pPr>
        <w:pStyle w:val="FirstParagraph"/>
      </w:pPr>
      <w:r>
        <w:t xml:space="preserve">Norton’s model is often used to describe learners who insist on speaking. It also describes withdrawal that is rational under cost. Darvin and Norton (2023) distinguish this from motivation: a student may still want Chinese and yet not be invested in the practices of a given class. If the imagined return of Chinese remains high, but the daily cost (data, a lively house, a job, a class that will not load) remains higher, the emergency class can be unworkable even when motivation is not. Only 15.8% said they interacted with the teacher</w:t>
      </w:r>
      <w:r>
        <w:t xml:space="preserve"> </w:t>
      </w:r>
      <w:r>
        <w:t xml:space="preserve">“</w:t>
      </w:r>
      <w:r>
        <w:t xml:space="preserve">very much</w:t>
      </w:r>
      <w:r>
        <w:t xml:space="preserve">”</w:t>
      </w:r>
      <w:r>
        <w:t xml:space="preserve">; 28.9% learned little or nothing. The even split on replacement is a disagreement over whether ERT counts as Chinese class. Women in this sample more often settle that disagreement in the negative. These are proxies for participation and legitimacy, not a full measure of investment.</w:t>
      </w:r>
    </w:p>
    <w:p>
      <w:pPr>
        <w:pStyle w:val="BodyText"/>
      </w:pPr>
      <w:r>
        <w:t xml:space="preserve">Darvin and Norton (2015) argued that digital spaces reconfigure capital. Campus Chinese offers embodied speaking practice. Home ERT, on these items, offered thinner teacher interaction and mixed learning appraisal. That is a plausible loss of oral practice, not a measured loss of oral capital. It is the kind of (dis)investment among international students of languages other than English that Hajar and Karakuş (2024) place on the current agenda. South-South Chinese cases remain scarce on that map.</w:t>
      </w:r>
    </w:p>
    <w:bookmarkEnd w:id="44"/>
    <w:bookmarkStart w:id="45" w:name="X9ef7777cc74a7114421d0af40c95e1657e9b22c"/>
    <w:p>
      <w:pPr>
        <w:pStyle w:val="Heading3"/>
      </w:pPr>
      <w:r>
        <w:t xml:space="preserve">6.4 Localisation as delivery, not only cultural content</w:t>
      </w:r>
    </w:p>
    <w:p>
      <w:pPr>
        <w:pStyle w:val="FirstParagraph"/>
      </w:pPr>
      <w:r>
        <w:t xml:space="preserve">ICLE debates on localisation often ask whether a textbook should replace Beijing place names with local names, or whether festival content needs Islamic-context mediation. Those questions belong in a separate paper on materials in Pakistani universities. The present data push localisation into course delivery. A culturally adapted lesson still fails if it is a synchronous oral lesson delivered into load-shedding. Material-context fit means whether this component of the course can be used by these learners in this programme ecology. In the emergency, the programme ecology was a Chinese-university timetable, the users sat in Pakistani houses, and the material was a live class that assumed campus conditions. Hybrid ICLE that still copies that timetable onto Tencent Meeting or Chaoxing, without asking whether the app opens and whether the house can hold a 45-minute oral hour, repeats the misfit after the pandemic.</w:t>
      </w:r>
    </w:p>
    <w:bookmarkEnd w:id="45"/>
    <w:bookmarkStart w:id="46" w:name="the-male-majority-sample"/>
    <w:p>
      <w:pPr>
        <w:pStyle w:val="Heading3"/>
      </w:pPr>
      <w:r>
        <w:t xml:space="preserve">6.5 The male-majority sample</w:t>
      </w:r>
    </w:p>
    <w:p>
      <w:pPr>
        <w:pStyle w:val="FirstParagraph"/>
      </w:pPr>
      <w:r>
        <w:t xml:space="preserve">The sample is 71% male (11 women). That limits what can be claimed. Table 1 records the skew; the limit is on interpretation. Digital inequality in Pakistani households is gendered. Privacy, care, and who owns the phone structure who can sit in a live Chinese class. Raza and Hennessy (2025) document that pattern for home educational technology in Pakistani schools. A Chinese-university language sample recruited through male-dense student networks will under-represent it.</w:t>
      </w:r>
    </w:p>
    <w:p>
      <w:pPr>
        <w:pStyle w:val="BodyText"/>
      </w:pPr>
      <w:r>
        <w:t xml:space="preserve">On most ordinals, men and women did not differ. On replacement, women more often said no. On paid work, men more often said yes. The data cannot show how women lived the noisy home, the power cut, or the blocked Chaoxing login. Future ICLE work on this corridor should oversample Pakistani women on Chinese-university and Confucius Institute routes rather than treat a 70% male network sample as</w:t>
      </w:r>
      <w:r>
        <w:t xml:space="preserve"> </w:t>
      </w:r>
      <w:r>
        <w:t xml:space="preserve">“</w:t>
      </w:r>
      <w:r>
        <w:t xml:space="preserve">Pakistani students.</w:t>
      </w:r>
      <w:r>
        <w:t xml:space="preserve">”</w:t>
      </w:r>
    </w:p>
    <w:p>
      <w:pPr>
        <w:pStyle w:val="BodyText"/>
      </w:pPr>
      <w:r>
        <w:t xml:space="preserve">Nine China-labelled IPs mean the sample is also not a group in which everyone sat in Pakistan. The mechanism (home and platform access) still holds for an interrupted cohort. The gender limitation remains.</w:t>
      </w:r>
    </w:p>
    <w:bookmarkEnd w:id="46"/>
    <w:bookmarkEnd w:id="47"/>
    <w:bookmarkStart w:id="51" w:name="implications"/>
    <w:p>
      <w:pPr>
        <w:pStyle w:val="Heading2"/>
      </w:pPr>
      <w:r>
        <w:t xml:space="preserve">7. Implications</w:t>
      </w:r>
    </w:p>
    <w:bookmarkStart w:id="48" w:name="Xb4d3ca923462a90bf9ff52f0f0d75b5ec6a810a"/>
    <w:p>
      <w:pPr>
        <w:pStyle w:val="Heading3"/>
      </w:pPr>
      <w:r>
        <w:t xml:space="preserve">7.1 For Chinese universities hosting Pakistani language students</w:t>
      </w:r>
    </w:p>
    <w:p>
      <w:pPr>
        <w:pStyle w:val="FirstParagraph"/>
      </w:pPr>
      <w:r>
        <w:t xml:space="preserve">These points are suggestions from this sample, not a national evaluation of CSC or of the Center for Language Education and Cooperation (CLEC).</w:t>
      </w:r>
    </w:p>
    <w:p>
      <w:pPr>
        <w:numPr>
          <w:ilvl w:val="0"/>
          <w:numId w:val="1001"/>
        </w:numPr>
        <w:pStyle w:val="Compact"/>
      </w:pPr>
      <w:r>
        <w:t xml:space="preserve">Treat disruption-ready Chinese as a course-design problem rather than a platform subscription. Asynchronous oral alternatives (short voice tasks with delayed feedback; SMS or WhatsApp voice notes that survive low bandwidth) should be in the language-course handbook rather than invented in a crisis.</w:t>
      </w:r>
    </w:p>
    <w:p>
      <w:pPr>
        <w:numPr>
          <w:ilvl w:val="0"/>
          <w:numId w:val="1001"/>
        </w:numPr>
        <w:pStyle w:val="Compact"/>
      </w:pPr>
      <w:r>
        <w:t xml:space="preserve">Do not assess emergency or offshore cohorts as if they had campus oral hours. If speaking was structurally difficult to practise, proficiency claims and progression decisions should not rest on oral-equivalent standards without adjustment.</w:t>
      </w:r>
    </w:p>
    <w:p>
      <w:pPr>
        <w:numPr>
          <w:ilvl w:val="0"/>
          <w:numId w:val="1001"/>
        </w:numPr>
        <w:pStyle w:val="Compact"/>
      </w:pPr>
      <w:r>
        <w:t xml:space="preserve">Budget prepaid data for offshore students as a language-learning resource, as textbooks are budgeted. This sample already had phones (63% iPhone); the gap was power, speed, and login, not device ownership.</w:t>
      </w:r>
    </w:p>
    <w:p>
      <w:pPr>
        <w:numPr>
          <w:ilvl w:val="0"/>
          <w:numId w:val="1001"/>
        </w:numPr>
        <w:pStyle w:val="Compact"/>
      </w:pPr>
      <w:r>
        <w:t xml:space="preserve">If live classes follow Beijing time, name that in timetabling for students sitting in Pakistan. Attendance then measures electricity and the clock as well as diligence.</w:t>
      </w:r>
    </w:p>
    <w:p>
      <w:pPr>
        <w:numPr>
          <w:ilvl w:val="0"/>
          <w:numId w:val="1001"/>
        </w:numPr>
        <w:pStyle w:val="Compact"/>
      </w:pPr>
      <w:r>
        <w:t xml:space="preserve">Do not assume the campus platform system. If Chaoxing and QQ do not open, the usable classroom is Zoom or another tool that opens, not a voice-note substitute invented only in a crisis. WhatsApp was marked available here; it was not coded as used for class.</w:t>
      </w:r>
    </w:p>
    <w:bookmarkEnd w:id="48"/>
    <w:bookmarkStart w:id="49" w:name="X494cf576f793175e57850172bdce479b5ba6678"/>
    <w:p>
      <w:pPr>
        <w:pStyle w:val="Heading3"/>
      </w:pPr>
      <w:r>
        <w:t xml:space="preserve">7.2 For Pakistani universities and Confucius Institutes</w:t>
      </w:r>
    </w:p>
    <w:p>
      <w:pPr>
        <w:pStyle w:val="FirstParagraph"/>
      </w:pPr>
      <w:r>
        <w:t xml:space="preserve">The same households send students to Confucius Institutes and to Chinese universities. Hybrid Institute teaching that assumes uninterrupted Zoom reproduces the same misfit. Localisation workshops for Pakistani Chinese teachers should include checks of power, devices, and mediation language as well as textbook adaptation.</w:t>
      </w:r>
    </w:p>
    <w:bookmarkEnd w:id="49"/>
    <w:bookmarkStart w:id="50" w:name="for-research"/>
    <w:p>
      <w:pPr>
        <w:pStyle w:val="Heading3"/>
      </w:pPr>
      <w:r>
        <w:t xml:space="preserve">7.3 For research</w:t>
      </w:r>
    </w:p>
    <w:p>
      <w:pPr>
        <w:pStyle w:val="FirstParagraph"/>
      </w:pPr>
      <w:r>
        <w:t xml:space="preserve">Future work should (a) oversample Pakistani women on Chinese-university and related routes rather than reuse a male-dense snowball; (b) compare home learners enrolled in China with Confucius Institute learners in the same cities; (c) follow oral and written skill splits with tasks, not only self-report. The material-context question can then move from emergency delivery to ordinary curriculum, including, in later work, how</w:t>
      </w:r>
      <w:r>
        <w:t xml:space="preserve"> </w:t>
      </w:r>
      <w:r>
        <w:rPr>
          <w:iCs/>
          <w:i/>
        </w:rPr>
        <w:t xml:space="preserve">HSK Standard Course</w:t>
      </w:r>
      <w:r>
        <w:t xml:space="preserve"> </w:t>
      </w:r>
      <w:r>
        <w:t xml:space="preserve">is used in Pakistani universities. That is a different paper.</w:t>
      </w:r>
    </w:p>
    <w:bookmarkEnd w:id="50"/>
    <w:bookmarkEnd w:id="51"/>
    <w:bookmarkStart w:id="52" w:name="limitations"/>
    <w:p>
      <w:pPr>
        <w:pStyle w:val="Heading2"/>
      </w:pPr>
      <w:r>
        <w:t xml:space="preserve">8. Limitations</w:t>
      </w:r>
    </w:p>
    <w:p>
      <w:pPr>
        <w:numPr>
          <w:ilvl w:val="0"/>
          <w:numId w:val="1002"/>
        </w:numPr>
        <w:pStyle w:val="Compact"/>
      </w:pPr>
      <w:r>
        <w:t xml:space="preserve">n = 38. Odds-ratio intervals are wide. They are reported as direction plus exact tests, not as precise population values.</w:t>
      </w:r>
    </w:p>
    <w:p>
      <w:pPr>
        <w:numPr>
          <w:ilvl w:val="0"/>
          <w:numId w:val="1002"/>
        </w:numPr>
        <w:pStyle w:val="Compact"/>
      </w:pPr>
      <w:r>
        <w:t xml:space="preserve">The 2024 note’s tabulated N is not used. Rathore and Cao (2024) printed n = 97. The only surviving coded file has 38 complete cases, which is the N of this article.</w:t>
      </w:r>
    </w:p>
    <w:p>
      <w:pPr>
        <w:numPr>
          <w:ilvl w:val="0"/>
          <w:numId w:val="1002"/>
        </w:numPr>
        <w:pStyle w:val="Compact"/>
      </w:pPr>
      <w:r>
        <w:t xml:space="preserve">Male-majority convenience sample (27 men, 11 women), phones only, nine China-labelled IPs. Findings describe this network, not Pakistani women as a group. Sensitivity on n = 37 and n = 29 does not remove that limit.</w:t>
      </w:r>
    </w:p>
    <w:p>
      <w:pPr>
        <w:numPr>
          <w:ilvl w:val="0"/>
          <w:numId w:val="1002"/>
        </w:numPr>
        <w:pStyle w:val="Compact"/>
      </w:pPr>
      <w:r>
        <w:t xml:space="preserve">Self-report; no HSK scores or oral tasks.</w:t>
      </w:r>
      <w:r>
        <w:t xml:space="preserve"> </w:t>
      </w:r>
      <w:r>
        <w:t xml:space="preserve">“</w:t>
      </w:r>
      <w:r>
        <w:t xml:space="preserve">Advanced</w:t>
      </w:r>
      <w:r>
        <w:t xml:space="preserve">”</w:t>
      </w:r>
      <w:r>
        <w:t xml:space="preserve"> </w:t>
      </w:r>
      <w:r>
        <w:t xml:space="preserve">is a self-rating.</w:t>
      </w:r>
    </w:p>
    <w:p>
      <w:pPr>
        <w:numPr>
          <w:ilvl w:val="0"/>
          <w:numId w:val="1002"/>
        </w:numPr>
        <w:pStyle w:val="Compact"/>
      </w:pPr>
      <w:r>
        <w:t xml:space="preserve">Chinese-medium items with non-native wording may have been understood unevenly.</w:t>
      </w:r>
    </w:p>
    <w:p>
      <w:pPr>
        <w:numPr>
          <w:ilvl w:val="0"/>
          <w:numId w:val="1002"/>
        </w:numPr>
        <w:pStyle w:val="Compact"/>
      </w:pPr>
      <w:r>
        <w:t xml:space="preserve">The export does not name the host university, textbook, or award type. Investment was not measured as a scale.</w:t>
      </w:r>
    </w:p>
    <w:p>
      <w:pPr>
        <w:numPr>
          <w:ilvl w:val="0"/>
          <w:numId w:val="1002"/>
        </w:numPr>
        <w:pStyle w:val="Compact"/>
      </w:pPr>
      <w:r>
        <w:t xml:space="preserve">COVID-specific delivery. The transferable claim concerns inequality, home, platform access, and participation, not the pandemic as such.</w:t>
      </w:r>
    </w:p>
    <w:bookmarkEnd w:id="52"/>
    <w:bookmarkStart w:id="53" w:name="conclusion"/>
    <w:p>
      <w:pPr>
        <w:pStyle w:val="Heading2"/>
      </w:pPr>
      <w:r>
        <w:t xml:space="preserve">9. Conclusion</w:t>
      </w:r>
    </w:p>
    <w:p>
      <w:pPr>
        <w:pStyle w:val="FirstParagraph"/>
      </w:pPr>
      <w:r>
        <w:t xml:space="preserve">Pakistani (and one neighbouring) students who learned Chinese through this emergency did not mainly fail to adapt to online learning. Many homes were asked to carry a Chinese-university class. Many had no quiet room, no stable power, and no login that matched the campus system. Digital inequality entered as electricity, speed, and platform access. Participation looked like thin interaction, mixed learning appraisal, and an even split over whether this counted as class. Women in the sample more often refused that count. Localising Chinese teaching for this corridor means fitting delivery to the house and to the app that actually opens. That is a problem of language, culture, and curriculum. The field has moved on to blended normalisation and generative AI. The inequality in these data has not.</w:t>
      </w:r>
    </w:p>
    <w:bookmarkEnd w:id="53"/>
    <w:bookmarkStart w:id="5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Darvin, R. (2025). Identity and investment in the age of generative AI.</w:t>
      </w:r>
      <w:r>
        <w:t xml:space="preserve"> </w:t>
      </w:r>
      <w:r>
        <w:rPr>
          <w:iCs/>
          <w:i/>
        </w:rPr>
        <w:t xml:space="preserve">Annual Review of Applied Linguistics, 45</w:t>
      </w:r>
      <w:r>
        <w:t xml:space="preserve">, 10-27. https://doi.org/10.1017/S0267190525100135</w:t>
      </w:r>
    </w:p>
    <w:p>
      <w:pPr>
        <w:pStyle w:val="BodyText"/>
      </w:pPr>
      <w:r>
        <w:t xml:space="preserve">Darvin, R., &amp; Norton, B. (2015). Identity and a model of investment in applied linguistics.</w:t>
      </w:r>
      <w:r>
        <w:t xml:space="preserve"> </w:t>
      </w:r>
      <w:r>
        <w:rPr>
          <w:iCs/>
          <w:i/>
        </w:rPr>
        <w:t xml:space="preserve">Annual Review of Applied Linguistics, 35</w:t>
      </w:r>
      <w:r>
        <w:t xml:space="preserve">, 36-51. https://doi.org/10.1017/S0267190514000251</w:t>
      </w:r>
    </w:p>
    <w:p>
      <w:pPr>
        <w:pStyle w:val="BodyText"/>
      </w:pPr>
      <w:r>
        <w:t xml:space="preserve">Darvin, R., &amp; Norton, B. (2023). Investment and motivation in language learning: What’s the difference?</w:t>
      </w:r>
      <w:r>
        <w:t xml:space="preserve"> </w:t>
      </w:r>
      <w:r>
        <w:rPr>
          <w:iCs/>
          <w:i/>
        </w:rPr>
        <w:t xml:space="preserve">Language Teaching, 56</w:t>
      </w:r>
      <w:r>
        <w:t xml:space="preserve">(1), 29-40. https://doi.org/10.1017/S0261444821000057</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Holistic, situated, and dynamic perspectives.</w:t>
      </w:r>
      <w:r>
        <w:t xml:space="preserve"> </w:t>
      </w:r>
      <w:r>
        <w:rPr>
          <w:iCs/>
          <w:i/>
        </w:rPr>
        <w:t xml:space="preserve">The Modern Language Journal, 105</w:t>
      </w:r>
      <w:r>
        <w:t xml:space="preserve">(S1), 3-20. https://doi.org/10.1111/modl.12691</w:t>
      </w:r>
    </w:p>
    <w:p>
      <w:pPr>
        <w:pStyle w:val="BodyText"/>
      </w:pPr>
      <w:r>
        <w:t xml:space="preserve">Hajar, A., &amp; Karakuş, M. (2024). Three decades of research on the model of investment in applied linguistics: A bibliometric analysis and research agenda.</w:t>
      </w:r>
      <w:r>
        <w:t xml:space="preserve"> </w:t>
      </w:r>
      <w:r>
        <w:rPr>
          <w:iCs/>
          <w:i/>
        </w:rPr>
        <w:t xml:space="preserve">Language, Culture and Curriculum, 38</w:t>
      </w:r>
      <w:r>
        <w:t xml:space="preserve">(2), 175-206. https://doi.org/10.1080/07908318.2024.2435284</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Iftikhar, A., Li, C., Jiangyu, L., Xi, C., Tao, W., &amp; Haider, A. A. (2024). Perceptions, challenges, and opportunities of Chinese language learning in Punjab and Sindh, Pakistan: Exploring the role of CPEC.</w:t>
      </w:r>
      <w:r>
        <w:t xml:space="preserve"> </w:t>
      </w:r>
      <w:r>
        <w:rPr>
          <w:iCs/>
          <w:i/>
        </w:rPr>
        <w:t xml:space="preserve">New Directions for Child and Adolescent Development, 2024</w:t>
      </w:r>
      <w:r>
        <w:t xml:space="preserve">, Article 6662409. https://doi.org/10.1155/2024/6662409</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102313. https://doi.org/10.1016/j.system.2020.102313</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Norton, B. (2013).</w:t>
      </w:r>
      <w:r>
        <w:t xml:space="preserve"> </w:t>
      </w:r>
      <w:r>
        <w:rPr>
          <w:iCs/>
          <w:i/>
        </w:rPr>
        <w:t xml:space="preserve">Identity and language learning: Extending the conversation</w:t>
      </w:r>
      <w:r>
        <w:t xml:space="preserve"> </w:t>
      </w:r>
      <w:r>
        <w:t xml:space="preserve">(2nd ed.). Multilingual Matters.</w:t>
      </w:r>
    </w:p>
    <w:p>
      <w:pPr>
        <w:pStyle w:val="BodyText"/>
      </w:pPr>
      <w:r>
        <w:t xml:space="preserve">Piller, I., Zhang, J., &amp; Li, J. (2020). Linguistic diversity in a time of crisis: Language challenges of the COVID-19 pandemic.</w:t>
      </w:r>
      <w:r>
        <w:t xml:space="preserve"> </w:t>
      </w:r>
      <w:r>
        <w:rPr>
          <w:iCs/>
          <w:i/>
        </w:rPr>
        <w:t xml:space="preserve">Multilingua, 39</w:t>
      </w:r>
      <w:r>
        <w:t xml:space="preserve">(5), 503-515. https://doi.org/10.1515/multi-2020-0136</w:t>
      </w:r>
    </w:p>
    <w:p>
      <w:pPr>
        <w:pStyle w:val="BodyText"/>
      </w:pPr>
      <w:r>
        <w:t xml:space="preserve">Rathore, H., &amp; Cao, H. (2024). An exploration the challenges and impacts during COVID-19 for online Chinese learning in Pakistan.</w:t>
      </w:r>
      <w:r>
        <w:t xml:space="preserve"> </w:t>
      </w:r>
      <w:r>
        <w:rPr>
          <w:iCs/>
          <w:i/>
        </w:rPr>
        <w:t xml:space="preserve">Arbor, 11</w:t>
      </w:r>
      <w:r>
        <w:t xml:space="preserve">(1), 194-201. https://doi.org/10.5281/zenodo.13267236</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 127-142. https://doi.org/10.1007/s10671-009-9078-1</w:t>
      </w:r>
    </w:p>
    <w:bookmarkEnd w:id="54"/>
    <w:bookmarkEnd w:id="5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480" w:lineRule="auto"/>
    </w:pPr>
    <w:rPr>
      <w:rFonts w:ascii="Times New Roman" w:cs="Times New Roman" w:eastAsia="SimSu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line="480" w:lineRule="auto"/>
      <w:outlineLvl w:val="0"/>
    </w:pPr>
    <w:rPr>
      <w:rFonts w:ascii="Times New Roman" w:asciiTheme="majorHAnsi" w:cs="Times New Roman" w:cstheme="majorBidi" w:eastAsia="SimSun"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line="480" w:lineRule="auto"/>
      <w:outlineLvl w:val="1"/>
    </w:pPr>
    <w:rPr>
      <w:rFonts w:ascii="Times New Roman" w:asciiTheme="majorHAnsi" w:cs="Times New Roman" w:cstheme="majorBidi" w:eastAsia="SimSun"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line="480" w:lineRule="auto"/>
      <w:outlineLvl w:val="2"/>
    </w:pPr>
    <w:rPr>
      <w:rFonts w:ascii="Times New Roman" w:asciiTheme="majorHAnsi" w:cs="Times New Roman" w:cstheme="majorBidi" w:eastAsia="SimSun" w:eastAsiaTheme="majorEastAsia" w:hAnsi="Times New Roman" w:hAnsiTheme="majorHAnsi"/>
      <w:b/>
      <w:bCs/>
      <w:i w:val="0"/>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480" w:lineRule="auto"/>
      <w:contextualSpacing/>
    </w:pPr>
    <w:rPr>
      <w:rFonts w:ascii="Times New Roman" w:asciiTheme="majorHAnsi" w:cs="Times New Roman" w:cstheme="majorBidi" w:eastAsia="SimSun" w:eastAsiaTheme="majorEastAsia" w:hAnsi="Times New Roman" w:hAnsiTheme="majorHAnsi"/>
      <w:b/>
      <w:i w:val="0"/>
      <w:color w:themeColor="text2" w:themeShade="BF" w:val="17365D"/>
      <w:spacing w:val="5"/>
      <w:kern w:val="28"/>
      <w:sz w:val="3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2026-08-22T15:09:06Z</dcterms:created>
  <dcterms:modified xsi:type="dcterms:W3CDTF">2026-08-22T15:09:06Z</dcterms:modified>
</cp:coreProperties>
</file>

<file path=docProps/custom.xml><?xml version="1.0" encoding="utf-8"?>
<Properties xmlns="http://schemas.openxmlformats.org/officeDocument/2006/custom-properties" xmlns:vt="http://schemas.openxmlformats.org/officeDocument/2006/docPropsVTypes"/>
</file>