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a course learners cannot take if its timetable, platforms, oral tasks, and assessment do not fit the conditions in which they participate. To treat that problem as a research question rather than as an emergency inconvenience,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this article addresses is real. An online Chinese course can keep its hours, platforms, oral tasks, and assessment, and still be a course learners cannot take. Online language programmes commonly retain the timetable and classroom tasks of the sending class, and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From the household side, owning a device is not participation when power, speed, or a usable application is missing (Ali, 2020; Beaunoyer et al., 2020; Guo &amp; Wan, 2022; Vishnu et al., 2024; Warschauer, 2003). Distance language learning had already asked whether a remote class was feasible (White, 2006). If household power, network speed, or platform access does not support the required class, the content may remain appropriate while the class is closed. That is a delivery problem, not a content problem.</w:t>
      </w:r>
    </w:p>
    <w:p>
      <w:pPr>
        <w:pStyle w:val="BodyText"/>
      </w:pPr>
      <w:r>
        <w:t xml:space="preserve">The field has named this failure more often than it has taken it as the object of study. Emergency remote teaching made the problem urgent, but much of that writing used it as a setting for teacher workload, sending-side pedagogical adaptation, or a videoconference copy of the campus hour (MacIntyre et al., 2020; Moser et al., 2021; Xu et al., 2022). Later work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Listing the difficulty is not the same as measuring the conditions that produce it.</w:t>
      </w:r>
    </w:p>
    <w:p>
      <w:pPr>
        <w:pStyle w:val="BodyText"/>
      </w:pPr>
      <w:r>
        <w:t xml:space="preserve">To treat the problem as a research problem, rather than as an emergency inconvenience, this study collected a Chinese-language questionnaire on the learner-side conditions that decide whether the class can be entered at all. Language, culture, and curriculum meet in the setting of the class as well as in the textbook (Guerrettaz et al., 2021; van Lier, 2004). Student questionnaires in this journal already treat curriculum as something learners experience, not only something programmes announce (Lam, 2024; Shan &amp; Xu, 2024; Zhang &amp; Pladevall-Ballester, 2021). The same move is required here. A self-selected group of respondents reporting participation in online Chinese-language courses was asked what household, connectivity, and platform-access conditions they faced, and how those conditions sat alongside stress and appraisals of online learning. The instrument cannot show how institutions adapted time, platform, task, participation mode, or assessment. It can show the conditions against which those arrangements have to be judged. Time-zone difference and the absence of a Chinese-speaking environment have also been listed as field problems; they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programme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and the findings are exploratory. The article does not ask whether later hybrid practice has closed the gap.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Learner emotion in Chinese as an additional language is already a topic in this journal (Wen &amp; Liu, 2025), and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M., &amp; Pladevall-Ballester, E. (2021). Students’ attitudes and perceptions towards three EMI courses in mainland China.</w:t>
      </w:r>
      <w:r>
        <w:t xml:space="preserve"> </w:t>
      </w:r>
      <w:r>
        <w:rPr>
          <w:iCs/>
          <w:i/>
        </w:rPr>
        <w:t xml:space="preserve">Language, Culture and Curriculum, 35</w:t>
      </w:r>
      <w:r>
        <w:t xml:space="preserve">(2), 200-216. https://doi.org/10.1080/07908318.2021.1979576</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2026-08-23T10:52:08Z</dcterms:created>
  <dcterms:modified xsi:type="dcterms:W3CDTF">2026-08-23T10:52:08Z</dcterms:modified>
</cp:coreProperties>
</file>

<file path=docProps/custom.xml><?xml version="1.0" encoding="utf-8"?>
<Properties xmlns="http://schemas.openxmlformats.org/officeDocument/2006/custom-properties" xmlns:vt="http://schemas.openxmlformats.org/officeDocument/2006/docPropsVTypes"/>
</file>