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household infrastructure; platform access; digital inequality; emergency remote teaching; Pakistan</w:t>
      </w:r>
    </w:p>
    <w:bookmarkEnd w:id="20"/>
    <w:bookmarkStart w:id="21" w:name="introduction"/>
    <w:p>
      <w:pPr>
        <w:pStyle w:val="Heading2"/>
      </w:pPr>
      <w:r>
        <w:t xml:space="preserve">1. Introduction</w:t>
      </w:r>
    </w:p>
    <w:p>
      <w:pPr>
        <w:pStyle w:val="FirstParagraph"/>
      </w:pPr>
      <w:r>
        <w:t xml:space="preserve">The problem is this: an online Chinese course can keep its original hours, platforms, oral tasks, and assessment, and still be a course that learners cannot take. If household power, network speed, or platform access does not support those arrangements, the content may remain appropriate while the class is closed. That is a delivery problem, not a content problem. This article examines that problem.</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The questionnaire cannot show how institutions adapted time, platform, task, participation mode, or assessment. It can show the learner-side conditions of household infrastructure and platform access, and how those conditions sat alongside stress and appraisals of online learning.</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2026-08-23T10:31:15Z</dcterms:created>
  <dcterms:modified xsi:type="dcterms:W3CDTF">2026-08-23T10:31:15Z</dcterms:modified>
</cp:coreProperties>
</file>

<file path=docProps/custom.xml><?xml version="1.0" encoding="utf-8"?>
<Properties xmlns="http://schemas.openxmlformats.org/officeDocument/2006/custom-properties" xmlns:vt="http://schemas.openxmlformats.org/officeDocument/2006/docPropsVTypes"/>
</file>