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been reviewed mainly as a problem of pedagogy, learner development, and teacher education in, or towards, Chinese-speaking settings (Gong, Gao, &amp; Lyu, 2020; Ma, Gong, Gao, &amp; Xiang, 2017). When that field has asked how a travelling syllabus becomes learnable in a new place, localisation has usually meant content and materials. Postmethod and localist work already requires pedagogy to be particular to a group and a setting (Canagarajah, 2005; Kumaravadivelu, 2001). Recent articles in this journal treat curriculum as something students live, and glocalisation as the fitting of a travelling literacy to a local classroom (Lam, 2024; Shan &amp; Xu, 2024). Those layers remain necessary. They do not exhaust what happens when the course itself moves.</w:t>
      </w:r>
    </w:p>
    <w:p>
      <w:pPr>
        <w:pStyle w:val="BodyText"/>
      </w:pPr>
      <w:r>
        <w:t xml:space="preserve">If language-learning materials are what is actually used in a setting, and not only what is printed (Guerrettaz et al., 2021), a live class is itself a material. Use includes whether that class can be entered. This study therefore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(Warschauer, 2003). Those terms describe conditions that students face. Localisation of delivery names a design task for the institution that sends the course.</w:t>
      </w:r>
    </w:p>
    <w:p>
      <w:pPr>
        <w:pStyle w:val="BodyText"/>
      </w:pPr>
      <w:r>
        <w:t xml:space="preserve">Emergency remote teaching is the historical setting in which that task became visible, not the theoretical centre of the paper (Hodges et al., 2020). Language programmes that copied a campus hour onto videoconferencing met thinner interaction, technical disruption, and the entry of the domestic setting into the lesson (Gacs et al., 2020; MacIntyre et al., 2020; Moser, Wei, &amp; Brenner, 2021; Tao &amp; Gao, 2022).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 Chinese-language emergency studies have documented pedagogical adaptation on the sending side, for example technology-based character instruction (Xu, Jin, Deifell, &amp; Angus, 2022). They have not, as a body of work, treated delivery-context fit for South–South respondents studying off campus.</w:t>
      </w:r>
    </w:p>
    <w:p>
      <w:pPr>
        <w:pStyle w:val="BodyText"/>
      </w:pPr>
      <w:r>
        <w:t xml:space="preserve">Research on international students of Chinese has largely documented learners who are already on a Chinese campus (Gao &amp; Hua, 2021; Gong, Gao, Li, &amp; Lai, 2020). Pakistani enrolment in Chinese higher education is a documented case of South–South academic mobility, expanded by scholarships and closer Pakistan–China educational ties, rather than by that on-campus story alone (Tu, 2026).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The receiving setting in this dataset is a home learning ecology: domestic space, connectivity, and the conditions of oral participation (van Lier, 2004; Warschauer, 2003). Empirical work on Pakistani university e-learning during COVID-19 has already reported uneven internet access and ICT skills, especially outside well-resourced urban campuses (Jamil &amp; Muschert, 2023). That literature is background. It does not describe the present 38 respondents. The paper asks how, in one 2022 convenience sample, household infrastructure and reported platform access co-occurred with stress, perceived learning, and judgements of whether online Chinese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Empirical surveys of language educators report increased workload, stress, and uneven preparedness when instruction moved online (MacIntyre et al., 2020; Moser et al., 2021). Tao and Gao (2022) synthesise the wider online-language literature as a problem of technical disruption, thinner engagement, and the need for language-specific support.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Xu et al. (2022) show that Chinese-character teaching during emergency remote instruction was adapted on the sending side. A later review of online ICLE teaching models still lists technical issues, weak interaction, and time-zone problems (Li &amp; Li, 2024). Learner emotion in Chinese as an additional language is already studied in this journal (Wen &amp; Liu, 2025).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Pakistani higher education during COVID-19, interview evidence shows that first-level access (internet, devices) and second-level skills were uneven, and that rural and less-resourced students were more exposed (Jamil &amp; Muschert, 2023). Household use of educational technology is also structured by device sharing, care work, and electricity (Raza &amp; Hennessy, 2025). The EdTech Hub report is grey literature. Neither source is treated as a finding about the present 38 respondents.</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2026-08-23T08:40:01Z</dcterms:created>
  <dcterms:modified xsi:type="dcterms:W3CDTF">2026-08-23T08:40:01Z</dcterms:modified>
</cp:coreProperties>
</file>

<file path=docProps/custom.xml><?xml version="1.0" encoding="utf-8"?>
<Properties xmlns="http://schemas.openxmlformats.org/officeDocument/2006/custom-properties" xmlns:vt="http://schemas.openxmlformats.org/officeDocument/2006/docPropsVTypes"/>
</file>